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theme/themeOverride1.xml" ContentType="application/vnd.openxmlformats-officedocument.themeOverride+xml"/>
  <Override PartName="/word/charts/chart23.xml" ContentType="application/vnd.openxmlformats-officedocument.drawingml.chart+xml"/>
  <Override PartName="/word/theme/themeOverride2.xml" ContentType="application/vnd.openxmlformats-officedocument.themeOverride+xml"/>
  <Override PartName="/word/charts/chart24.xml" ContentType="application/vnd.openxmlformats-officedocument.drawingml.chart+xml"/>
  <Override PartName="/word/theme/themeOverride3.xml" ContentType="application/vnd.openxmlformats-officedocument.themeOverride+xml"/>
  <Override PartName="/word/charts/chart25.xml" ContentType="application/vnd.openxmlformats-officedocument.drawingml.chart+xml"/>
  <Override PartName="/word/theme/themeOverride4.xml" ContentType="application/vnd.openxmlformats-officedocument.themeOverride+xml"/>
  <Override PartName="/word/charts/chart26.xml" ContentType="application/vnd.openxmlformats-officedocument.drawingml.chart+xml"/>
  <Override PartName="/word/theme/themeOverride5.xml" ContentType="application/vnd.openxmlformats-officedocument.themeOverride+xml"/>
  <Override PartName="/word/charts/chart27.xml" ContentType="application/vnd.openxmlformats-officedocument.drawingml.chart+xml"/>
  <Override PartName="/word/theme/themeOverride6.xml" ContentType="application/vnd.openxmlformats-officedocument.themeOverride+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D98" w:rsidRPr="00E50B4A" w:rsidRDefault="00F37D60" w:rsidP="00F37D60">
      <w:pPr>
        <w:jc w:val="center"/>
        <w:rPr>
          <w:rFonts w:asciiTheme="majorHAnsi" w:eastAsia="MS PMincho" w:hAnsiTheme="majorHAnsi" w:cstheme="minorHAnsi"/>
          <w:sz w:val="24"/>
          <w:szCs w:val="24"/>
        </w:rPr>
      </w:pPr>
      <w:bookmarkStart w:id="0" w:name="_GoBack"/>
      <w:bookmarkEnd w:id="0"/>
      <w:r w:rsidRPr="00E50B4A">
        <w:rPr>
          <w:rFonts w:asciiTheme="majorHAnsi" w:eastAsia="MS PMincho" w:hAnsiTheme="majorHAnsi" w:cstheme="minorHAnsi"/>
          <w:sz w:val="24"/>
          <w:szCs w:val="24"/>
        </w:rPr>
        <w:t>Diagnóstico: Niños, niñas y adolescentes.</w:t>
      </w:r>
    </w:p>
    <w:p w:rsidR="00F37D60" w:rsidRPr="00E50B4A" w:rsidRDefault="00F37D60" w:rsidP="00F37D60">
      <w:pPr>
        <w:jc w:val="center"/>
        <w:rPr>
          <w:rFonts w:asciiTheme="majorHAnsi" w:eastAsia="MS PMincho" w:hAnsiTheme="majorHAnsi" w:cstheme="minorHAnsi"/>
          <w:sz w:val="24"/>
          <w:szCs w:val="24"/>
        </w:rPr>
      </w:pPr>
      <w:r w:rsidRPr="00E50B4A">
        <w:rPr>
          <w:rFonts w:asciiTheme="majorHAnsi" w:eastAsia="MS PMincho" w:hAnsiTheme="majorHAnsi" w:cstheme="minorHAnsi"/>
          <w:sz w:val="24"/>
          <w:szCs w:val="24"/>
        </w:rPr>
        <w:t>Plan Municipal de Desarrollo 2012 -2015</w:t>
      </w:r>
    </w:p>
    <w:p w:rsidR="00F37D60" w:rsidRPr="00E50B4A" w:rsidRDefault="00F37D60" w:rsidP="00F37D60">
      <w:pPr>
        <w:jc w:val="center"/>
        <w:rPr>
          <w:rFonts w:asciiTheme="majorHAnsi" w:eastAsia="MS PMincho" w:hAnsiTheme="majorHAnsi" w:cstheme="minorHAnsi"/>
          <w:sz w:val="24"/>
          <w:szCs w:val="24"/>
        </w:rPr>
      </w:pPr>
      <w:r w:rsidRPr="00E50B4A">
        <w:rPr>
          <w:rFonts w:asciiTheme="majorHAnsi" w:eastAsia="MS PMincho" w:hAnsiTheme="majorHAnsi" w:cstheme="minorHAnsi"/>
          <w:sz w:val="24"/>
          <w:szCs w:val="24"/>
        </w:rPr>
        <w:t>“Por el Riosucio que queremos, juntos sí podemos.”</w:t>
      </w:r>
    </w:p>
    <w:p w:rsidR="00241F41" w:rsidRPr="00E50B4A" w:rsidRDefault="00241F41" w:rsidP="00241F41">
      <w:pPr>
        <w:ind w:left="708" w:firstLine="708"/>
        <w:rPr>
          <w:b/>
        </w:rPr>
      </w:pPr>
    </w:p>
    <w:p w:rsidR="00F37D60" w:rsidRPr="00E50B4A" w:rsidRDefault="00530239"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De</w:t>
      </w:r>
      <w:r w:rsidR="008F5BFF" w:rsidRPr="00E50B4A">
        <w:rPr>
          <w:rFonts w:asciiTheme="majorHAnsi" w:eastAsia="MS PMincho" w:hAnsiTheme="majorHAnsi" w:cstheme="minorHAnsi"/>
          <w:sz w:val="24"/>
          <w:szCs w:val="24"/>
        </w:rPr>
        <w:t xml:space="preserve"> acuerdo con </w:t>
      </w:r>
      <w:r w:rsidR="00F37D60" w:rsidRPr="00E50B4A">
        <w:rPr>
          <w:rFonts w:asciiTheme="majorHAnsi" w:eastAsia="MS PMincho" w:hAnsiTheme="majorHAnsi" w:cstheme="minorHAnsi"/>
          <w:sz w:val="24"/>
          <w:szCs w:val="24"/>
        </w:rPr>
        <w:t>los tratados internacionales ratificados por Colombia so</w:t>
      </w:r>
      <w:r w:rsidR="008F5BFF" w:rsidRPr="00E50B4A">
        <w:rPr>
          <w:rFonts w:asciiTheme="majorHAnsi" w:eastAsia="MS PMincho" w:hAnsiTheme="majorHAnsi" w:cstheme="minorHAnsi"/>
          <w:sz w:val="24"/>
          <w:szCs w:val="24"/>
        </w:rPr>
        <w:t>bre derechos de los niños y adolescentes; a nuestra</w:t>
      </w:r>
      <w:r w:rsidR="00F37D60" w:rsidRPr="00E50B4A">
        <w:rPr>
          <w:rFonts w:asciiTheme="majorHAnsi" w:eastAsia="MS PMincho" w:hAnsiTheme="majorHAnsi" w:cstheme="minorHAnsi"/>
          <w:sz w:val="24"/>
          <w:szCs w:val="24"/>
        </w:rPr>
        <w:t xml:space="preserve"> c</w:t>
      </w:r>
      <w:r w:rsidR="008F5BFF" w:rsidRPr="00E50B4A">
        <w:rPr>
          <w:rFonts w:asciiTheme="majorHAnsi" w:eastAsia="MS PMincho" w:hAnsiTheme="majorHAnsi" w:cstheme="minorHAnsi"/>
          <w:sz w:val="24"/>
          <w:szCs w:val="24"/>
        </w:rPr>
        <w:t xml:space="preserve">onstitución política </w:t>
      </w:r>
      <w:r w:rsidR="00F37D60" w:rsidRPr="00E50B4A">
        <w:rPr>
          <w:rFonts w:asciiTheme="majorHAnsi" w:eastAsia="MS PMincho" w:hAnsiTheme="majorHAnsi" w:cstheme="minorHAnsi"/>
          <w:sz w:val="24"/>
          <w:szCs w:val="24"/>
        </w:rPr>
        <w:t xml:space="preserve"> que ratifica la prevalencia de los derechos de NNA y el trato preferente que eso implica por parte del Estado para l</w:t>
      </w:r>
      <w:r w:rsidR="008F5BFF" w:rsidRPr="00E50B4A">
        <w:rPr>
          <w:rFonts w:asciiTheme="majorHAnsi" w:eastAsia="MS PMincho" w:hAnsiTheme="majorHAnsi" w:cstheme="minorHAnsi"/>
          <w:sz w:val="24"/>
          <w:szCs w:val="24"/>
        </w:rPr>
        <w:t>ograr la efectividad de estos  derechos;</w:t>
      </w:r>
      <w:r w:rsidR="00F37D60" w:rsidRPr="00E50B4A">
        <w:rPr>
          <w:rFonts w:asciiTheme="majorHAnsi" w:eastAsia="MS PMincho" w:hAnsiTheme="majorHAnsi" w:cstheme="minorHAnsi"/>
          <w:sz w:val="24"/>
          <w:szCs w:val="24"/>
        </w:rPr>
        <w:t xml:space="preserve"> la ley de infancia y de adolescencia y las recomendaciones y requerimientos de autoridades del control, presentamos el presente diagnóstico sobre NNA en el municipio de Riosucio.</w:t>
      </w:r>
    </w:p>
    <w:p w:rsidR="00203EEA" w:rsidRPr="00E50B4A" w:rsidRDefault="00203EEA" w:rsidP="00203EEA">
      <w:pPr>
        <w:ind w:left="708" w:firstLine="708"/>
        <w:jc w:val="center"/>
        <w:rPr>
          <w:b/>
        </w:rPr>
      </w:pPr>
      <w:r w:rsidRPr="00E50B4A">
        <w:rPr>
          <w:b/>
        </w:rPr>
        <w:t>INFORMACIÓN DE CONTEXTO</w:t>
      </w:r>
    </w:p>
    <w:p w:rsidR="00203EEA" w:rsidRPr="00E50B4A" w:rsidRDefault="00203EEA" w:rsidP="00203EEA"/>
    <w:p w:rsidR="00203EEA" w:rsidRPr="00E50B4A" w:rsidRDefault="00203EEA" w:rsidP="00203EEA"/>
    <w:p w:rsidR="00203EEA" w:rsidRPr="00E50B4A" w:rsidRDefault="00203EEA" w:rsidP="00203EEA">
      <w:pPr>
        <w:ind w:left="1416"/>
      </w:pPr>
      <w:r w:rsidRPr="00E50B4A">
        <w:rPr>
          <w:b/>
        </w:rPr>
        <w:t>CONTEXTO TERRITORIAL</w:t>
      </w:r>
    </w:p>
    <w:p w:rsidR="00203EEA" w:rsidRPr="00E50B4A" w:rsidRDefault="00203EEA" w:rsidP="00203EEA">
      <w:pPr>
        <w:ind w:left="1416"/>
      </w:pPr>
    </w:p>
    <w:p w:rsidR="00203EEA" w:rsidRPr="00E50B4A" w:rsidRDefault="008F5BFF" w:rsidP="00203EEA">
      <w:pPr>
        <w:ind w:left="1416"/>
      </w:pPr>
      <w:r w:rsidRPr="00E50B4A">
        <w:rPr>
          <w:b/>
        </w:rPr>
        <w:t>DINÁ</w:t>
      </w:r>
      <w:r w:rsidR="00203EEA" w:rsidRPr="00E50B4A">
        <w:rPr>
          <w:b/>
        </w:rPr>
        <w:t>MICA</w:t>
      </w:r>
      <w:r w:rsidRPr="00E50B4A">
        <w:rPr>
          <w:b/>
        </w:rPr>
        <w:t xml:space="preserve"> </w:t>
      </w:r>
      <w:r w:rsidR="00394C3E" w:rsidRPr="00E50B4A">
        <w:rPr>
          <w:b/>
        </w:rPr>
        <w:t>DEMOGRÁFICA</w:t>
      </w:r>
      <w:r w:rsidR="00203EEA" w:rsidRPr="00E50B4A">
        <w:t xml:space="preserve">  a partir del año 2005, en cuanto a tamaño, crecimiento, estructura, distribución y movilidad de la población , así como la proporción de hombres y mujeres por edades que lo habiten.</w:t>
      </w:r>
    </w:p>
    <w:p w:rsidR="00203EEA" w:rsidRPr="00E50B4A" w:rsidRDefault="00203EEA" w:rsidP="00203EEA">
      <w:pPr>
        <w:ind w:left="1416"/>
      </w:pPr>
    </w:p>
    <w:p w:rsidR="00203EEA" w:rsidRPr="00E50B4A" w:rsidRDefault="00203EEA" w:rsidP="00203EEA">
      <w:pPr>
        <w:ind w:left="1416"/>
        <w:rPr>
          <w:b/>
        </w:rPr>
      </w:pPr>
      <w:r w:rsidRPr="00E50B4A">
        <w:rPr>
          <w:b/>
        </w:rPr>
        <w:t>TAMAÑO.</w:t>
      </w:r>
    </w:p>
    <w:p w:rsidR="00203EEA" w:rsidRPr="00E50B4A" w:rsidRDefault="00203EEA" w:rsidP="00203EEA">
      <w:pPr>
        <w:ind w:left="1276"/>
        <w:jc w:val="both"/>
        <w:rPr>
          <w:rFonts w:ascii="Arial" w:hAnsi="Arial" w:cs="Arial"/>
        </w:rPr>
      </w:pPr>
    </w:p>
    <w:tbl>
      <w:tblPr>
        <w:tblpPr w:leftFromText="141" w:rightFromText="141" w:vertAnchor="text" w:horzAnchor="margin" w:tblpXSpec="right" w:tblpY="91"/>
        <w:tblW w:w="7325" w:type="dxa"/>
        <w:tblCellMar>
          <w:left w:w="70" w:type="dxa"/>
          <w:right w:w="70" w:type="dxa"/>
        </w:tblCellMar>
        <w:tblLook w:val="04A0" w:firstRow="1" w:lastRow="0" w:firstColumn="1" w:lastColumn="0" w:noHBand="0" w:noVBand="1"/>
      </w:tblPr>
      <w:tblGrid>
        <w:gridCol w:w="587"/>
        <w:gridCol w:w="859"/>
        <w:gridCol w:w="1075"/>
        <w:gridCol w:w="938"/>
        <w:gridCol w:w="981"/>
        <w:gridCol w:w="746"/>
        <w:gridCol w:w="1119"/>
        <w:gridCol w:w="1020"/>
      </w:tblGrid>
      <w:tr w:rsidR="00E50B4A" w:rsidRPr="00E50B4A" w:rsidTr="008F5BFF">
        <w:trPr>
          <w:trHeight w:val="252"/>
        </w:trPr>
        <w:tc>
          <w:tcPr>
            <w:tcW w:w="7325"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3EEA" w:rsidRPr="00E50B4A" w:rsidRDefault="00203EEA" w:rsidP="008F5BFF">
            <w:pPr>
              <w:jc w:val="center"/>
              <w:rPr>
                <w:rFonts w:ascii="Calibri" w:hAnsi="Calibri" w:cs="Calibri"/>
                <w:b/>
                <w:lang w:eastAsia="es-CO"/>
              </w:rPr>
            </w:pPr>
            <w:r w:rsidRPr="00E50B4A">
              <w:rPr>
                <w:rFonts w:ascii="Calibri" w:hAnsi="Calibri" w:cs="Calibri"/>
                <w:b/>
                <w:lang w:eastAsia="es-CO"/>
              </w:rPr>
              <w:t>RIOSUCIO CALDAS</w:t>
            </w:r>
          </w:p>
        </w:tc>
      </w:tr>
      <w:tr w:rsidR="00E50B4A" w:rsidRPr="00E50B4A" w:rsidTr="008F5BFF">
        <w:trPr>
          <w:trHeight w:val="252"/>
        </w:trPr>
        <w:tc>
          <w:tcPr>
            <w:tcW w:w="7325"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03EEA" w:rsidRPr="00E50B4A" w:rsidRDefault="00394C3E" w:rsidP="008F5BFF">
            <w:pPr>
              <w:jc w:val="center"/>
              <w:rPr>
                <w:rFonts w:ascii="Calibri" w:hAnsi="Calibri" w:cs="Calibri"/>
                <w:b/>
                <w:lang w:eastAsia="es-CO"/>
              </w:rPr>
            </w:pPr>
            <w:r w:rsidRPr="00E50B4A">
              <w:rPr>
                <w:rFonts w:ascii="Calibri" w:hAnsi="Calibri" w:cs="Calibri"/>
                <w:b/>
                <w:lang w:eastAsia="es-CO"/>
              </w:rPr>
              <w:t xml:space="preserve">  DINÁMICA DEMOGRÁFICA</w:t>
            </w:r>
            <w:r w:rsidR="00203EEA" w:rsidRPr="00E50B4A">
              <w:rPr>
                <w:rFonts w:ascii="Calibri" w:hAnsi="Calibri" w:cs="Calibri"/>
                <w:b/>
                <w:lang w:eastAsia="es-CO"/>
              </w:rPr>
              <w:t xml:space="preserve"> EN EL CONTEXTO TERRITORIAL</w:t>
            </w:r>
          </w:p>
        </w:tc>
      </w:tr>
      <w:tr w:rsidR="00E50B4A" w:rsidRPr="00E50B4A" w:rsidTr="008F5BFF">
        <w:trPr>
          <w:trHeight w:val="252"/>
        </w:trPr>
        <w:tc>
          <w:tcPr>
            <w:tcW w:w="345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POBLACIÓN</w:t>
            </w:r>
          </w:p>
        </w:tc>
        <w:tc>
          <w:tcPr>
            <w:tcW w:w="1727" w:type="dxa"/>
            <w:gridSpan w:val="2"/>
            <w:tcBorders>
              <w:top w:val="single" w:sz="4" w:space="0" w:color="auto"/>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CONCENTRACIÓN</w:t>
            </w:r>
          </w:p>
        </w:tc>
        <w:tc>
          <w:tcPr>
            <w:tcW w:w="2139" w:type="dxa"/>
            <w:gridSpan w:val="2"/>
            <w:tcBorders>
              <w:top w:val="single" w:sz="4" w:space="0" w:color="auto"/>
              <w:left w:val="nil"/>
              <w:bottom w:val="single" w:sz="4" w:space="0" w:color="auto"/>
              <w:right w:val="single" w:sz="4" w:space="0" w:color="auto"/>
            </w:tcBorders>
            <w:shd w:val="clear" w:color="auto" w:fill="auto"/>
            <w:noWrap/>
            <w:vAlign w:val="bottom"/>
            <w:hideMark/>
          </w:tcPr>
          <w:p w:rsidR="00203EEA" w:rsidRPr="00E50B4A" w:rsidRDefault="00394C3E" w:rsidP="008F5BFF">
            <w:pPr>
              <w:jc w:val="center"/>
              <w:rPr>
                <w:rFonts w:ascii="Calibri" w:hAnsi="Calibri" w:cs="Calibri"/>
                <w:lang w:eastAsia="es-CO"/>
              </w:rPr>
            </w:pPr>
            <w:r w:rsidRPr="00E50B4A">
              <w:rPr>
                <w:rFonts w:ascii="Calibri" w:hAnsi="Calibri" w:cs="Calibri"/>
                <w:lang w:eastAsia="es-CO"/>
              </w:rPr>
              <w:t>GÉNERO</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AÑO</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CALDAS</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RIOSUCIO</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%DEPTO</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URBANO</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RURAL</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HOMBRES</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MUJERES</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2005</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968740</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54537</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5,62</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16465</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38072</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26644</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27893</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2006</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970665</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55166</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5,68</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16631</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38535</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26823</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28343</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lastRenderedPageBreak/>
              <w:t>2007</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972590</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55841</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5,74</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16816</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39025</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27142</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28699</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2008</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974514</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56523</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5,8</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17019</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39504</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27473</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29050</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2009</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976438</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57220</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5,86</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17241</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39979</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27803</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29417</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2010</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978362</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57935</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5,92</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17482</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40453</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28146</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29789</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2011</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980281</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58627</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5,98</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17741</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40886</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28481</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30146</w:t>
            </w:r>
          </w:p>
        </w:tc>
      </w:tr>
      <w:tr w:rsidR="00E50B4A" w:rsidRPr="00E50B4A" w:rsidTr="008F5BFF">
        <w:trPr>
          <w:trHeight w:val="252"/>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w:t>
            </w:r>
          </w:p>
        </w:tc>
        <w:tc>
          <w:tcPr>
            <w:tcW w:w="85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100</w:t>
            </w:r>
          </w:p>
        </w:tc>
        <w:tc>
          <w:tcPr>
            <w:tcW w:w="107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5,98</w:t>
            </w:r>
          </w:p>
        </w:tc>
        <w:tc>
          <w:tcPr>
            <w:tcW w:w="9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lang w:eastAsia="es-CO"/>
              </w:rPr>
            </w:pPr>
            <w:r w:rsidRPr="00E50B4A">
              <w:rPr>
                <w:rFonts w:ascii="Calibri" w:hAnsi="Calibri" w:cs="Calibri"/>
                <w:lang w:eastAsia="es-CO"/>
              </w:rPr>
              <w:t> </w:t>
            </w:r>
          </w:p>
        </w:tc>
        <w:tc>
          <w:tcPr>
            <w:tcW w:w="98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30,26</w:t>
            </w:r>
          </w:p>
        </w:tc>
        <w:tc>
          <w:tcPr>
            <w:tcW w:w="746"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69,74</w:t>
            </w:r>
          </w:p>
        </w:tc>
        <w:tc>
          <w:tcPr>
            <w:tcW w:w="1119"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48,58</w:t>
            </w:r>
          </w:p>
        </w:tc>
        <w:tc>
          <w:tcPr>
            <w:tcW w:w="102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51,42</w:t>
            </w:r>
          </w:p>
        </w:tc>
      </w:tr>
    </w:tbl>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sz w:val="14"/>
          <w:szCs w:val="14"/>
          <w:lang w:val="es-ES_tradnl"/>
        </w:rPr>
      </w:pPr>
      <w:r w:rsidRPr="00E50B4A">
        <w:rPr>
          <w:rFonts w:ascii="Arial" w:hAnsi="Arial" w:cs="Arial"/>
          <w:lang w:val="es-ES_tradnl"/>
        </w:rPr>
        <w:tab/>
      </w:r>
      <w:r w:rsidRPr="00E50B4A">
        <w:rPr>
          <w:rFonts w:ascii="Arial" w:hAnsi="Arial" w:cs="Arial"/>
          <w:lang w:val="es-ES_tradnl"/>
        </w:rPr>
        <w:tab/>
      </w:r>
      <w:r w:rsidRPr="00E50B4A">
        <w:rPr>
          <w:rFonts w:ascii="Arial" w:hAnsi="Arial" w:cs="Arial"/>
          <w:sz w:val="14"/>
          <w:szCs w:val="14"/>
          <w:lang w:val="es-ES_tradnl"/>
        </w:rPr>
        <w:t>Fuente DANE, pr</w:t>
      </w:r>
      <w:r w:rsidR="00394C3E" w:rsidRPr="00E50B4A">
        <w:rPr>
          <w:rFonts w:ascii="Arial" w:hAnsi="Arial" w:cs="Arial"/>
          <w:sz w:val="14"/>
          <w:szCs w:val="14"/>
          <w:lang w:val="es-ES_tradnl"/>
        </w:rPr>
        <w:t>oyecciones censo 2005, Secretarí</w:t>
      </w:r>
      <w:r w:rsidRPr="00E50B4A">
        <w:rPr>
          <w:rFonts w:ascii="Arial" w:hAnsi="Arial" w:cs="Arial"/>
          <w:sz w:val="14"/>
          <w:szCs w:val="14"/>
          <w:lang w:val="es-ES_tradnl"/>
        </w:rPr>
        <w:t>a de Planeación y Obras Públicas Municipal.</w:t>
      </w: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r w:rsidRPr="00E50B4A">
        <w:rPr>
          <w:rFonts w:ascii="Arial" w:hAnsi="Arial" w:cs="Arial"/>
          <w:noProof/>
          <w:lang w:eastAsia="es-CO"/>
        </w:rPr>
        <w:drawing>
          <wp:inline distT="0" distB="0" distL="0" distR="0">
            <wp:extent cx="5102869" cy="2359536"/>
            <wp:effectExtent l="19050" t="0" r="21581" b="2664"/>
            <wp:docPr id="9"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r w:rsidRPr="00E50B4A">
        <w:rPr>
          <w:rFonts w:ascii="Arial" w:hAnsi="Arial" w:cs="Arial"/>
          <w:lang w:val="es-ES_tradnl"/>
        </w:rPr>
        <w:t>En el cuadro adjunto se presenta la evolución de la población del Municipio de Riosucio Caldas, comprendido desde el año 2005 hasta el 2011, utilizando la población proyección DANE, se muestra la participación del 5.98% de la población en el total del Departamento, con una concentración urbana del 30.26% y rural del 69.74% con una distribución en gén</w:t>
      </w:r>
      <w:r w:rsidR="00394C3E" w:rsidRPr="00E50B4A">
        <w:rPr>
          <w:rFonts w:ascii="Arial" w:hAnsi="Arial" w:cs="Arial"/>
          <w:lang w:val="es-ES_tradnl"/>
        </w:rPr>
        <w:t>eros del 51.42% para el género f</w:t>
      </w:r>
      <w:r w:rsidRPr="00E50B4A">
        <w:rPr>
          <w:rFonts w:ascii="Arial" w:hAnsi="Arial" w:cs="Arial"/>
          <w:lang w:val="es-ES_tradnl"/>
        </w:rPr>
        <w:t>emenino y el 48.58% del género masculino.</w:t>
      </w:r>
    </w:p>
    <w:p w:rsidR="00203EEA" w:rsidRPr="00E50B4A" w:rsidRDefault="00203EEA" w:rsidP="00203EEA">
      <w:pPr>
        <w:jc w:val="both"/>
        <w:rPr>
          <w:rFonts w:ascii="Arial" w:hAnsi="Arial" w:cs="Arial"/>
          <w:lang w:val="es-ES_tradnl"/>
        </w:rPr>
      </w:pPr>
    </w:p>
    <w:tbl>
      <w:tblPr>
        <w:tblpPr w:leftFromText="141" w:rightFromText="141" w:vertAnchor="text" w:horzAnchor="page" w:tblpX="3446" w:tblpY="121"/>
        <w:tblW w:w="7389" w:type="dxa"/>
        <w:tblCellMar>
          <w:left w:w="70" w:type="dxa"/>
          <w:right w:w="70" w:type="dxa"/>
        </w:tblCellMar>
        <w:tblLook w:val="04A0" w:firstRow="1" w:lastRow="0" w:firstColumn="1" w:lastColumn="0" w:noHBand="0" w:noVBand="1"/>
      </w:tblPr>
      <w:tblGrid>
        <w:gridCol w:w="1287"/>
        <w:gridCol w:w="1238"/>
        <w:gridCol w:w="1238"/>
        <w:gridCol w:w="1238"/>
        <w:gridCol w:w="880"/>
        <w:gridCol w:w="1508"/>
      </w:tblGrid>
      <w:tr w:rsidR="00E50B4A" w:rsidRPr="00E50B4A" w:rsidTr="008F5BFF">
        <w:trPr>
          <w:trHeight w:val="266"/>
        </w:trPr>
        <w:tc>
          <w:tcPr>
            <w:tcW w:w="588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EEA" w:rsidRPr="00E50B4A" w:rsidRDefault="00394C3E" w:rsidP="008F5BFF">
            <w:pPr>
              <w:jc w:val="center"/>
              <w:rPr>
                <w:rFonts w:ascii="Calibri" w:hAnsi="Calibri" w:cs="Calibri"/>
                <w:sz w:val="18"/>
                <w:szCs w:val="18"/>
                <w:lang w:eastAsia="es-CO"/>
              </w:rPr>
            </w:pPr>
            <w:r w:rsidRPr="00E50B4A">
              <w:rPr>
                <w:rFonts w:ascii="Calibri" w:hAnsi="Calibri" w:cs="Calibri"/>
                <w:sz w:val="18"/>
                <w:szCs w:val="18"/>
                <w:lang w:eastAsia="es-CO"/>
              </w:rPr>
              <w:t>PIRÁ</w:t>
            </w:r>
            <w:r w:rsidR="00203EEA" w:rsidRPr="00E50B4A">
              <w:rPr>
                <w:rFonts w:ascii="Calibri" w:hAnsi="Calibri" w:cs="Calibri"/>
                <w:sz w:val="18"/>
                <w:szCs w:val="18"/>
                <w:lang w:eastAsia="es-CO"/>
              </w:rPr>
              <w:t>MIDE ETAREA COMPLETA/ ESTRATOS RIOSUCIO CALDAS</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 Grupo etéreo</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sz w:val="18"/>
                <w:szCs w:val="18"/>
                <w:lang w:eastAsia="es-CO"/>
              </w:rPr>
            </w:pPr>
            <w:r w:rsidRPr="00E50B4A">
              <w:rPr>
                <w:rFonts w:ascii="Calibri" w:hAnsi="Calibri" w:cs="Calibri"/>
                <w:sz w:val="18"/>
                <w:szCs w:val="18"/>
                <w:lang w:eastAsia="es-CO"/>
              </w:rPr>
              <w:t>ESTRATOS</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sz w:val="18"/>
                <w:szCs w:val="18"/>
                <w:lang w:eastAsia="es-CO"/>
              </w:rPr>
            </w:pPr>
            <w:r w:rsidRPr="00E50B4A">
              <w:rPr>
                <w:rFonts w:ascii="Calibri" w:hAnsi="Calibri" w:cs="Calibri"/>
                <w:sz w:val="18"/>
                <w:szCs w:val="18"/>
                <w:lang w:eastAsia="es-CO"/>
              </w:rPr>
              <w:t>TOTALES</w:t>
            </w: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203EEA" w:rsidRPr="00E50B4A" w:rsidRDefault="00203EEA" w:rsidP="008F5BFF">
            <w:pPr>
              <w:rPr>
                <w:rFonts w:ascii="Calibri" w:hAnsi="Calibri" w:cs="Calibri"/>
                <w:sz w:val="18"/>
                <w:szCs w:val="18"/>
                <w:lang w:eastAsia="es-CO"/>
              </w:rPr>
            </w:pP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sz w:val="18"/>
                <w:szCs w:val="18"/>
                <w:lang w:eastAsia="es-CO"/>
              </w:rPr>
            </w:pPr>
            <w:r w:rsidRPr="00E50B4A">
              <w:rPr>
                <w:rFonts w:ascii="Calibri" w:hAnsi="Calibri" w:cs="Calibri"/>
                <w:sz w:val="18"/>
                <w:szCs w:val="18"/>
                <w:lang w:eastAsia="es-CO"/>
              </w:rPr>
              <w:t>RANGO EDAD</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sz w:val="18"/>
                <w:szCs w:val="18"/>
                <w:lang w:eastAsia="es-CO"/>
              </w:rPr>
            </w:pPr>
            <w:r w:rsidRPr="00E50B4A">
              <w:rPr>
                <w:rFonts w:ascii="Calibri" w:hAnsi="Calibri" w:cs="Calibri"/>
                <w:sz w:val="18"/>
                <w:szCs w:val="18"/>
                <w:lang w:eastAsia="es-CO"/>
              </w:rPr>
              <w:t> </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sz w:val="18"/>
                <w:szCs w:val="18"/>
                <w:lang w:eastAsia="es-CO"/>
              </w:rPr>
            </w:pPr>
            <w:r w:rsidRPr="00E50B4A">
              <w:rPr>
                <w:rFonts w:ascii="Calibri" w:hAnsi="Calibri" w:cs="Calibri"/>
                <w:sz w:val="18"/>
                <w:szCs w:val="18"/>
                <w:lang w:eastAsia="es-CO"/>
              </w:rPr>
              <w:t> </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0-4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1.586</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2.216</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1.279</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5081</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8,8</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5-9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1.566</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2.189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1.264</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5019</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8,7</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10-14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1.578</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2.205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1.273</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5056</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8,7</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15-19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1.614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2.255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1.302</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5171</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8,9</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20-24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1.583</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2.211</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1.277</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5071</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8,8</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25-29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1.010</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1.412</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815</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3237</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5,6</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30-34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1.093</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1.527</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882</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3502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6,0</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35-39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996</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1.392</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804</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3192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5,5</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40-44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1.102</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1.540</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889</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3532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6,1</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45-49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1.131</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1.580</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913</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3624</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6,3</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50-54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1.085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1.516</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875</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3476</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6,0</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55-59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880</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1.229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710</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2819</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4,9</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60-64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765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1.069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617</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2452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4,2</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65-69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657</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918</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530</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2105</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3,6</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70-74</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551</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769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444</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1764</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3,0</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75-79</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397</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555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320</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1272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2,2</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000000" w:fill="C0C0C0"/>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80 Y MÁS</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488</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681</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393</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1562</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2,7</w:t>
            </w:r>
          </w:p>
        </w:tc>
      </w:tr>
      <w:tr w:rsidR="00E50B4A" w:rsidRPr="00E50B4A" w:rsidTr="008F5BFF">
        <w:trPr>
          <w:trHeight w:val="266"/>
        </w:trPr>
        <w:tc>
          <w:tcPr>
            <w:tcW w:w="1287"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Arial" w:hAnsi="Arial" w:cs="Arial"/>
                <w:sz w:val="18"/>
                <w:szCs w:val="18"/>
                <w:lang w:eastAsia="es-CO"/>
              </w:rPr>
            </w:pPr>
            <w:r w:rsidRPr="00E50B4A">
              <w:rPr>
                <w:rFonts w:ascii="Arial" w:hAnsi="Arial" w:cs="Arial"/>
                <w:sz w:val="18"/>
                <w:szCs w:val="18"/>
                <w:lang w:eastAsia="es-CO"/>
              </w:rPr>
              <w:t>TOTALES</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18.082</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25.265</w:t>
            </w:r>
          </w:p>
        </w:tc>
        <w:tc>
          <w:tcPr>
            <w:tcW w:w="123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14.588</w:t>
            </w:r>
          </w:p>
        </w:tc>
        <w:tc>
          <w:tcPr>
            <w:tcW w:w="8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sz w:val="18"/>
                <w:szCs w:val="18"/>
                <w:lang w:eastAsia="es-CO"/>
              </w:rPr>
            </w:pPr>
            <w:r w:rsidRPr="00E50B4A">
              <w:rPr>
                <w:rFonts w:ascii="Calibri" w:hAnsi="Calibri" w:cs="Calibri"/>
                <w:sz w:val="18"/>
                <w:szCs w:val="18"/>
                <w:lang w:eastAsia="es-CO"/>
              </w:rPr>
              <w:t>57935</w:t>
            </w:r>
          </w:p>
        </w:tc>
        <w:tc>
          <w:tcPr>
            <w:tcW w:w="150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18"/>
                <w:szCs w:val="18"/>
                <w:lang w:eastAsia="es-CO"/>
              </w:rPr>
            </w:pPr>
            <w:r w:rsidRPr="00E50B4A">
              <w:rPr>
                <w:rFonts w:ascii="Calibri" w:hAnsi="Calibri" w:cs="Calibri"/>
                <w:sz w:val="18"/>
                <w:szCs w:val="18"/>
                <w:lang w:eastAsia="es-CO"/>
              </w:rPr>
              <w:t>100,0</w:t>
            </w:r>
          </w:p>
        </w:tc>
      </w:tr>
    </w:tbl>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p>
    <w:p w:rsidR="00203EEA" w:rsidRPr="00E50B4A" w:rsidRDefault="00203EEA" w:rsidP="00203EEA">
      <w:pPr>
        <w:ind w:left="1276"/>
        <w:jc w:val="both"/>
        <w:rPr>
          <w:rFonts w:ascii="Arial" w:hAnsi="Arial" w:cs="Arial"/>
          <w:lang w:val="es-ES_tradnl"/>
        </w:rPr>
      </w:pPr>
      <w:r w:rsidRPr="00E50B4A">
        <w:rPr>
          <w:rFonts w:ascii="Arial" w:hAnsi="Arial" w:cs="Arial"/>
          <w:lang w:val="es-ES_tradnl"/>
        </w:rPr>
        <w:t xml:space="preserve">   </w:t>
      </w:r>
    </w:p>
    <w:p w:rsidR="00203EEA" w:rsidRPr="00E50B4A" w:rsidRDefault="00203EEA" w:rsidP="00203EEA">
      <w:pPr>
        <w:ind w:left="1276"/>
        <w:jc w:val="both"/>
        <w:rPr>
          <w:rFonts w:ascii="Arial" w:hAnsi="Arial" w:cs="Arial"/>
          <w:lang w:val="es-ES_tradnl"/>
        </w:rPr>
      </w:pPr>
      <w:r w:rsidRPr="00E50B4A">
        <w:rPr>
          <w:rFonts w:ascii="Arial" w:hAnsi="Arial" w:cs="Arial"/>
          <w:lang w:val="es-ES_tradnl"/>
        </w:rPr>
        <w:t xml:space="preserve">    </w:t>
      </w:r>
      <w:r w:rsidRPr="00E50B4A">
        <w:rPr>
          <w:rFonts w:ascii="Arial" w:hAnsi="Arial" w:cs="Arial"/>
          <w:noProof/>
          <w:lang w:eastAsia="es-CO"/>
        </w:rPr>
        <w:drawing>
          <wp:inline distT="0" distB="0" distL="0" distR="0">
            <wp:extent cx="4747366" cy="2097365"/>
            <wp:effectExtent l="19050" t="0" r="15134" b="0"/>
            <wp:docPr id="10"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03EEA" w:rsidRPr="00E50B4A" w:rsidRDefault="00203EEA" w:rsidP="00203EEA">
      <w:pPr>
        <w:jc w:val="both"/>
        <w:rPr>
          <w:rFonts w:ascii="Arial" w:hAnsi="Arial" w:cs="Arial"/>
          <w:lang w:val="es-ES_tradnl"/>
        </w:rPr>
      </w:pPr>
    </w:p>
    <w:p w:rsidR="00203EEA" w:rsidRPr="00E50B4A" w:rsidRDefault="00203EEA" w:rsidP="00203EEA">
      <w:pPr>
        <w:ind w:left="1276"/>
        <w:rPr>
          <w:rFonts w:ascii="Arial" w:hAnsi="Arial" w:cs="Arial"/>
          <w:lang w:val="es-ES_tradnl"/>
        </w:rPr>
      </w:pPr>
      <w:r w:rsidRPr="00E50B4A">
        <w:rPr>
          <w:rFonts w:ascii="Arial" w:hAnsi="Arial" w:cs="Arial"/>
          <w:lang w:val="es-ES_tradnl"/>
        </w:rPr>
        <w:t>En la pirámide poblacional se destaca que 43.9% se encuentra entre los 0-24, lo que indica que la mayor parte de la población es relativamente joven.</w:t>
      </w:r>
    </w:p>
    <w:p w:rsidR="00203EEA" w:rsidRPr="00E50B4A" w:rsidRDefault="00203EEA" w:rsidP="00203EEA">
      <w:pPr>
        <w:ind w:left="1276"/>
        <w:rPr>
          <w:rFonts w:ascii="Arial" w:hAnsi="Arial" w:cs="Arial"/>
          <w:lang w:val="es-ES_tradnl"/>
        </w:rPr>
      </w:pPr>
      <w:r w:rsidRPr="00E50B4A">
        <w:rPr>
          <w:rFonts w:ascii="Arial" w:hAnsi="Arial" w:cs="Arial"/>
          <w:lang w:val="es-ES_tradnl"/>
        </w:rPr>
        <w:t>Un 74.82% se clasifica en estrato 1 y 2, lo que permite concluir que la mayoría de la población se considera pobre.</w:t>
      </w:r>
    </w:p>
    <w:p w:rsidR="00203EEA" w:rsidRPr="00E50B4A" w:rsidRDefault="00203EEA" w:rsidP="00203EEA">
      <w:pPr>
        <w:ind w:left="1276"/>
        <w:rPr>
          <w:rFonts w:ascii="Arial" w:hAnsi="Arial" w:cs="Arial"/>
          <w:lang w:val="es-ES_tradnl"/>
        </w:rPr>
      </w:pPr>
      <w:r w:rsidRPr="00E50B4A">
        <w:rPr>
          <w:rFonts w:ascii="Arial" w:hAnsi="Arial" w:cs="Arial"/>
          <w:lang w:val="es-ES_tradnl"/>
        </w:rPr>
        <w:t>Como parte importante de la tabulación anterior se tiene en cuenta los siguientes indicadores.</w:t>
      </w:r>
    </w:p>
    <w:p w:rsidR="00203EEA" w:rsidRPr="00E50B4A" w:rsidRDefault="00203EEA" w:rsidP="00203EEA">
      <w:pPr>
        <w:ind w:left="1276"/>
        <w:rPr>
          <w:rFonts w:ascii="Arial" w:hAnsi="Arial" w:cs="Arial"/>
          <w:lang w:val="es-ES_tradnl"/>
        </w:rPr>
      </w:pPr>
      <w:r w:rsidRPr="00E50B4A">
        <w:rPr>
          <w:rFonts w:ascii="Arial" w:hAnsi="Arial" w:cs="Arial"/>
          <w:lang w:val="es-ES_tradnl"/>
        </w:rPr>
        <w:t xml:space="preserve">Extensión territorial </w:t>
      </w:r>
      <w:r w:rsidRPr="00E50B4A">
        <w:rPr>
          <w:rFonts w:ascii="Calibri" w:hAnsi="Calibri"/>
        </w:rPr>
        <w:t>429,1 kms</w:t>
      </w:r>
      <w:r w:rsidRPr="00E50B4A">
        <w:rPr>
          <w:rFonts w:ascii="Calibri" w:hAnsi="Calibri"/>
          <w:vertAlign w:val="superscript"/>
        </w:rPr>
        <w:t>2</w:t>
      </w:r>
      <w:r w:rsidRPr="00E50B4A">
        <w:rPr>
          <w:rFonts w:ascii="Arial" w:hAnsi="Arial" w:cs="Arial"/>
          <w:lang w:val="es-ES_tradnl"/>
        </w:rPr>
        <w:t xml:space="preserve"> .</w:t>
      </w:r>
    </w:p>
    <w:p w:rsidR="00203EEA" w:rsidRPr="00E50B4A" w:rsidRDefault="00203EEA" w:rsidP="00203EEA">
      <w:pPr>
        <w:ind w:left="1276"/>
        <w:rPr>
          <w:rFonts w:ascii="Arial" w:hAnsi="Arial" w:cs="Arial"/>
          <w:lang w:val="es-ES_tradnl"/>
        </w:rPr>
      </w:pPr>
      <w:r w:rsidRPr="00E50B4A">
        <w:rPr>
          <w:rFonts w:ascii="Arial" w:hAnsi="Arial" w:cs="Arial"/>
          <w:lang w:val="es-ES_tradnl"/>
        </w:rPr>
        <w:t>Población al año 2010: 57.935 habitantes</w:t>
      </w:r>
    </w:p>
    <w:p w:rsidR="00203EEA" w:rsidRPr="00E50B4A" w:rsidRDefault="00203EEA" w:rsidP="00203EEA">
      <w:pPr>
        <w:ind w:left="1276"/>
        <w:rPr>
          <w:rFonts w:ascii="Calibri" w:hAnsi="Calibri" w:cs="Calibri"/>
          <w:lang w:eastAsia="es-CO"/>
        </w:rPr>
      </w:pPr>
      <w:r w:rsidRPr="00E50B4A">
        <w:rPr>
          <w:rFonts w:ascii="Arial" w:hAnsi="Arial" w:cs="Arial"/>
          <w:lang w:val="es-ES_tradnl"/>
        </w:rPr>
        <w:t xml:space="preserve">Población del Departamento de Caldas: </w:t>
      </w:r>
      <w:r w:rsidRPr="00E50B4A">
        <w:rPr>
          <w:rFonts w:ascii="Calibri" w:hAnsi="Calibri" w:cs="Calibri"/>
          <w:lang w:eastAsia="es-CO"/>
        </w:rPr>
        <w:t>978362 habitantes</w:t>
      </w:r>
    </w:p>
    <w:p w:rsidR="00203EEA" w:rsidRPr="00E50B4A" w:rsidRDefault="00203EEA" w:rsidP="00203EEA">
      <w:pPr>
        <w:ind w:left="1276"/>
        <w:rPr>
          <w:rFonts w:ascii="Calibri" w:hAnsi="Calibri" w:cs="Calibri"/>
          <w:lang w:eastAsia="es-CO"/>
        </w:rPr>
      </w:pPr>
      <w:r w:rsidRPr="00E50B4A">
        <w:rPr>
          <w:rFonts w:ascii="Calibri" w:hAnsi="Calibri" w:cs="Calibri"/>
          <w:lang w:eastAsia="es-CO"/>
        </w:rPr>
        <w:t>Participación Municipal: 5.98% Población Municipio/población Departamento.</w:t>
      </w:r>
    </w:p>
    <w:p w:rsidR="00203EEA" w:rsidRPr="00E50B4A" w:rsidRDefault="00203EEA" w:rsidP="00203EEA">
      <w:pPr>
        <w:ind w:left="1276"/>
        <w:rPr>
          <w:rFonts w:ascii="Calibri" w:hAnsi="Calibri" w:cs="Calibri"/>
          <w:lang w:eastAsia="es-CO"/>
        </w:rPr>
      </w:pPr>
      <w:r w:rsidRPr="00E50B4A">
        <w:rPr>
          <w:rFonts w:ascii="Calibri" w:hAnsi="Calibri" w:cs="Calibri"/>
          <w:lang w:eastAsia="es-CO"/>
        </w:rPr>
        <w:t>En cuanto al grupo de población correspondiente a los niños, niñas, jóvenes y adolescentes  entre cero y diecinueve años.</w:t>
      </w:r>
    </w:p>
    <w:p w:rsidR="00203EEA" w:rsidRPr="00E50B4A" w:rsidRDefault="00203EEA" w:rsidP="00203EEA">
      <w:pPr>
        <w:ind w:left="1276"/>
        <w:rPr>
          <w:rFonts w:ascii="Calibri" w:hAnsi="Calibri" w:cs="Calibri"/>
          <w:lang w:eastAsia="es-CO"/>
        </w:rPr>
      </w:pPr>
      <w:r w:rsidRPr="00E50B4A">
        <w:rPr>
          <w:rFonts w:ascii="Calibri" w:hAnsi="Calibri" w:cs="Calibri"/>
          <w:lang w:eastAsia="es-CO"/>
        </w:rPr>
        <w:t>La distribución del número de hogares, porcentajes de los mismo con y sin déficit, en total y desagregando por cabecera, se tiene.</w:t>
      </w:r>
    </w:p>
    <w:p w:rsidR="00203EEA" w:rsidRPr="00E50B4A" w:rsidRDefault="00203EEA" w:rsidP="00203EEA">
      <w:pPr>
        <w:ind w:left="1276"/>
        <w:rPr>
          <w:rFonts w:ascii="Calibri" w:hAnsi="Calibri" w:cs="Calibri"/>
          <w:lang w:eastAsia="es-CO"/>
        </w:rPr>
      </w:pPr>
    </w:p>
    <w:tbl>
      <w:tblPr>
        <w:tblpPr w:leftFromText="141" w:rightFromText="141" w:vertAnchor="text" w:horzAnchor="page" w:tblpX="3264" w:tblpY="-6"/>
        <w:tblW w:w="7804" w:type="dxa"/>
        <w:tblCellMar>
          <w:left w:w="70" w:type="dxa"/>
          <w:right w:w="70" w:type="dxa"/>
        </w:tblCellMar>
        <w:tblLook w:val="04A0" w:firstRow="1" w:lastRow="0" w:firstColumn="1" w:lastColumn="0" w:noHBand="0" w:noVBand="1"/>
      </w:tblPr>
      <w:tblGrid>
        <w:gridCol w:w="1294"/>
        <w:gridCol w:w="1155"/>
        <w:gridCol w:w="4618"/>
        <w:gridCol w:w="737"/>
      </w:tblGrid>
      <w:tr w:rsidR="00E50B4A" w:rsidRPr="00E50B4A" w:rsidTr="008F5BFF">
        <w:trPr>
          <w:trHeight w:val="375"/>
        </w:trPr>
        <w:tc>
          <w:tcPr>
            <w:tcW w:w="780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bCs/>
                <w:sz w:val="28"/>
                <w:szCs w:val="28"/>
                <w:lang w:eastAsia="es-CO"/>
              </w:rPr>
            </w:pPr>
            <w:r w:rsidRPr="00E50B4A">
              <w:rPr>
                <w:rFonts w:ascii="Calibri" w:hAnsi="Calibri" w:cs="Calibri"/>
                <w:b/>
                <w:bCs/>
                <w:sz w:val="28"/>
                <w:szCs w:val="28"/>
                <w:lang w:eastAsia="es-CO"/>
              </w:rPr>
              <w:t>VIVIENDAS Y HOGARES  EN RIOSUCIO CALDAS 2010</w:t>
            </w:r>
          </w:p>
        </w:tc>
      </w:tr>
      <w:tr w:rsidR="00E50B4A" w:rsidRPr="00E50B4A" w:rsidTr="008F5BFF">
        <w:trPr>
          <w:trHeight w:val="315"/>
        </w:trPr>
        <w:tc>
          <w:tcPr>
            <w:tcW w:w="1294"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bCs/>
                <w:sz w:val="24"/>
                <w:szCs w:val="24"/>
                <w:lang w:eastAsia="es-CO"/>
              </w:rPr>
            </w:pPr>
            <w:r w:rsidRPr="00E50B4A">
              <w:rPr>
                <w:rFonts w:ascii="Calibri" w:hAnsi="Calibri" w:cs="Calibri"/>
                <w:b/>
                <w:bCs/>
                <w:sz w:val="24"/>
                <w:szCs w:val="24"/>
                <w:lang w:eastAsia="es-CO"/>
              </w:rPr>
              <w:t>VIVIENDAS</w:t>
            </w:r>
          </w:p>
        </w:tc>
        <w:tc>
          <w:tcPr>
            <w:tcW w:w="115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bCs/>
                <w:sz w:val="24"/>
                <w:szCs w:val="24"/>
                <w:lang w:eastAsia="es-CO"/>
              </w:rPr>
            </w:pPr>
            <w:r w:rsidRPr="00E50B4A">
              <w:rPr>
                <w:rFonts w:ascii="Calibri" w:hAnsi="Calibri" w:cs="Calibri"/>
                <w:b/>
                <w:bCs/>
                <w:sz w:val="24"/>
                <w:szCs w:val="24"/>
                <w:lang w:eastAsia="es-CO"/>
              </w:rPr>
              <w:t>HOGARES</w:t>
            </w:r>
          </w:p>
        </w:tc>
        <w:tc>
          <w:tcPr>
            <w:tcW w:w="461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bCs/>
                <w:sz w:val="24"/>
                <w:szCs w:val="24"/>
                <w:lang w:eastAsia="es-CO"/>
              </w:rPr>
            </w:pPr>
            <w:r w:rsidRPr="00E50B4A">
              <w:rPr>
                <w:rFonts w:ascii="Calibri" w:hAnsi="Calibri" w:cs="Calibri"/>
                <w:b/>
                <w:bCs/>
                <w:sz w:val="24"/>
                <w:szCs w:val="24"/>
                <w:lang w:eastAsia="es-CO"/>
              </w:rPr>
              <w:t>HOGARES CON ACTIVIDAD ECONOMICA</w:t>
            </w:r>
          </w:p>
        </w:tc>
        <w:tc>
          <w:tcPr>
            <w:tcW w:w="737"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bCs/>
                <w:sz w:val="24"/>
                <w:szCs w:val="24"/>
                <w:lang w:eastAsia="es-CO"/>
              </w:rPr>
            </w:pPr>
            <w:r w:rsidRPr="00E50B4A">
              <w:rPr>
                <w:rFonts w:ascii="Calibri" w:hAnsi="Calibri" w:cs="Calibri"/>
                <w:b/>
                <w:bCs/>
                <w:sz w:val="24"/>
                <w:szCs w:val="24"/>
                <w:lang w:eastAsia="es-CO"/>
              </w:rPr>
              <w:t>%</w:t>
            </w:r>
          </w:p>
        </w:tc>
      </w:tr>
      <w:tr w:rsidR="00E50B4A" w:rsidRPr="00E50B4A" w:rsidTr="008F5BFF">
        <w:trPr>
          <w:trHeight w:val="315"/>
        </w:trPr>
        <w:tc>
          <w:tcPr>
            <w:tcW w:w="1294"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24"/>
                <w:szCs w:val="24"/>
                <w:lang w:eastAsia="es-CO"/>
              </w:rPr>
            </w:pPr>
            <w:r w:rsidRPr="00E50B4A">
              <w:rPr>
                <w:rFonts w:ascii="Calibri" w:hAnsi="Calibri" w:cs="Calibri"/>
                <w:sz w:val="24"/>
                <w:szCs w:val="24"/>
                <w:lang w:eastAsia="es-CO"/>
              </w:rPr>
              <w:t>10023</w:t>
            </w:r>
          </w:p>
        </w:tc>
        <w:tc>
          <w:tcPr>
            <w:tcW w:w="1155"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24"/>
                <w:szCs w:val="24"/>
                <w:lang w:eastAsia="es-CO"/>
              </w:rPr>
            </w:pPr>
            <w:r w:rsidRPr="00E50B4A">
              <w:rPr>
                <w:rFonts w:ascii="Calibri" w:hAnsi="Calibri" w:cs="Calibri"/>
                <w:sz w:val="24"/>
                <w:szCs w:val="24"/>
                <w:lang w:eastAsia="es-CO"/>
              </w:rPr>
              <w:t>9893</w:t>
            </w:r>
          </w:p>
        </w:tc>
        <w:tc>
          <w:tcPr>
            <w:tcW w:w="4618"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24"/>
                <w:szCs w:val="24"/>
                <w:lang w:eastAsia="es-CO"/>
              </w:rPr>
            </w:pPr>
            <w:r w:rsidRPr="00E50B4A">
              <w:rPr>
                <w:rFonts w:ascii="Calibri" w:hAnsi="Calibri" w:cs="Calibri"/>
                <w:sz w:val="24"/>
                <w:szCs w:val="24"/>
                <w:lang w:eastAsia="es-CO"/>
              </w:rPr>
              <w:t>327</w:t>
            </w:r>
          </w:p>
        </w:tc>
        <w:tc>
          <w:tcPr>
            <w:tcW w:w="737"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sz w:val="24"/>
                <w:szCs w:val="24"/>
                <w:lang w:eastAsia="es-CO"/>
              </w:rPr>
            </w:pPr>
            <w:r w:rsidRPr="00E50B4A">
              <w:rPr>
                <w:rFonts w:ascii="Calibri" w:hAnsi="Calibri" w:cs="Calibri"/>
                <w:sz w:val="24"/>
                <w:szCs w:val="24"/>
                <w:lang w:eastAsia="es-CO"/>
              </w:rPr>
              <w:t>3,30%</w:t>
            </w:r>
          </w:p>
        </w:tc>
      </w:tr>
    </w:tbl>
    <w:p w:rsidR="00203EEA" w:rsidRPr="00E50B4A" w:rsidRDefault="00203EEA" w:rsidP="00203EEA">
      <w:pPr>
        <w:ind w:left="1276"/>
        <w:rPr>
          <w:rFonts w:ascii="Calibri" w:hAnsi="Calibri" w:cs="Calibri"/>
          <w:lang w:eastAsia="es-CO"/>
        </w:rPr>
      </w:pPr>
    </w:p>
    <w:p w:rsidR="00203EEA" w:rsidRPr="00E50B4A" w:rsidRDefault="00203EEA" w:rsidP="00203EEA">
      <w:pPr>
        <w:ind w:left="1276"/>
        <w:rPr>
          <w:rFonts w:ascii="Calibri" w:hAnsi="Calibri" w:cs="Calibri"/>
          <w:lang w:eastAsia="es-CO"/>
        </w:rPr>
      </w:pPr>
    </w:p>
    <w:p w:rsidR="00203EEA" w:rsidRPr="00E50B4A" w:rsidRDefault="00203EEA" w:rsidP="00203EEA">
      <w:pPr>
        <w:ind w:left="1276"/>
        <w:rPr>
          <w:rFonts w:ascii="Calibri" w:hAnsi="Calibri" w:cs="Calibri"/>
          <w:lang w:eastAsia="es-CO"/>
        </w:rPr>
      </w:pPr>
      <w:r w:rsidRPr="00E50B4A">
        <w:rPr>
          <w:rFonts w:ascii="Calibri" w:hAnsi="Calibri" w:cs="Calibri"/>
          <w:lang w:eastAsia="es-CO"/>
        </w:rPr>
        <w:t xml:space="preserve"> </w:t>
      </w:r>
    </w:p>
    <w:p w:rsidR="00203EEA" w:rsidRPr="00E50B4A" w:rsidRDefault="00203EEA" w:rsidP="00203EEA">
      <w:pPr>
        <w:ind w:left="1276"/>
        <w:rPr>
          <w:rFonts w:ascii="Arial" w:hAnsi="Arial" w:cs="Arial"/>
          <w:lang w:val="es-ES_tradnl"/>
        </w:rPr>
      </w:pPr>
    </w:p>
    <w:p w:rsidR="00203EEA" w:rsidRPr="00E50B4A" w:rsidRDefault="00203EEA" w:rsidP="00203EEA">
      <w:pPr>
        <w:ind w:left="1276"/>
        <w:rPr>
          <w:rFonts w:ascii="Arial" w:hAnsi="Arial" w:cs="Arial"/>
          <w:sz w:val="16"/>
          <w:szCs w:val="16"/>
          <w:lang w:val="es-ES_tradnl"/>
        </w:rPr>
      </w:pPr>
      <w:r w:rsidRPr="00E50B4A">
        <w:rPr>
          <w:rFonts w:ascii="Arial" w:hAnsi="Arial" w:cs="Arial"/>
          <w:lang w:val="es-ES_tradnl"/>
        </w:rPr>
        <w:t xml:space="preserve">                                                 </w:t>
      </w:r>
      <w:r w:rsidRPr="00E50B4A">
        <w:rPr>
          <w:rFonts w:ascii="Arial" w:hAnsi="Arial" w:cs="Arial"/>
          <w:lang w:val="es-ES_tradnl"/>
        </w:rPr>
        <w:tab/>
      </w:r>
      <w:r w:rsidRPr="00E50B4A">
        <w:rPr>
          <w:rFonts w:ascii="Arial" w:hAnsi="Arial" w:cs="Arial"/>
          <w:lang w:val="es-ES_tradnl"/>
        </w:rPr>
        <w:tab/>
      </w:r>
      <w:r w:rsidRPr="00E50B4A">
        <w:rPr>
          <w:rFonts w:ascii="Arial" w:hAnsi="Arial" w:cs="Arial"/>
          <w:sz w:val="12"/>
          <w:szCs w:val="12"/>
          <w:lang w:val="es-ES_tradnl"/>
        </w:rPr>
        <w:t>Fuente: DANE censo General 2005, Secretaria de Planeación y Obras Públicas Municipal</w:t>
      </w:r>
      <w:r w:rsidRPr="00E50B4A">
        <w:rPr>
          <w:rFonts w:ascii="Arial" w:hAnsi="Arial" w:cs="Arial"/>
          <w:sz w:val="16"/>
          <w:szCs w:val="16"/>
          <w:lang w:val="es-ES_tradnl"/>
        </w:rPr>
        <w:t>.</w:t>
      </w:r>
    </w:p>
    <w:p w:rsidR="00203EEA" w:rsidRPr="00E50B4A" w:rsidRDefault="00203EEA" w:rsidP="00203EEA">
      <w:pPr>
        <w:rPr>
          <w:rFonts w:ascii="Arial" w:hAnsi="Arial" w:cs="Arial"/>
          <w:sz w:val="16"/>
          <w:szCs w:val="16"/>
          <w:lang w:val="es-ES_tradnl"/>
        </w:rPr>
      </w:pPr>
    </w:p>
    <w:p w:rsidR="00203EEA" w:rsidRPr="00E50B4A" w:rsidRDefault="00203EEA" w:rsidP="00203EEA">
      <w:pPr>
        <w:ind w:left="1276"/>
        <w:rPr>
          <w:rFonts w:ascii="Arial" w:hAnsi="Arial" w:cs="Arial"/>
          <w:sz w:val="16"/>
          <w:szCs w:val="16"/>
          <w:lang w:val="es-ES_tradnl"/>
        </w:rPr>
      </w:pPr>
      <w:r w:rsidRPr="00E50B4A">
        <w:rPr>
          <w:rFonts w:ascii="Arial" w:hAnsi="Arial" w:cs="Arial"/>
          <w:sz w:val="16"/>
          <w:szCs w:val="16"/>
          <w:lang w:val="es-ES_tradnl"/>
        </w:rPr>
        <w:t xml:space="preserve">         </w:t>
      </w:r>
      <w:r w:rsidRPr="00E50B4A">
        <w:rPr>
          <w:rFonts w:ascii="Arial" w:hAnsi="Arial" w:cs="Arial"/>
          <w:noProof/>
          <w:sz w:val="16"/>
          <w:szCs w:val="16"/>
          <w:lang w:eastAsia="es-CO"/>
        </w:rPr>
        <w:drawing>
          <wp:inline distT="0" distB="0" distL="0" distR="0">
            <wp:extent cx="3939265" cy="2922243"/>
            <wp:effectExtent l="19050" t="0" r="23135" b="0"/>
            <wp:docPr id="12"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sz w:val="16"/>
          <w:szCs w:val="16"/>
          <w:lang w:val="es-ES_tradnl"/>
        </w:rPr>
        <w:t>El 3.3% de los hogares tienen Actividad económica de sus viviendas.</w:t>
      </w:r>
      <w:r w:rsidRPr="00E50B4A">
        <w:rPr>
          <w:rFonts w:ascii="Arial" w:hAnsi="Arial" w:cs="Arial"/>
          <w:lang w:val="es-ES_tradnl"/>
        </w:rPr>
        <w:t xml:space="preserve"> </w:t>
      </w:r>
    </w:p>
    <w:p w:rsidR="00203EEA" w:rsidRPr="00E50B4A" w:rsidRDefault="00203EEA" w:rsidP="00203EEA">
      <w:pPr>
        <w:autoSpaceDE w:val="0"/>
        <w:autoSpaceDN w:val="0"/>
        <w:adjustRightInd w:val="0"/>
        <w:ind w:left="708" w:firstLine="708"/>
        <w:rPr>
          <w:rFonts w:ascii="Arial" w:hAnsi="Arial" w:cs="Arial"/>
          <w:lang w:val="es-ES_tradnl"/>
        </w:rPr>
      </w:pPr>
    </w:p>
    <w:tbl>
      <w:tblPr>
        <w:tblpPr w:leftFromText="141" w:rightFromText="141" w:vertAnchor="text" w:horzAnchor="page" w:tblpX="3123" w:tblpY="98"/>
        <w:tblW w:w="8499" w:type="dxa"/>
        <w:tblCellMar>
          <w:left w:w="70" w:type="dxa"/>
          <w:right w:w="70" w:type="dxa"/>
        </w:tblCellMar>
        <w:tblLook w:val="04A0" w:firstRow="1" w:lastRow="0" w:firstColumn="1" w:lastColumn="0" w:noHBand="0" w:noVBand="1"/>
      </w:tblPr>
      <w:tblGrid>
        <w:gridCol w:w="1200"/>
        <w:gridCol w:w="1272"/>
        <w:gridCol w:w="1680"/>
        <w:gridCol w:w="641"/>
        <w:gridCol w:w="1270"/>
        <w:gridCol w:w="641"/>
        <w:gridCol w:w="1154"/>
        <w:gridCol w:w="641"/>
      </w:tblGrid>
      <w:tr w:rsidR="00E50B4A" w:rsidRPr="00E50B4A" w:rsidTr="008F5BFF">
        <w:trPr>
          <w:trHeight w:val="284"/>
        </w:trPr>
        <w:tc>
          <w:tcPr>
            <w:tcW w:w="8499"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b/>
                <w:lang w:eastAsia="es-CO"/>
              </w:rPr>
            </w:pPr>
            <w:r w:rsidRPr="00E50B4A">
              <w:rPr>
                <w:rFonts w:ascii="Calibri" w:hAnsi="Calibri" w:cs="Calibri"/>
                <w:b/>
                <w:lang w:eastAsia="es-CO"/>
              </w:rPr>
              <w:t>HOGARES CO</w:t>
            </w:r>
            <w:r w:rsidR="00C52F05" w:rsidRPr="00E50B4A">
              <w:rPr>
                <w:rFonts w:ascii="Calibri" w:hAnsi="Calibri" w:cs="Calibri"/>
                <w:b/>
                <w:lang w:eastAsia="es-CO"/>
              </w:rPr>
              <w:t>N DÉFICIT Y SIN DÉFICIT</w:t>
            </w:r>
            <w:r w:rsidRPr="00E50B4A">
              <w:rPr>
                <w:rFonts w:ascii="Calibri" w:hAnsi="Calibri" w:cs="Calibri"/>
                <w:b/>
                <w:lang w:eastAsia="es-CO"/>
              </w:rPr>
              <w:t xml:space="preserve"> DE NECESIDADES BASICAS INSATISFECHAS , NBI 2010</w:t>
            </w:r>
          </w:p>
        </w:tc>
      </w:tr>
      <w:tr w:rsidR="00E50B4A" w:rsidRPr="00E50B4A" w:rsidTr="008F5BFF">
        <w:trPr>
          <w:trHeight w:val="284"/>
        </w:trPr>
        <w:tc>
          <w:tcPr>
            <w:tcW w:w="1200" w:type="dxa"/>
            <w:tcBorders>
              <w:top w:val="nil"/>
              <w:left w:val="single" w:sz="4" w:space="0" w:color="auto"/>
              <w:bottom w:val="single" w:sz="4" w:space="0" w:color="auto"/>
              <w:right w:val="single" w:sz="4" w:space="0" w:color="auto"/>
            </w:tcBorders>
            <w:shd w:val="clear" w:color="auto" w:fill="auto"/>
            <w:noWrap/>
            <w:hideMark/>
          </w:tcPr>
          <w:p w:rsidR="00203EEA" w:rsidRPr="00E50B4A" w:rsidRDefault="00203EEA" w:rsidP="008F5BFF">
            <w:pPr>
              <w:rPr>
                <w:rFonts w:ascii="Calibri" w:hAnsi="Calibri" w:cs="Calibri"/>
                <w:lang w:eastAsia="es-CO"/>
              </w:rPr>
            </w:pPr>
            <w:r w:rsidRPr="00E50B4A">
              <w:rPr>
                <w:rFonts w:ascii="Calibri" w:hAnsi="Calibri" w:cs="Calibri"/>
                <w:lang w:eastAsia="es-CO"/>
              </w:rPr>
              <w:t> </w:t>
            </w:r>
          </w:p>
        </w:tc>
        <w:tc>
          <w:tcPr>
            <w:tcW w:w="1272"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HABITANTES</w:t>
            </w:r>
          </w:p>
        </w:tc>
        <w:tc>
          <w:tcPr>
            <w:tcW w:w="1680"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rPr>
                <w:rFonts w:ascii="Calibri" w:hAnsi="Calibri" w:cs="Calibri"/>
                <w:lang w:eastAsia="es-CO"/>
              </w:rPr>
            </w:pPr>
            <w:r w:rsidRPr="00E50B4A">
              <w:rPr>
                <w:rFonts w:ascii="Calibri" w:hAnsi="Calibri" w:cs="Calibri"/>
                <w:lang w:eastAsia="es-CO"/>
              </w:rPr>
              <w:t>TOTAL HOGARES</w:t>
            </w:r>
          </w:p>
        </w:tc>
        <w:tc>
          <w:tcPr>
            <w:tcW w:w="641"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w:t>
            </w:r>
          </w:p>
        </w:tc>
        <w:tc>
          <w:tcPr>
            <w:tcW w:w="1270"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CON DEFICIT</w:t>
            </w:r>
          </w:p>
        </w:tc>
        <w:tc>
          <w:tcPr>
            <w:tcW w:w="641"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w:t>
            </w:r>
          </w:p>
        </w:tc>
        <w:tc>
          <w:tcPr>
            <w:tcW w:w="1154"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SIN DEFICIT</w:t>
            </w:r>
          </w:p>
        </w:tc>
        <w:tc>
          <w:tcPr>
            <w:tcW w:w="641" w:type="dxa"/>
            <w:tcBorders>
              <w:top w:val="nil"/>
              <w:left w:val="nil"/>
              <w:bottom w:val="single" w:sz="4" w:space="0" w:color="auto"/>
              <w:right w:val="single" w:sz="4" w:space="0" w:color="auto"/>
            </w:tcBorders>
            <w:shd w:val="clear" w:color="auto" w:fill="auto"/>
            <w:noWrap/>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w:t>
            </w:r>
          </w:p>
        </w:tc>
      </w:tr>
      <w:tr w:rsidR="00E50B4A" w:rsidRPr="00E50B4A" w:rsidTr="008F5BFF">
        <w:trPr>
          <w:trHeight w:val="284"/>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lang w:eastAsia="es-CO"/>
              </w:rPr>
            </w:pPr>
            <w:r w:rsidRPr="00E50B4A">
              <w:rPr>
                <w:rFonts w:ascii="Calibri" w:hAnsi="Calibri" w:cs="Calibri"/>
                <w:lang w:eastAsia="es-CO"/>
              </w:rPr>
              <w:t>POBLACIÓN</w:t>
            </w:r>
          </w:p>
        </w:tc>
        <w:tc>
          <w:tcPr>
            <w:tcW w:w="1272"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57935</w:t>
            </w:r>
          </w:p>
        </w:tc>
        <w:tc>
          <w:tcPr>
            <w:tcW w:w="16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9633</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100</w:t>
            </w:r>
          </w:p>
        </w:tc>
        <w:tc>
          <w:tcPr>
            <w:tcW w:w="127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2295</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23,82</w:t>
            </w:r>
          </w:p>
        </w:tc>
        <w:tc>
          <w:tcPr>
            <w:tcW w:w="1154" w:type="dxa"/>
            <w:tcBorders>
              <w:top w:val="nil"/>
              <w:left w:val="nil"/>
              <w:bottom w:val="single" w:sz="4" w:space="0" w:color="auto"/>
              <w:right w:val="single" w:sz="4" w:space="0" w:color="auto"/>
            </w:tcBorders>
            <w:shd w:val="clear" w:color="auto" w:fill="auto"/>
            <w:noWrap/>
            <w:vAlign w:val="center"/>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7338</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76,18</w:t>
            </w:r>
          </w:p>
        </w:tc>
      </w:tr>
      <w:tr w:rsidR="00E50B4A" w:rsidRPr="00E50B4A" w:rsidTr="008F5BFF">
        <w:trPr>
          <w:trHeight w:val="284"/>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lang w:eastAsia="es-CO"/>
              </w:rPr>
            </w:pPr>
            <w:r w:rsidRPr="00E50B4A">
              <w:rPr>
                <w:rFonts w:ascii="Calibri" w:hAnsi="Calibri" w:cs="Calibri"/>
                <w:lang w:eastAsia="es-CO"/>
              </w:rPr>
              <w:t xml:space="preserve">URBANO </w:t>
            </w:r>
          </w:p>
        </w:tc>
        <w:tc>
          <w:tcPr>
            <w:tcW w:w="1272"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17482</w:t>
            </w:r>
          </w:p>
        </w:tc>
        <w:tc>
          <w:tcPr>
            <w:tcW w:w="16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3994</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41,46</w:t>
            </w:r>
          </w:p>
        </w:tc>
        <w:tc>
          <w:tcPr>
            <w:tcW w:w="127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449</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11,25</w:t>
            </w:r>
          </w:p>
        </w:tc>
        <w:tc>
          <w:tcPr>
            <w:tcW w:w="1154" w:type="dxa"/>
            <w:tcBorders>
              <w:top w:val="nil"/>
              <w:left w:val="nil"/>
              <w:bottom w:val="single" w:sz="4" w:space="0" w:color="auto"/>
              <w:right w:val="single" w:sz="4" w:space="0" w:color="auto"/>
            </w:tcBorders>
            <w:shd w:val="clear" w:color="auto" w:fill="auto"/>
            <w:noWrap/>
            <w:vAlign w:val="center"/>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3545</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88,75</w:t>
            </w:r>
          </w:p>
        </w:tc>
      </w:tr>
      <w:tr w:rsidR="00E50B4A" w:rsidRPr="00E50B4A" w:rsidTr="008F5BFF">
        <w:trPr>
          <w:trHeight w:val="284"/>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03EEA" w:rsidRPr="00E50B4A" w:rsidRDefault="00203EEA" w:rsidP="008F5BFF">
            <w:pPr>
              <w:rPr>
                <w:rFonts w:ascii="Calibri" w:hAnsi="Calibri" w:cs="Calibri"/>
                <w:lang w:eastAsia="es-CO"/>
              </w:rPr>
            </w:pPr>
            <w:r w:rsidRPr="00E50B4A">
              <w:rPr>
                <w:rFonts w:ascii="Calibri" w:hAnsi="Calibri" w:cs="Calibri"/>
                <w:lang w:eastAsia="es-CO"/>
              </w:rPr>
              <w:t>RURAL</w:t>
            </w:r>
          </w:p>
        </w:tc>
        <w:tc>
          <w:tcPr>
            <w:tcW w:w="1272"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40453</w:t>
            </w:r>
          </w:p>
        </w:tc>
        <w:tc>
          <w:tcPr>
            <w:tcW w:w="168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5639</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58,54</w:t>
            </w:r>
          </w:p>
        </w:tc>
        <w:tc>
          <w:tcPr>
            <w:tcW w:w="1270"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right"/>
              <w:rPr>
                <w:rFonts w:ascii="Calibri" w:hAnsi="Calibri" w:cs="Calibri"/>
                <w:lang w:eastAsia="es-CO"/>
              </w:rPr>
            </w:pPr>
            <w:r w:rsidRPr="00E50B4A">
              <w:rPr>
                <w:rFonts w:ascii="Calibri" w:hAnsi="Calibri" w:cs="Calibri"/>
                <w:lang w:eastAsia="es-CO"/>
              </w:rPr>
              <w:t>1765</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31,3</w:t>
            </w:r>
          </w:p>
        </w:tc>
        <w:tc>
          <w:tcPr>
            <w:tcW w:w="1154" w:type="dxa"/>
            <w:tcBorders>
              <w:top w:val="nil"/>
              <w:left w:val="nil"/>
              <w:bottom w:val="single" w:sz="4" w:space="0" w:color="auto"/>
              <w:right w:val="single" w:sz="4" w:space="0" w:color="auto"/>
            </w:tcBorders>
            <w:shd w:val="clear" w:color="auto" w:fill="auto"/>
            <w:noWrap/>
            <w:vAlign w:val="center"/>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3874</w:t>
            </w:r>
          </w:p>
        </w:tc>
        <w:tc>
          <w:tcPr>
            <w:tcW w:w="641" w:type="dxa"/>
            <w:tcBorders>
              <w:top w:val="nil"/>
              <w:left w:val="nil"/>
              <w:bottom w:val="single" w:sz="4" w:space="0" w:color="auto"/>
              <w:right w:val="single" w:sz="4" w:space="0" w:color="auto"/>
            </w:tcBorders>
            <w:shd w:val="clear" w:color="auto" w:fill="auto"/>
            <w:noWrap/>
            <w:vAlign w:val="bottom"/>
            <w:hideMark/>
          </w:tcPr>
          <w:p w:rsidR="00203EEA" w:rsidRPr="00E50B4A" w:rsidRDefault="00203EEA" w:rsidP="008F5BFF">
            <w:pPr>
              <w:jc w:val="center"/>
              <w:rPr>
                <w:rFonts w:ascii="Calibri" w:hAnsi="Calibri" w:cs="Calibri"/>
                <w:lang w:eastAsia="es-CO"/>
              </w:rPr>
            </w:pPr>
            <w:r w:rsidRPr="00E50B4A">
              <w:rPr>
                <w:rFonts w:ascii="Calibri" w:hAnsi="Calibri" w:cs="Calibri"/>
                <w:lang w:eastAsia="es-CO"/>
              </w:rPr>
              <w:t>68,7</w:t>
            </w:r>
          </w:p>
        </w:tc>
      </w:tr>
    </w:tbl>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 xml:space="preserve"> </w:t>
      </w: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w:t>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U</w:t>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noProof/>
          <w:lang w:eastAsia="es-CO"/>
        </w:rPr>
        <w:drawing>
          <wp:inline distT="0" distB="0" distL="0" distR="0">
            <wp:extent cx="3855960" cy="2016187"/>
            <wp:effectExtent l="19050" t="0" r="11190" b="3113"/>
            <wp:docPr id="13"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Densidad demográfica: 135 habitantes/km</w:t>
      </w:r>
      <w:r w:rsidRPr="00E50B4A">
        <w:rPr>
          <w:rFonts w:ascii="Arial" w:hAnsi="Arial" w:cs="Arial"/>
          <w:vertAlign w:val="superscript"/>
          <w:lang w:val="es-ES_tradnl"/>
        </w:rPr>
        <w:t xml:space="preserve">2  </w:t>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noProof/>
          <w:lang w:eastAsia="es-CO"/>
        </w:rPr>
        <w:drawing>
          <wp:inline distT="0" distB="0" distL="0" distR="0">
            <wp:extent cx="3857953" cy="2628100"/>
            <wp:effectExtent l="19050" t="0" r="28247" b="800"/>
            <wp:docPr id="14"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No de hogares 9.633 hogares en Riosucio Caldas 2010</w:t>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noProof/>
          <w:lang w:eastAsia="es-CO"/>
        </w:rPr>
        <w:drawing>
          <wp:inline distT="0" distB="0" distL="0" distR="0">
            <wp:extent cx="3848100" cy="2743200"/>
            <wp:effectExtent l="19050" t="0" r="19050" b="0"/>
            <wp:docPr id="17"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noProof/>
          <w:lang w:eastAsia="es-CO"/>
        </w:rPr>
        <w:drawing>
          <wp:inline distT="0" distB="0" distL="0" distR="0">
            <wp:extent cx="3848100" cy="2743200"/>
            <wp:effectExtent l="19050" t="0" r="19050" b="0"/>
            <wp:docPr id="18"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03EEA" w:rsidRPr="00E50B4A" w:rsidRDefault="00203EEA" w:rsidP="00203EEA">
      <w:pPr>
        <w:autoSpaceDE w:val="0"/>
        <w:autoSpaceDN w:val="0"/>
        <w:adjustRightInd w:val="0"/>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No de viviendas: 10023 viviendas en Riosucio Caldas 2010</w:t>
      </w:r>
    </w:p>
    <w:p w:rsidR="00203EEA" w:rsidRPr="00E50B4A" w:rsidRDefault="00203EEA" w:rsidP="00203EEA">
      <w:pPr>
        <w:autoSpaceDE w:val="0"/>
        <w:autoSpaceDN w:val="0"/>
        <w:adjustRightInd w:val="0"/>
        <w:ind w:left="708" w:firstLine="708"/>
        <w:rPr>
          <w:rFonts w:ascii="Arial" w:hAnsi="Arial" w:cs="Arial"/>
          <w:lang w:val="es-ES_tradnl"/>
        </w:rPr>
      </w:pPr>
    </w:p>
    <w:p w:rsidR="00203EEA" w:rsidRPr="00E50B4A" w:rsidRDefault="00203EEA" w:rsidP="00203EEA">
      <w:pPr>
        <w:autoSpaceDE w:val="0"/>
        <w:autoSpaceDN w:val="0"/>
        <w:adjustRightInd w:val="0"/>
        <w:ind w:left="708" w:firstLine="708"/>
        <w:rPr>
          <w:rFonts w:ascii="Arial" w:hAnsi="Arial" w:cs="Arial"/>
          <w:lang w:val="es-ES_tradnl"/>
        </w:rPr>
      </w:pPr>
      <w:r w:rsidRPr="00E50B4A">
        <w:rPr>
          <w:rFonts w:ascii="Arial" w:hAnsi="Arial" w:cs="Arial"/>
          <w:lang w:val="es-ES_tradnl"/>
        </w:rPr>
        <w:t>Densidad demográfica: 135 habitantes/km</w:t>
      </w:r>
      <w:r w:rsidRPr="00E50B4A">
        <w:rPr>
          <w:rFonts w:ascii="Arial" w:hAnsi="Arial" w:cs="Arial"/>
          <w:vertAlign w:val="superscript"/>
          <w:lang w:val="es-ES_tradnl"/>
        </w:rPr>
        <w:t xml:space="preserve">2  </w:t>
      </w:r>
    </w:p>
    <w:p w:rsidR="00203EEA" w:rsidRPr="00E50B4A" w:rsidRDefault="00203EEA" w:rsidP="00203EEA">
      <w:pPr>
        <w:tabs>
          <w:tab w:val="left" w:pos="5599"/>
        </w:tabs>
        <w:rPr>
          <w:rFonts w:ascii="Arial" w:hAnsi="Arial" w:cs="Arial"/>
          <w:lang w:val="es-ES_tradnl"/>
        </w:rPr>
      </w:pPr>
      <w:r w:rsidRPr="00E50B4A">
        <w:rPr>
          <w:rFonts w:ascii="Arial" w:hAnsi="Arial" w:cs="Arial"/>
          <w:lang w:val="es-ES_tradnl"/>
        </w:rPr>
        <w:tab/>
      </w:r>
    </w:p>
    <w:p w:rsidR="00203EEA" w:rsidRPr="00E50B4A" w:rsidRDefault="00203EEA" w:rsidP="00203EEA">
      <w:pPr>
        <w:tabs>
          <w:tab w:val="left" w:pos="5599"/>
        </w:tabs>
        <w:rPr>
          <w:rFonts w:ascii="Arial" w:hAnsi="Arial" w:cs="Arial"/>
          <w:lang w:val="es-ES_tradnl"/>
        </w:rPr>
      </w:pPr>
    </w:p>
    <w:p w:rsidR="00203EEA" w:rsidRPr="00E50B4A" w:rsidRDefault="00203EEA" w:rsidP="00203EEA">
      <w:pPr>
        <w:tabs>
          <w:tab w:val="left" w:pos="5599"/>
        </w:tabs>
        <w:rPr>
          <w:rFonts w:ascii="Arial" w:hAnsi="Arial" w:cs="Arial"/>
          <w:lang w:val="es-ES_tradnl"/>
        </w:rPr>
      </w:pPr>
    </w:p>
    <w:p w:rsidR="00203EEA" w:rsidRPr="00E50B4A" w:rsidRDefault="00203EEA" w:rsidP="00203EEA">
      <w:pPr>
        <w:tabs>
          <w:tab w:val="left" w:pos="5599"/>
        </w:tabs>
        <w:rPr>
          <w:rFonts w:ascii="Arial" w:hAnsi="Arial" w:cs="Arial"/>
          <w:lang w:val="es-ES_tradnl"/>
        </w:rPr>
      </w:pPr>
    </w:p>
    <w:p w:rsidR="00203EEA" w:rsidRPr="00E50B4A" w:rsidRDefault="00203EEA" w:rsidP="00203EEA">
      <w:pPr>
        <w:tabs>
          <w:tab w:val="left" w:pos="5599"/>
        </w:tabs>
        <w:rPr>
          <w:rFonts w:ascii="Arial" w:hAnsi="Arial" w:cs="Arial"/>
          <w:lang w:val="es-ES_tradnl"/>
        </w:rPr>
      </w:pPr>
    </w:p>
    <w:p w:rsidR="00203EEA" w:rsidRPr="00E50B4A" w:rsidRDefault="00203EEA" w:rsidP="00203EEA">
      <w:pPr>
        <w:tabs>
          <w:tab w:val="left" w:pos="5599"/>
        </w:tabs>
        <w:rPr>
          <w:rFonts w:ascii="Arial" w:hAnsi="Arial" w:cs="Arial"/>
          <w:lang w:val="es-ES_tradnl"/>
        </w:rPr>
      </w:pPr>
    </w:p>
    <w:p w:rsidR="00203EEA" w:rsidRPr="00E50B4A" w:rsidRDefault="00203EEA" w:rsidP="00203EEA">
      <w:pPr>
        <w:tabs>
          <w:tab w:val="left" w:pos="5599"/>
        </w:tabs>
        <w:rPr>
          <w:rFonts w:ascii="Arial" w:hAnsi="Arial" w:cs="Arial"/>
          <w:lang w:val="es-ES_tradnl"/>
        </w:rPr>
      </w:pPr>
    </w:p>
    <w:p w:rsidR="00F37D60" w:rsidRPr="00E50B4A" w:rsidRDefault="00F37D60" w:rsidP="00F37D60">
      <w:pPr>
        <w:jc w:val="both"/>
        <w:rPr>
          <w:rFonts w:asciiTheme="majorHAnsi" w:eastAsia="MS PMincho" w:hAnsiTheme="majorHAnsi" w:cstheme="minorHAnsi"/>
          <w:sz w:val="24"/>
          <w:szCs w:val="24"/>
        </w:rPr>
      </w:pPr>
    </w:p>
    <w:p w:rsidR="00FD3A95" w:rsidRPr="00E50B4A" w:rsidRDefault="00FD3A95" w:rsidP="00035230">
      <w:pPr>
        <w:jc w:val="center"/>
        <w:rPr>
          <w:rFonts w:asciiTheme="majorHAnsi" w:eastAsia="MS PMincho" w:hAnsiTheme="majorHAnsi" w:cstheme="minorHAnsi"/>
          <w:sz w:val="24"/>
          <w:szCs w:val="24"/>
          <w:u w:val="single"/>
        </w:rPr>
      </w:pPr>
    </w:p>
    <w:p w:rsidR="00FD3A95" w:rsidRPr="00E50B4A" w:rsidRDefault="00FD3A95" w:rsidP="00035230">
      <w:pPr>
        <w:jc w:val="center"/>
        <w:rPr>
          <w:rFonts w:asciiTheme="majorHAnsi" w:eastAsia="MS PMincho" w:hAnsiTheme="majorHAnsi" w:cstheme="minorHAnsi"/>
          <w:sz w:val="24"/>
          <w:szCs w:val="24"/>
          <w:u w:val="single"/>
        </w:rPr>
      </w:pPr>
    </w:p>
    <w:p w:rsidR="00035230" w:rsidRPr="00E50B4A" w:rsidRDefault="00035230" w:rsidP="00035230">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Eje estratégico No 1</w:t>
      </w:r>
    </w:p>
    <w:p w:rsidR="00F37D60" w:rsidRPr="00E50B4A" w:rsidRDefault="00F37D60" w:rsidP="00035230">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Gobernabilidad pluricultural</w:t>
      </w:r>
    </w:p>
    <w:p w:rsidR="00F37D60" w:rsidRPr="00E50B4A" w:rsidRDefault="00F37D6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Es el primer eje estratégico de nuestro Plan Municipal de Desarrollo (PMD) y aborda temas para NNA como:</w:t>
      </w:r>
    </w:p>
    <w:p w:rsidR="007846C3" w:rsidRPr="00E50B4A" w:rsidRDefault="00C52F05"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Derechos Humanos y Derecho Internacional H</w:t>
      </w:r>
      <w:r w:rsidR="007846C3" w:rsidRPr="00E50B4A">
        <w:rPr>
          <w:rFonts w:asciiTheme="majorHAnsi" w:eastAsia="MS PMincho" w:hAnsiTheme="majorHAnsi" w:cstheme="minorHAnsi"/>
          <w:sz w:val="24"/>
          <w:szCs w:val="24"/>
        </w:rPr>
        <w:t>umanitario</w:t>
      </w:r>
    </w:p>
    <w:p w:rsidR="00F37D60" w:rsidRPr="00E50B4A" w:rsidRDefault="00F37D60"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Seguridad y convivencia ciudadana.</w:t>
      </w:r>
    </w:p>
    <w:p w:rsidR="00F37D60" w:rsidRPr="00E50B4A" w:rsidRDefault="00F37D60"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Espacio Público (parques).</w:t>
      </w:r>
      <w:r w:rsidR="006F4AD7" w:rsidRPr="00E50B4A">
        <w:rPr>
          <w:rFonts w:asciiTheme="majorHAnsi" w:eastAsia="MS PMincho" w:hAnsiTheme="majorHAnsi" w:cstheme="minorHAnsi"/>
          <w:sz w:val="24"/>
          <w:szCs w:val="24"/>
        </w:rPr>
        <w:t>Recrearte en Rio.</w:t>
      </w:r>
    </w:p>
    <w:p w:rsidR="00F37D60" w:rsidRPr="00E50B4A" w:rsidRDefault="00F37D60"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Derechos de los NNA víctimas de la violencia.</w:t>
      </w:r>
    </w:p>
    <w:p w:rsidR="00F37D60" w:rsidRPr="00E50B4A" w:rsidRDefault="006F4AD7"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Gestión pacífica de conflictos.</w:t>
      </w:r>
    </w:p>
    <w:p w:rsidR="006F4AD7" w:rsidRPr="00E50B4A" w:rsidRDefault="006F4AD7"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Justicia indígena y justicia ordinaria.</w:t>
      </w:r>
    </w:p>
    <w:p w:rsidR="006F4AD7" w:rsidRPr="00E50B4A" w:rsidRDefault="006F4AD7"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Cultura ciudadana.</w:t>
      </w:r>
    </w:p>
    <w:p w:rsidR="006F4AD7" w:rsidRPr="00E50B4A" w:rsidRDefault="006F4AD7"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Comunicaciones para los derechos.</w:t>
      </w:r>
    </w:p>
    <w:p w:rsidR="006F4AD7" w:rsidRPr="00E50B4A" w:rsidRDefault="006F4AD7" w:rsidP="00F37D60">
      <w:pPr>
        <w:pStyle w:val="Prrafodelista"/>
        <w:numPr>
          <w:ilvl w:val="0"/>
          <w:numId w:val="1"/>
        </w:numPr>
        <w:jc w:val="both"/>
        <w:rPr>
          <w:rFonts w:asciiTheme="majorHAnsi" w:eastAsia="MS PMincho" w:hAnsiTheme="majorHAnsi" w:cstheme="minorHAnsi"/>
          <w:sz w:val="24"/>
          <w:szCs w:val="24"/>
        </w:rPr>
      </w:pPr>
      <w:r w:rsidRPr="00E50B4A">
        <w:rPr>
          <w:rFonts w:asciiTheme="majorHAnsi" w:eastAsia="MS PMincho" w:hAnsiTheme="majorHAnsi" w:cstheme="minorHAnsi"/>
          <w:bCs/>
          <w:sz w:val="24"/>
          <w:szCs w:val="24"/>
        </w:rPr>
        <w:t>Riosucio pluricultural –hacia un consenso sobre lo fundamental para el desarrollo humano local.</w:t>
      </w:r>
    </w:p>
    <w:p w:rsidR="007846C3" w:rsidRPr="00E50B4A" w:rsidRDefault="007846C3" w:rsidP="00C05E7D">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Características del eje gobernabilidad.</w:t>
      </w:r>
    </w:p>
    <w:p w:rsidR="007846C3" w:rsidRPr="00E50B4A" w:rsidRDefault="007846C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Busca fomentar la convivencia y la seguridad </w:t>
      </w:r>
      <w:r w:rsidR="006976BC" w:rsidRPr="00E50B4A">
        <w:rPr>
          <w:rFonts w:asciiTheme="majorHAnsi" w:eastAsia="MS PMincho" w:hAnsiTheme="majorHAnsi" w:cstheme="minorHAnsi"/>
          <w:sz w:val="24"/>
          <w:szCs w:val="24"/>
        </w:rPr>
        <w:t xml:space="preserve">ciudadana </w:t>
      </w:r>
      <w:r w:rsidRPr="00E50B4A">
        <w:rPr>
          <w:rFonts w:asciiTheme="majorHAnsi" w:eastAsia="MS PMincho" w:hAnsiTheme="majorHAnsi" w:cstheme="minorHAnsi"/>
          <w:sz w:val="24"/>
          <w:szCs w:val="24"/>
        </w:rPr>
        <w:t>de NNA, abriendo espacio</w:t>
      </w:r>
      <w:r w:rsidR="00C52F05" w:rsidRPr="00E50B4A">
        <w:rPr>
          <w:rFonts w:asciiTheme="majorHAnsi" w:eastAsia="MS PMincho" w:hAnsiTheme="majorHAnsi" w:cstheme="minorHAnsi"/>
          <w:sz w:val="24"/>
          <w:szCs w:val="24"/>
        </w:rPr>
        <w:t>s</w:t>
      </w:r>
      <w:r w:rsidRPr="00E50B4A">
        <w:rPr>
          <w:rFonts w:asciiTheme="majorHAnsi" w:eastAsia="MS PMincho" w:hAnsiTheme="majorHAnsi" w:cstheme="minorHAnsi"/>
          <w:sz w:val="24"/>
          <w:szCs w:val="24"/>
        </w:rPr>
        <w:t xml:space="preserve"> públicos adecuados y limpio</w:t>
      </w:r>
      <w:r w:rsidR="00C52F05" w:rsidRPr="00E50B4A">
        <w:rPr>
          <w:rFonts w:asciiTheme="majorHAnsi" w:eastAsia="MS PMincho" w:hAnsiTheme="majorHAnsi" w:cstheme="minorHAnsi"/>
          <w:sz w:val="24"/>
          <w:szCs w:val="24"/>
        </w:rPr>
        <w:t>s</w:t>
      </w:r>
      <w:r w:rsidRPr="00E50B4A">
        <w:rPr>
          <w:rFonts w:asciiTheme="majorHAnsi" w:eastAsia="MS PMincho" w:hAnsiTheme="majorHAnsi" w:cstheme="minorHAnsi"/>
          <w:sz w:val="24"/>
          <w:szCs w:val="24"/>
        </w:rPr>
        <w:t xml:space="preserve"> para el disfrute de derechos, así mismo se ocupa de temas importantes como los derechos humanos y el derechos internacional humanitario que aborda t</w:t>
      </w:r>
      <w:r w:rsidR="006976BC" w:rsidRPr="00E50B4A">
        <w:rPr>
          <w:rFonts w:asciiTheme="majorHAnsi" w:eastAsia="MS PMincho" w:hAnsiTheme="majorHAnsi" w:cstheme="minorHAnsi"/>
          <w:sz w:val="24"/>
          <w:szCs w:val="24"/>
        </w:rPr>
        <w:t>emas de importancia</w:t>
      </w:r>
      <w:r w:rsidRPr="00E50B4A">
        <w:rPr>
          <w:rFonts w:asciiTheme="majorHAnsi" w:eastAsia="MS PMincho" w:hAnsiTheme="majorHAnsi" w:cstheme="minorHAnsi"/>
          <w:sz w:val="24"/>
          <w:szCs w:val="24"/>
        </w:rPr>
        <w:t xml:space="preserve"> como el reclutamiento forzado de NNA para  el conflicto armado, por parte de grupos armados ilegales y las Minas Antipersonal (MAP) y Munición sin explotar (MUSE)</w:t>
      </w:r>
      <w:r w:rsidR="005771E2" w:rsidRPr="00E50B4A">
        <w:rPr>
          <w:rFonts w:asciiTheme="majorHAnsi" w:eastAsia="MS PMincho" w:hAnsiTheme="majorHAnsi" w:cstheme="minorHAnsi"/>
          <w:sz w:val="24"/>
          <w:szCs w:val="24"/>
        </w:rPr>
        <w:t>.</w:t>
      </w:r>
    </w:p>
    <w:p w:rsidR="006976BC" w:rsidRPr="00E50B4A" w:rsidRDefault="006976BC" w:rsidP="00F37D60">
      <w:pPr>
        <w:jc w:val="both"/>
        <w:rPr>
          <w:rFonts w:asciiTheme="majorHAnsi" w:eastAsia="MS PMincho" w:hAnsiTheme="majorHAnsi" w:cstheme="minorHAnsi"/>
          <w:sz w:val="24"/>
          <w:szCs w:val="24"/>
        </w:rPr>
      </w:pPr>
    </w:p>
    <w:p w:rsidR="006976BC" w:rsidRPr="00E50B4A" w:rsidRDefault="006976BC" w:rsidP="00F37D60">
      <w:pPr>
        <w:jc w:val="both"/>
        <w:rPr>
          <w:rFonts w:asciiTheme="majorHAnsi" w:eastAsia="MS PMincho" w:hAnsiTheme="majorHAnsi" w:cstheme="minorHAnsi"/>
          <w:sz w:val="24"/>
          <w:szCs w:val="24"/>
        </w:rPr>
      </w:pPr>
    </w:p>
    <w:p w:rsidR="006976BC" w:rsidRPr="00E50B4A" w:rsidRDefault="006976BC" w:rsidP="00F37D60">
      <w:pPr>
        <w:jc w:val="both"/>
        <w:rPr>
          <w:rFonts w:asciiTheme="majorHAnsi" w:eastAsia="MS PMincho" w:hAnsiTheme="majorHAnsi" w:cstheme="minorHAnsi"/>
          <w:sz w:val="24"/>
          <w:szCs w:val="24"/>
        </w:rPr>
      </w:pPr>
    </w:p>
    <w:p w:rsidR="006976BC" w:rsidRPr="00E50B4A" w:rsidRDefault="006976BC" w:rsidP="00F37D60">
      <w:pPr>
        <w:jc w:val="both"/>
        <w:rPr>
          <w:rFonts w:asciiTheme="majorHAnsi" w:eastAsia="MS PMincho" w:hAnsiTheme="majorHAnsi" w:cstheme="minorHAnsi"/>
          <w:sz w:val="24"/>
          <w:szCs w:val="24"/>
        </w:rPr>
      </w:pPr>
    </w:p>
    <w:p w:rsidR="005771E2" w:rsidRPr="00E50B4A" w:rsidRDefault="005771E2"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Expulsión. Histórico desplazamiento NNA</w:t>
      </w:r>
    </w:p>
    <w:p w:rsidR="005771E2" w:rsidRPr="00E50B4A" w:rsidRDefault="005771E2" w:rsidP="00F37D60">
      <w:pPr>
        <w:jc w:val="both"/>
        <w:rPr>
          <w:rFonts w:asciiTheme="majorHAnsi" w:eastAsia="MS PMincho" w:hAnsiTheme="majorHAnsi" w:cstheme="minorHAnsi"/>
          <w:sz w:val="24"/>
          <w:szCs w:val="24"/>
        </w:rPr>
      </w:pPr>
    </w:p>
    <w:tbl>
      <w:tblPr>
        <w:tblpPr w:leftFromText="141" w:rightFromText="141" w:horzAnchor="margin" w:tblpY="903"/>
        <w:tblW w:w="0" w:type="auto"/>
        <w:tblLook w:val="04A0" w:firstRow="1" w:lastRow="0" w:firstColumn="1" w:lastColumn="0" w:noHBand="0" w:noVBand="1"/>
      </w:tblPr>
      <w:tblGrid>
        <w:gridCol w:w="1346"/>
        <w:gridCol w:w="1215"/>
        <w:gridCol w:w="1215"/>
        <w:gridCol w:w="1699"/>
        <w:gridCol w:w="1699"/>
      </w:tblGrid>
      <w:tr w:rsidR="00E50B4A" w:rsidRPr="00E50B4A" w:rsidTr="006976BC">
        <w:trPr>
          <w:trHeight w:val="356"/>
        </w:trPr>
        <w:tc>
          <w:tcPr>
            <w:tcW w:w="1346" w:type="dxa"/>
          </w:tcPr>
          <w:p w:rsidR="005771E2" w:rsidRPr="00E50B4A" w:rsidRDefault="005771E2" w:rsidP="006976BC">
            <w:r w:rsidRPr="00E50B4A">
              <w:t>MUNICIPIO</w:t>
            </w:r>
          </w:p>
        </w:tc>
        <w:tc>
          <w:tcPr>
            <w:tcW w:w="1215" w:type="dxa"/>
          </w:tcPr>
          <w:p w:rsidR="005771E2" w:rsidRPr="00E50B4A" w:rsidRDefault="005771E2" w:rsidP="006976BC">
            <w:r w:rsidRPr="00E50B4A">
              <w:t>PRIMERA INFANCIA</w:t>
            </w:r>
          </w:p>
        </w:tc>
        <w:tc>
          <w:tcPr>
            <w:tcW w:w="1215" w:type="dxa"/>
          </w:tcPr>
          <w:p w:rsidR="005771E2" w:rsidRPr="00E50B4A" w:rsidRDefault="005771E2" w:rsidP="006976BC">
            <w:r w:rsidRPr="00E50B4A">
              <w:t>NIÑO</w:t>
            </w:r>
          </w:p>
        </w:tc>
        <w:tc>
          <w:tcPr>
            <w:tcW w:w="1699" w:type="dxa"/>
          </w:tcPr>
          <w:p w:rsidR="005771E2" w:rsidRPr="00E50B4A" w:rsidRDefault="005771E2" w:rsidP="006976BC">
            <w:r w:rsidRPr="00E50B4A">
              <w:t>ADOLESCENTE</w:t>
            </w:r>
          </w:p>
        </w:tc>
        <w:tc>
          <w:tcPr>
            <w:tcW w:w="1699" w:type="dxa"/>
          </w:tcPr>
          <w:p w:rsidR="005771E2" w:rsidRPr="00E50B4A" w:rsidRDefault="005771E2" w:rsidP="006976BC">
            <w:r w:rsidRPr="00E50B4A">
              <w:t>TOTALES</w:t>
            </w:r>
          </w:p>
        </w:tc>
      </w:tr>
      <w:tr w:rsidR="00E50B4A" w:rsidRPr="00E50B4A" w:rsidTr="006976BC">
        <w:trPr>
          <w:trHeight w:val="367"/>
        </w:trPr>
        <w:tc>
          <w:tcPr>
            <w:tcW w:w="1346" w:type="dxa"/>
          </w:tcPr>
          <w:p w:rsidR="005771E2" w:rsidRPr="00E50B4A" w:rsidRDefault="005771E2" w:rsidP="006976BC">
            <w:pPr>
              <w:jc w:val="center"/>
            </w:pPr>
            <w:r w:rsidRPr="00E50B4A">
              <w:t>Riosucio</w:t>
            </w:r>
          </w:p>
        </w:tc>
        <w:tc>
          <w:tcPr>
            <w:tcW w:w="1215" w:type="dxa"/>
          </w:tcPr>
          <w:p w:rsidR="005771E2" w:rsidRPr="00E50B4A" w:rsidRDefault="005771E2" w:rsidP="006976BC">
            <w:pPr>
              <w:jc w:val="center"/>
            </w:pPr>
            <w:r w:rsidRPr="00E50B4A">
              <w:t>254</w:t>
            </w:r>
          </w:p>
        </w:tc>
        <w:tc>
          <w:tcPr>
            <w:tcW w:w="1215" w:type="dxa"/>
          </w:tcPr>
          <w:p w:rsidR="005771E2" w:rsidRPr="00E50B4A" w:rsidRDefault="005771E2" w:rsidP="006976BC">
            <w:pPr>
              <w:jc w:val="center"/>
            </w:pPr>
            <w:r w:rsidRPr="00E50B4A">
              <w:t>493</w:t>
            </w:r>
          </w:p>
        </w:tc>
        <w:tc>
          <w:tcPr>
            <w:tcW w:w="1699" w:type="dxa"/>
          </w:tcPr>
          <w:p w:rsidR="005771E2" w:rsidRPr="00E50B4A" w:rsidRDefault="005771E2" w:rsidP="006976BC">
            <w:pPr>
              <w:jc w:val="center"/>
            </w:pPr>
            <w:r w:rsidRPr="00E50B4A">
              <w:t>495</w:t>
            </w:r>
          </w:p>
        </w:tc>
        <w:tc>
          <w:tcPr>
            <w:tcW w:w="1699" w:type="dxa"/>
          </w:tcPr>
          <w:p w:rsidR="005771E2" w:rsidRPr="00E50B4A" w:rsidRDefault="005771E2" w:rsidP="006976BC">
            <w:pPr>
              <w:jc w:val="center"/>
            </w:pPr>
            <w:r w:rsidRPr="00E50B4A">
              <w:t>1242</w:t>
            </w:r>
          </w:p>
        </w:tc>
      </w:tr>
    </w:tbl>
    <w:p w:rsidR="005771E2" w:rsidRPr="00E50B4A" w:rsidRDefault="005771E2" w:rsidP="005771E2"/>
    <w:tbl>
      <w:tblPr>
        <w:tblW w:w="0" w:type="auto"/>
        <w:tblLook w:val="04A0" w:firstRow="1" w:lastRow="0" w:firstColumn="1" w:lastColumn="0" w:noHBand="0" w:noVBand="1"/>
      </w:tblPr>
      <w:tblGrid>
        <w:gridCol w:w="1356"/>
        <w:gridCol w:w="1356"/>
        <w:gridCol w:w="1357"/>
        <w:gridCol w:w="1699"/>
        <w:gridCol w:w="1699"/>
      </w:tblGrid>
      <w:tr w:rsidR="00E50B4A" w:rsidRPr="00E50B4A" w:rsidTr="005771E2">
        <w:trPr>
          <w:trHeight w:val="503"/>
        </w:trPr>
        <w:tc>
          <w:tcPr>
            <w:tcW w:w="1356" w:type="dxa"/>
          </w:tcPr>
          <w:p w:rsidR="005771E2" w:rsidRPr="00E50B4A" w:rsidRDefault="005771E2" w:rsidP="006976BC">
            <w:r w:rsidRPr="00E50B4A">
              <w:t>MUNICIPIO</w:t>
            </w:r>
          </w:p>
        </w:tc>
        <w:tc>
          <w:tcPr>
            <w:tcW w:w="1356" w:type="dxa"/>
          </w:tcPr>
          <w:p w:rsidR="005771E2" w:rsidRPr="00E50B4A" w:rsidRDefault="005771E2" w:rsidP="006976BC">
            <w:r w:rsidRPr="00E50B4A">
              <w:t>PRIMERA INFANCIA</w:t>
            </w:r>
          </w:p>
        </w:tc>
        <w:tc>
          <w:tcPr>
            <w:tcW w:w="1357" w:type="dxa"/>
          </w:tcPr>
          <w:p w:rsidR="005771E2" w:rsidRPr="00E50B4A" w:rsidRDefault="005771E2" w:rsidP="006976BC">
            <w:r w:rsidRPr="00E50B4A">
              <w:t>NIÑO</w:t>
            </w:r>
          </w:p>
        </w:tc>
        <w:tc>
          <w:tcPr>
            <w:tcW w:w="1699" w:type="dxa"/>
          </w:tcPr>
          <w:p w:rsidR="005771E2" w:rsidRPr="00E50B4A" w:rsidRDefault="005771E2" w:rsidP="006976BC">
            <w:r w:rsidRPr="00E50B4A">
              <w:t>ADOLESCENTE</w:t>
            </w:r>
          </w:p>
        </w:tc>
        <w:tc>
          <w:tcPr>
            <w:tcW w:w="1699" w:type="dxa"/>
          </w:tcPr>
          <w:p w:rsidR="005771E2" w:rsidRPr="00E50B4A" w:rsidRDefault="005771E2" w:rsidP="006976BC">
            <w:r w:rsidRPr="00E50B4A">
              <w:t>TOTALES</w:t>
            </w:r>
          </w:p>
        </w:tc>
      </w:tr>
      <w:tr w:rsidR="00FE5E29" w:rsidRPr="00E50B4A" w:rsidTr="005771E2">
        <w:trPr>
          <w:trHeight w:val="272"/>
        </w:trPr>
        <w:tc>
          <w:tcPr>
            <w:tcW w:w="1356" w:type="dxa"/>
          </w:tcPr>
          <w:p w:rsidR="005771E2" w:rsidRPr="00E50B4A" w:rsidRDefault="005771E2" w:rsidP="006976BC">
            <w:pPr>
              <w:jc w:val="center"/>
            </w:pPr>
            <w:r w:rsidRPr="00E50B4A">
              <w:t>Riosucio</w:t>
            </w:r>
          </w:p>
        </w:tc>
        <w:tc>
          <w:tcPr>
            <w:tcW w:w="1356" w:type="dxa"/>
          </w:tcPr>
          <w:p w:rsidR="005771E2" w:rsidRPr="00E50B4A" w:rsidRDefault="005771E2" w:rsidP="006976BC">
            <w:pPr>
              <w:jc w:val="center"/>
            </w:pPr>
            <w:r w:rsidRPr="00E50B4A">
              <w:t>88</w:t>
            </w:r>
          </w:p>
        </w:tc>
        <w:tc>
          <w:tcPr>
            <w:tcW w:w="1357" w:type="dxa"/>
          </w:tcPr>
          <w:p w:rsidR="005771E2" w:rsidRPr="00E50B4A" w:rsidRDefault="005771E2" w:rsidP="006976BC">
            <w:pPr>
              <w:jc w:val="center"/>
            </w:pPr>
            <w:r w:rsidRPr="00E50B4A">
              <w:t>117</w:t>
            </w:r>
          </w:p>
        </w:tc>
        <w:tc>
          <w:tcPr>
            <w:tcW w:w="1699" w:type="dxa"/>
          </w:tcPr>
          <w:p w:rsidR="005771E2" w:rsidRPr="00E50B4A" w:rsidRDefault="005771E2" w:rsidP="006976BC">
            <w:pPr>
              <w:jc w:val="center"/>
            </w:pPr>
            <w:r w:rsidRPr="00E50B4A">
              <w:t>154</w:t>
            </w:r>
          </w:p>
        </w:tc>
        <w:tc>
          <w:tcPr>
            <w:tcW w:w="1699" w:type="dxa"/>
          </w:tcPr>
          <w:p w:rsidR="005771E2" w:rsidRPr="00E50B4A" w:rsidRDefault="005771E2" w:rsidP="006976BC">
            <w:pPr>
              <w:jc w:val="center"/>
            </w:pPr>
            <w:r w:rsidRPr="00E50B4A">
              <w:t>359</w:t>
            </w:r>
          </w:p>
        </w:tc>
      </w:tr>
    </w:tbl>
    <w:p w:rsidR="005771E2" w:rsidRPr="00E50B4A" w:rsidRDefault="005771E2" w:rsidP="005771E2"/>
    <w:p w:rsidR="006976BC" w:rsidRPr="00E50B4A" w:rsidRDefault="006976BC" w:rsidP="006976BC">
      <w:r w:rsidRPr="00E50B4A">
        <w:t>Recepción. Histórica desplazamiento NNA</w:t>
      </w:r>
    </w:p>
    <w:p w:rsidR="006976BC" w:rsidRPr="00E50B4A" w:rsidRDefault="006976BC" w:rsidP="005771E2"/>
    <w:p w:rsidR="007846C3" w:rsidRPr="00E50B4A" w:rsidRDefault="007846C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Teniendo en cuenta que el gobierno nacional en coordinación con los departamentos y municipios esta aplicando la ley de atención y reparación integral a víctimas de la violencia, los NNA somos sujetos de derechos y de los principales  perjudicados por el accionar de los violentos, así que tendremos protagonismo especial para hacer efectivos derechos.</w:t>
      </w:r>
    </w:p>
    <w:p w:rsidR="00903B2C" w:rsidRPr="00E50B4A" w:rsidRDefault="00A21827"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Promover el registro de tod</w:t>
      </w:r>
    </w:p>
    <w:p w:rsidR="00903B2C" w:rsidRPr="00E50B4A" w:rsidRDefault="00903B2C" w:rsidP="00F37D60">
      <w:pPr>
        <w:jc w:val="both"/>
        <w:rPr>
          <w:rFonts w:asciiTheme="majorHAnsi" w:eastAsia="MS PMincho" w:hAnsiTheme="majorHAnsi" w:cstheme="minorHAnsi"/>
          <w:sz w:val="24"/>
          <w:szCs w:val="24"/>
        </w:rPr>
      </w:pPr>
    </w:p>
    <w:p w:rsidR="00A21827" w:rsidRPr="00E50B4A" w:rsidRDefault="00A21827"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os los NNA  y en la tarjeta de identidad, realizando jornadas especiales y descentralizadas en coordinación con la Registraduria Nacional de Estado Civil, Gobernación de Caldas, el Departamento Prosperidad Social y el IC.B.F. </w:t>
      </w:r>
    </w:p>
    <w:p w:rsidR="00903B2C" w:rsidRPr="00E50B4A" w:rsidRDefault="007846C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También abordaremos temas para que gestionemos mejores nuestras diferencias en </w:t>
      </w:r>
    </w:p>
    <w:p w:rsidR="00903B2C" w:rsidRPr="00E50B4A" w:rsidRDefault="00903B2C" w:rsidP="00F37D60">
      <w:pPr>
        <w:jc w:val="both"/>
        <w:rPr>
          <w:rFonts w:asciiTheme="majorHAnsi" w:eastAsia="MS PMincho" w:hAnsiTheme="majorHAnsi" w:cstheme="minorHAnsi"/>
          <w:sz w:val="24"/>
          <w:szCs w:val="24"/>
        </w:rPr>
      </w:pPr>
    </w:p>
    <w:p w:rsidR="00903B2C" w:rsidRPr="00E50B4A" w:rsidRDefault="00903B2C" w:rsidP="00F37D60">
      <w:pPr>
        <w:jc w:val="both"/>
        <w:rPr>
          <w:rFonts w:asciiTheme="majorHAnsi" w:eastAsia="MS PMincho" w:hAnsiTheme="majorHAnsi" w:cstheme="minorHAnsi"/>
          <w:sz w:val="24"/>
          <w:szCs w:val="24"/>
        </w:rPr>
      </w:pPr>
    </w:p>
    <w:p w:rsidR="00C651FD" w:rsidRPr="00E50B4A" w:rsidRDefault="00C651FD" w:rsidP="00F37D60">
      <w:pPr>
        <w:jc w:val="both"/>
        <w:rPr>
          <w:rFonts w:asciiTheme="majorHAnsi" w:eastAsia="MS PMincho" w:hAnsiTheme="majorHAnsi" w:cstheme="minorHAnsi"/>
          <w:sz w:val="24"/>
          <w:szCs w:val="24"/>
        </w:rPr>
      </w:pPr>
    </w:p>
    <w:p w:rsidR="00AD3530" w:rsidRPr="00E50B4A" w:rsidRDefault="00AD3530" w:rsidP="00F37D60">
      <w:pPr>
        <w:jc w:val="both"/>
        <w:rPr>
          <w:rFonts w:asciiTheme="majorHAnsi" w:eastAsia="MS PMincho" w:hAnsiTheme="majorHAnsi" w:cstheme="minorHAnsi"/>
          <w:sz w:val="24"/>
          <w:szCs w:val="24"/>
        </w:rPr>
      </w:pPr>
    </w:p>
    <w:p w:rsidR="007846C3" w:rsidRPr="00E50B4A" w:rsidRDefault="007846C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la escuela, colegio, barrio o en la familia y se hará énfasis en la cultura ciudadana en NNA, es decir en cumplimiento voluntario y a convicción de las normas que regulan la convivencia comunitaria.</w:t>
      </w:r>
    </w:p>
    <w:p w:rsidR="007846C3" w:rsidRPr="00E50B4A" w:rsidRDefault="007846C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Temas de j</w:t>
      </w:r>
      <w:r w:rsidR="003132FA" w:rsidRPr="00E50B4A">
        <w:rPr>
          <w:rFonts w:asciiTheme="majorHAnsi" w:eastAsia="MS PMincho" w:hAnsiTheme="majorHAnsi" w:cstheme="minorHAnsi"/>
          <w:sz w:val="24"/>
          <w:szCs w:val="24"/>
        </w:rPr>
        <w:t>usticia ordinaria (</w:t>
      </w:r>
      <w:r w:rsidRPr="00E50B4A">
        <w:rPr>
          <w:rFonts w:asciiTheme="majorHAnsi" w:eastAsia="MS PMincho" w:hAnsiTheme="majorHAnsi" w:cstheme="minorHAnsi"/>
          <w:sz w:val="24"/>
          <w:szCs w:val="24"/>
        </w:rPr>
        <w:t>para mestizos) e indígena será</w:t>
      </w:r>
      <w:r w:rsidR="003132FA" w:rsidRPr="00E50B4A">
        <w:rPr>
          <w:rFonts w:asciiTheme="majorHAnsi" w:eastAsia="MS PMincho" w:hAnsiTheme="majorHAnsi" w:cstheme="minorHAnsi"/>
          <w:sz w:val="24"/>
          <w:szCs w:val="24"/>
        </w:rPr>
        <w:t>n</w:t>
      </w:r>
      <w:r w:rsidRPr="00E50B4A">
        <w:rPr>
          <w:rFonts w:asciiTheme="majorHAnsi" w:eastAsia="MS PMincho" w:hAnsiTheme="majorHAnsi" w:cstheme="minorHAnsi"/>
          <w:sz w:val="24"/>
          <w:szCs w:val="24"/>
        </w:rPr>
        <w:t xml:space="preserve"> abordados y se complementa el eje con las comunicaciones para defensa, promoción y difusión de los derechos humanos.</w:t>
      </w:r>
    </w:p>
    <w:p w:rsidR="003132FA" w:rsidRPr="00E50B4A" w:rsidRDefault="000D4638" w:rsidP="00C05E7D">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Acerca de la</w:t>
      </w:r>
      <w:r w:rsidR="003132FA" w:rsidRPr="00E50B4A">
        <w:rPr>
          <w:rFonts w:asciiTheme="majorHAnsi" w:eastAsia="MS PMincho" w:hAnsiTheme="majorHAnsi" w:cstheme="minorHAnsi"/>
          <w:sz w:val="24"/>
          <w:szCs w:val="24"/>
          <w:u w:val="single"/>
        </w:rPr>
        <w:t xml:space="preserve"> gobernabilidad pluricultural </w:t>
      </w:r>
      <w:r w:rsidRPr="00E50B4A">
        <w:rPr>
          <w:rFonts w:asciiTheme="majorHAnsi" w:eastAsia="MS PMincho" w:hAnsiTheme="majorHAnsi" w:cstheme="minorHAnsi"/>
          <w:sz w:val="24"/>
          <w:szCs w:val="24"/>
          <w:u w:val="single"/>
        </w:rPr>
        <w:t xml:space="preserve">para </w:t>
      </w:r>
      <w:r w:rsidR="003132FA" w:rsidRPr="00E50B4A">
        <w:rPr>
          <w:rFonts w:asciiTheme="majorHAnsi" w:eastAsia="MS PMincho" w:hAnsiTheme="majorHAnsi" w:cstheme="minorHAnsi"/>
          <w:sz w:val="24"/>
          <w:szCs w:val="24"/>
          <w:u w:val="single"/>
        </w:rPr>
        <w:t xml:space="preserve"> NNA</w:t>
      </w:r>
    </w:p>
    <w:p w:rsidR="006976BC" w:rsidRPr="00E50B4A" w:rsidRDefault="00C05E7D"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La convivencia en parques y sitios comunitarios tiene debilidades, para adolecentes espe</w:t>
      </w:r>
      <w:r w:rsidR="001474C7" w:rsidRPr="00E50B4A">
        <w:rPr>
          <w:rFonts w:asciiTheme="majorHAnsi" w:eastAsia="MS PMincho" w:hAnsiTheme="majorHAnsi" w:cstheme="minorHAnsi"/>
          <w:sz w:val="24"/>
          <w:szCs w:val="24"/>
        </w:rPr>
        <w:t>cialmente: pocos espacios para el esparcimiento, indecuado</w:t>
      </w:r>
      <w:r w:rsidRPr="00E50B4A">
        <w:rPr>
          <w:rFonts w:asciiTheme="majorHAnsi" w:eastAsia="MS PMincho" w:hAnsiTheme="majorHAnsi" w:cstheme="minorHAnsi"/>
          <w:sz w:val="24"/>
          <w:szCs w:val="24"/>
        </w:rPr>
        <w:t xml:space="preserve"> uso del tiempo libre</w:t>
      </w:r>
      <w:r w:rsidR="00EC74B8" w:rsidRPr="00E50B4A">
        <w:rPr>
          <w:rFonts w:asciiTheme="majorHAnsi" w:eastAsia="MS PMincho" w:hAnsiTheme="majorHAnsi" w:cstheme="minorHAnsi"/>
          <w:sz w:val="24"/>
          <w:szCs w:val="24"/>
        </w:rPr>
        <w:t>,</w:t>
      </w:r>
      <w:r w:rsidRPr="00E50B4A">
        <w:rPr>
          <w:rFonts w:asciiTheme="majorHAnsi" w:eastAsia="MS PMincho" w:hAnsiTheme="majorHAnsi" w:cstheme="minorHAnsi"/>
          <w:sz w:val="24"/>
          <w:szCs w:val="24"/>
        </w:rPr>
        <w:t xml:space="preserve"> que no permite</w:t>
      </w:r>
      <w:r w:rsidR="00EC74B8" w:rsidRPr="00E50B4A">
        <w:rPr>
          <w:rFonts w:asciiTheme="majorHAnsi" w:eastAsia="MS PMincho" w:hAnsiTheme="majorHAnsi" w:cstheme="minorHAnsi"/>
          <w:sz w:val="24"/>
          <w:szCs w:val="24"/>
        </w:rPr>
        <w:t>n</w:t>
      </w:r>
      <w:r w:rsidR="006976BC" w:rsidRPr="00E50B4A">
        <w:rPr>
          <w:rFonts w:asciiTheme="majorHAnsi" w:eastAsia="MS PMincho" w:hAnsiTheme="majorHAnsi" w:cstheme="minorHAnsi"/>
          <w:sz w:val="24"/>
          <w:szCs w:val="24"/>
        </w:rPr>
        <w:t xml:space="preserve"> un sano disfrute colectivo</w:t>
      </w:r>
      <w:r w:rsidRPr="00E50B4A">
        <w:rPr>
          <w:rFonts w:asciiTheme="majorHAnsi" w:eastAsia="MS PMincho" w:hAnsiTheme="majorHAnsi" w:cstheme="minorHAnsi"/>
          <w:sz w:val="24"/>
          <w:szCs w:val="24"/>
        </w:rPr>
        <w:t xml:space="preserve"> </w:t>
      </w:r>
      <w:r w:rsidR="006976BC" w:rsidRPr="00E50B4A">
        <w:rPr>
          <w:rFonts w:asciiTheme="majorHAnsi" w:eastAsia="MS PMincho" w:hAnsiTheme="majorHAnsi" w:cstheme="minorHAnsi"/>
          <w:sz w:val="24"/>
          <w:szCs w:val="24"/>
        </w:rPr>
        <w:t>para</w:t>
      </w:r>
      <w:r w:rsidRPr="00E50B4A">
        <w:rPr>
          <w:rFonts w:asciiTheme="majorHAnsi" w:eastAsia="MS PMincho" w:hAnsiTheme="majorHAnsi" w:cstheme="minorHAnsi"/>
          <w:sz w:val="24"/>
          <w:szCs w:val="24"/>
        </w:rPr>
        <w:t xml:space="preserve"> el desa</w:t>
      </w:r>
      <w:r w:rsidR="006976BC" w:rsidRPr="00E50B4A">
        <w:rPr>
          <w:rFonts w:asciiTheme="majorHAnsi" w:eastAsia="MS PMincho" w:hAnsiTheme="majorHAnsi" w:cstheme="minorHAnsi"/>
          <w:sz w:val="24"/>
          <w:szCs w:val="24"/>
        </w:rPr>
        <w:t xml:space="preserve">rrollo de la libre personalidad. </w:t>
      </w:r>
    </w:p>
    <w:p w:rsidR="00C05E7D" w:rsidRPr="00E50B4A" w:rsidRDefault="006976BC"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w:t>
      </w:r>
      <w:r w:rsidR="00C05E7D" w:rsidRPr="00E50B4A">
        <w:rPr>
          <w:rFonts w:asciiTheme="majorHAnsi" w:eastAsia="MS PMincho" w:hAnsiTheme="majorHAnsi" w:cstheme="minorHAnsi"/>
          <w:sz w:val="24"/>
          <w:szCs w:val="24"/>
        </w:rPr>
        <w:t xml:space="preserve">os controles para que los NNA no estén en sitios en los cuales peligre su integridad  (establecimiento de venta de bebidas alcohólicas, entre otros) son débiles en la zona urbana y resguardos indígenas. </w:t>
      </w: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1474C7" w:rsidRPr="00E50B4A" w:rsidRDefault="001474C7" w:rsidP="00F37D60">
      <w:pPr>
        <w:jc w:val="both"/>
        <w:rPr>
          <w:rFonts w:asciiTheme="majorHAnsi" w:eastAsia="MS PMincho" w:hAnsiTheme="majorHAnsi" w:cstheme="minorHAnsi"/>
          <w:sz w:val="24"/>
          <w:szCs w:val="24"/>
        </w:rPr>
      </w:pPr>
    </w:p>
    <w:p w:rsidR="00AD3530" w:rsidRPr="00E50B4A" w:rsidRDefault="00C05E7D"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Hay consumo de sustancias sicoactivas (alcohol y drogas) por parte de NNA lo que repercute en probl</w:t>
      </w:r>
    </w:p>
    <w:p w:rsidR="00C05E7D" w:rsidRPr="00E50B4A" w:rsidRDefault="00C05E7D"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emas de convivencia familiar y comunitaria. Los parques principales de la zona urbana del municipio en durante el año 2011 eviden</w:t>
      </w:r>
      <w:r w:rsidR="001474C7" w:rsidRPr="00E50B4A">
        <w:rPr>
          <w:rFonts w:asciiTheme="majorHAnsi" w:eastAsia="MS PMincho" w:hAnsiTheme="majorHAnsi" w:cstheme="minorHAnsi"/>
          <w:sz w:val="24"/>
          <w:szCs w:val="24"/>
        </w:rPr>
        <w:t>cia  niveles de intolerancia</w:t>
      </w:r>
      <w:r w:rsidRPr="00E50B4A">
        <w:rPr>
          <w:rFonts w:asciiTheme="majorHAnsi" w:eastAsia="MS PMincho" w:hAnsiTheme="majorHAnsi" w:cstheme="minorHAnsi"/>
          <w:sz w:val="24"/>
          <w:szCs w:val="24"/>
        </w:rPr>
        <w:t xml:space="preserve"> </w:t>
      </w:r>
      <w:r w:rsidR="001474C7" w:rsidRPr="00E50B4A">
        <w:rPr>
          <w:rFonts w:asciiTheme="majorHAnsi" w:eastAsia="MS PMincho" w:hAnsiTheme="majorHAnsi" w:cstheme="minorHAnsi"/>
          <w:sz w:val="24"/>
          <w:szCs w:val="24"/>
        </w:rPr>
        <w:t>en entre jóvenes, quienes incurre</w:t>
      </w:r>
      <w:r w:rsidRPr="00E50B4A">
        <w:rPr>
          <w:rFonts w:asciiTheme="majorHAnsi" w:eastAsia="MS PMincho" w:hAnsiTheme="majorHAnsi" w:cstheme="minorHAnsi"/>
          <w:sz w:val="24"/>
          <w:szCs w:val="24"/>
        </w:rPr>
        <w:t xml:space="preserve">n </w:t>
      </w:r>
      <w:r w:rsidR="001474C7" w:rsidRPr="00E50B4A">
        <w:rPr>
          <w:rFonts w:asciiTheme="majorHAnsi" w:eastAsia="MS PMincho" w:hAnsiTheme="majorHAnsi" w:cstheme="minorHAnsi"/>
          <w:sz w:val="24"/>
          <w:szCs w:val="24"/>
        </w:rPr>
        <w:t xml:space="preserve">frecuentemente </w:t>
      </w:r>
      <w:r w:rsidRPr="00E50B4A">
        <w:rPr>
          <w:rFonts w:asciiTheme="majorHAnsi" w:eastAsia="MS PMincho" w:hAnsiTheme="majorHAnsi" w:cstheme="minorHAnsi"/>
          <w:sz w:val="24"/>
          <w:szCs w:val="24"/>
        </w:rPr>
        <w:t>en riñas callejeras.</w:t>
      </w:r>
    </w:p>
    <w:p w:rsidR="006976BC" w:rsidRPr="00E50B4A" w:rsidRDefault="00AC24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Durante el año 2010 se presentaron 14 valoraciones periciales por presunto maltrato infant</w:t>
      </w:r>
      <w:r w:rsidR="006976BC" w:rsidRPr="00E50B4A">
        <w:rPr>
          <w:rFonts w:asciiTheme="majorHAnsi" w:eastAsia="MS PMincho" w:hAnsiTheme="majorHAnsi" w:cstheme="minorHAnsi"/>
          <w:sz w:val="24"/>
          <w:szCs w:val="24"/>
        </w:rPr>
        <w:t>il y18 valoraciones sexológicas, además es importante anotar el sub-registro que se presenta en esta clase de ilícitos contra NNA.</w:t>
      </w:r>
    </w:p>
    <w:p w:rsidR="007A3D5C" w:rsidRPr="00E50B4A" w:rsidRDefault="007A3D5C"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H</w:t>
      </w:r>
      <w:r w:rsidR="003132FA" w:rsidRPr="00E50B4A">
        <w:rPr>
          <w:rFonts w:asciiTheme="majorHAnsi" w:eastAsia="MS PMincho" w:hAnsiTheme="majorHAnsi" w:cstheme="minorHAnsi"/>
          <w:sz w:val="24"/>
          <w:szCs w:val="24"/>
        </w:rPr>
        <w:t>emos mejorado en el municipio en algunos aspectos de la seguridad ciudadana</w:t>
      </w:r>
      <w:r w:rsidR="001474C7" w:rsidRPr="00E50B4A">
        <w:rPr>
          <w:rFonts w:asciiTheme="majorHAnsi" w:eastAsia="MS PMincho" w:hAnsiTheme="majorHAnsi" w:cstheme="minorHAnsi"/>
          <w:sz w:val="24"/>
          <w:szCs w:val="24"/>
        </w:rPr>
        <w:t xml:space="preserve"> y </w:t>
      </w:r>
      <w:r w:rsidRPr="00E50B4A">
        <w:rPr>
          <w:rFonts w:asciiTheme="majorHAnsi" w:eastAsia="MS PMincho" w:hAnsiTheme="majorHAnsi" w:cstheme="minorHAnsi"/>
          <w:sz w:val="24"/>
          <w:szCs w:val="24"/>
        </w:rPr>
        <w:t>orden público</w:t>
      </w:r>
      <w:r w:rsidR="003132FA" w:rsidRPr="00E50B4A">
        <w:rPr>
          <w:rFonts w:asciiTheme="majorHAnsi" w:eastAsia="MS PMincho" w:hAnsiTheme="majorHAnsi" w:cstheme="minorHAnsi"/>
          <w:sz w:val="24"/>
          <w:szCs w:val="24"/>
        </w:rPr>
        <w:t>,</w:t>
      </w:r>
      <w:r w:rsidRPr="00E50B4A">
        <w:rPr>
          <w:rFonts w:asciiTheme="majorHAnsi" w:eastAsia="MS PMincho" w:hAnsiTheme="majorHAnsi" w:cstheme="minorHAnsi"/>
          <w:sz w:val="24"/>
          <w:szCs w:val="24"/>
        </w:rPr>
        <w:t xml:space="preserve"> pero</w:t>
      </w:r>
      <w:r w:rsidR="00D85978" w:rsidRPr="00E50B4A">
        <w:rPr>
          <w:rFonts w:asciiTheme="majorHAnsi" w:eastAsia="MS PMincho" w:hAnsiTheme="majorHAnsi" w:cstheme="minorHAnsi"/>
          <w:sz w:val="24"/>
          <w:szCs w:val="24"/>
        </w:rPr>
        <w:t xml:space="preserve"> aún las comunidades </w:t>
      </w:r>
      <w:r w:rsidRPr="00E50B4A">
        <w:rPr>
          <w:rFonts w:asciiTheme="majorHAnsi" w:eastAsia="MS PMincho" w:hAnsiTheme="majorHAnsi" w:cstheme="minorHAnsi"/>
          <w:sz w:val="24"/>
          <w:szCs w:val="24"/>
        </w:rPr>
        <w:t xml:space="preserve">indígenas </w:t>
      </w:r>
      <w:r w:rsidR="00D85978" w:rsidRPr="00E50B4A">
        <w:rPr>
          <w:rFonts w:asciiTheme="majorHAnsi" w:eastAsia="MS PMincho" w:hAnsiTheme="majorHAnsi" w:cstheme="minorHAnsi"/>
          <w:sz w:val="24"/>
          <w:szCs w:val="24"/>
        </w:rPr>
        <w:t xml:space="preserve">nos cuentan </w:t>
      </w:r>
      <w:r w:rsidR="003132FA" w:rsidRPr="00E50B4A">
        <w:rPr>
          <w:rFonts w:asciiTheme="majorHAnsi" w:eastAsia="MS PMincho" w:hAnsiTheme="majorHAnsi" w:cstheme="minorHAnsi"/>
          <w:sz w:val="24"/>
          <w:szCs w:val="24"/>
        </w:rPr>
        <w:t xml:space="preserve"> del</w:t>
      </w:r>
      <w:r w:rsidRPr="00E50B4A">
        <w:rPr>
          <w:rFonts w:asciiTheme="majorHAnsi" w:eastAsia="MS PMincho" w:hAnsiTheme="majorHAnsi" w:cstheme="minorHAnsi"/>
          <w:sz w:val="24"/>
          <w:szCs w:val="24"/>
        </w:rPr>
        <w:t xml:space="preserve"> riesgo de reclutamiento forzado</w:t>
      </w:r>
      <w:r w:rsidR="003132FA" w:rsidRPr="00E50B4A">
        <w:rPr>
          <w:rFonts w:asciiTheme="majorHAnsi" w:eastAsia="MS PMincho" w:hAnsiTheme="majorHAnsi" w:cstheme="minorHAnsi"/>
          <w:sz w:val="24"/>
          <w:szCs w:val="24"/>
        </w:rPr>
        <w:t>, además teniendo en cuenta que</w:t>
      </w:r>
      <w:r w:rsidRPr="00E50B4A">
        <w:rPr>
          <w:rFonts w:asciiTheme="majorHAnsi" w:eastAsia="MS PMincho" w:hAnsiTheme="majorHAnsi" w:cstheme="minorHAnsi"/>
          <w:sz w:val="24"/>
          <w:szCs w:val="24"/>
        </w:rPr>
        <w:t xml:space="preserve"> en</w:t>
      </w:r>
      <w:r w:rsidR="003132FA" w:rsidRPr="00E50B4A">
        <w:rPr>
          <w:rFonts w:asciiTheme="majorHAnsi" w:eastAsia="MS PMincho" w:hAnsiTheme="majorHAnsi" w:cstheme="minorHAnsi"/>
          <w:sz w:val="24"/>
          <w:szCs w:val="24"/>
        </w:rPr>
        <w:t xml:space="preserve"> Riosucio la historia de</w:t>
      </w:r>
      <w:r w:rsidRPr="00E50B4A">
        <w:rPr>
          <w:rFonts w:asciiTheme="majorHAnsi" w:eastAsia="MS PMincho" w:hAnsiTheme="majorHAnsi" w:cstheme="minorHAnsi"/>
          <w:sz w:val="24"/>
          <w:szCs w:val="24"/>
        </w:rPr>
        <w:t>l</w:t>
      </w:r>
      <w:r w:rsidR="003132FA" w:rsidRPr="00E50B4A">
        <w:rPr>
          <w:rFonts w:asciiTheme="majorHAnsi" w:eastAsia="MS PMincho" w:hAnsiTheme="majorHAnsi" w:cstheme="minorHAnsi"/>
          <w:sz w:val="24"/>
          <w:szCs w:val="24"/>
        </w:rPr>
        <w:t xml:space="preserve"> conflicto en el municipio no se puede descartar la existencia de minas antipersonal y munición si explotar.</w:t>
      </w:r>
      <w:r w:rsidR="00EA0988" w:rsidRPr="00E50B4A">
        <w:rPr>
          <w:rFonts w:asciiTheme="majorHAnsi" w:eastAsia="MS PMincho" w:hAnsiTheme="majorHAnsi" w:cstheme="minorHAnsi"/>
          <w:sz w:val="24"/>
          <w:szCs w:val="24"/>
        </w:rPr>
        <w:t xml:space="preserve"> </w:t>
      </w:r>
    </w:p>
    <w:p w:rsidR="003132FA" w:rsidRPr="00E50B4A" w:rsidRDefault="00EA0988"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La inasistencia alimentaria ocupo en un primer reglón la atención de autoridades judiciales, (juece</w:t>
      </w:r>
      <w:r w:rsidR="007A3D5C" w:rsidRPr="00E50B4A">
        <w:rPr>
          <w:rFonts w:asciiTheme="majorHAnsi" w:eastAsia="MS PMincho" w:hAnsiTheme="majorHAnsi" w:cstheme="minorHAnsi"/>
          <w:sz w:val="24"/>
          <w:szCs w:val="24"/>
        </w:rPr>
        <w:t>s de familia) administrativas (</w:t>
      </w:r>
      <w:r w:rsidR="001474C7" w:rsidRPr="00E50B4A">
        <w:rPr>
          <w:rFonts w:asciiTheme="majorHAnsi" w:eastAsia="MS PMincho" w:hAnsiTheme="majorHAnsi" w:cstheme="minorHAnsi"/>
          <w:sz w:val="24"/>
          <w:szCs w:val="24"/>
        </w:rPr>
        <w:t>I.C.B.F. y comisarí</w:t>
      </w:r>
      <w:r w:rsidRPr="00E50B4A">
        <w:rPr>
          <w:rFonts w:asciiTheme="majorHAnsi" w:eastAsia="MS PMincho" w:hAnsiTheme="majorHAnsi" w:cstheme="minorHAnsi"/>
          <w:sz w:val="24"/>
          <w:szCs w:val="24"/>
        </w:rPr>
        <w:t>a de fa</w:t>
      </w:r>
      <w:r w:rsidR="007A3D5C" w:rsidRPr="00E50B4A">
        <w:rPr>
          <w:rFonts w:asciiTheme="majorHAnsi" w:eastAsia="MS PMincho" w:hAnsiTheme="majorHAnsi" w:cstheme="minorHAnsi"/>
          <w:sz w:val="24"/>
          <w:szCs w:val="24"/>
        </w:rPr>
        <w:t>milia) y judiciales indígenas (</w:t>
      </w:r>
      <w:r w:rsidRPr="00E50B4A">
        <w:rPr>
          <w:rFonts w:asciiTheme="majorHAnsi" w:eastAsia="MS PMincho" w:hAnsiTheme="majorHAnsi" w:cstheme="minorHAnsi"/>
          <w:sz w:val="24"/>
          <w:szCs w:val="24"/>
        </w:rPr>
        <w:t xml:space="preserve">comisiones de justicia de los resguardos indígenas). </w:t>
      </w:r>
    </w:p>
    <w:p w:rsidR="00211A83" w:rsidRPr="00E50B4A" w:rsidRDefault="00211A8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Durante el año 2011 se realizaron ciclo vías y  eventos recreativos para NNA por parte de la administración municipal, pero no existen espacios públicos institucionalizados y permanentes para el disfrute del espacio público en acciones lúdicas, recreativas, culturales, de actividad física y deportiva.</w:t>
      </w:r>
    </w:p>
    <w:p w:rsidR="00211A83" w:rsidRPr="00E50B4A" w:rsidRDefault="00211A83"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No hay </w:t>
      </w:r>
      <w:r w:rsidR="00EA0988" w:rsidRPr="00E50B4A">
        <w:rPr>
          <w:rFonts w:asciiTheme="majorHAnsi" w:eastAsia="MS PMincho" w:hAnsiTheme="majorHAnsi" w:cstheme="minorHAnsi"/>
          <w:sz w:val="24"/>
          <w:szCs w:val="24"/>
        </w:rPr>
        <w:t>en radio</w:t>
      </w:r>
      <w:r w:rsidRPr="00E50B4A">
        <w:rPr>
          <w:rFonts w:asciiTheme="majorHAnsi" w:eastAsia="MS PMincho" w:hAnsiTheme="majorHAnsi" w:cstheme="minorHAnsi"/>
          <w:sz w:val="24"/>
          <w:szCs w:val="24"/>
        </w:rPr>
        <w:t xml:space="preserve">, televisión y medios impresos, espacios de comunicación con énfasis en NNA, para que ellos desde su </w:t>
      </w:r>
      <w:r w:rsidR="00EA0988" w:rsidRPr="00E50B4A">
        <w:rPr>
          <w:rFonts w:asciiTheme="majorHAnsi" w:eastAsia="MS PMincho" w:hAnsiTheme="majorHAnsi" w:cstheme="minorHAnsi"/>
          <w:sz w:val="24"/>
          <w:szCs w:val="24"/>
        </w:rPr>
        <w:t>propia</w:t>
      </w:r>
      <w:r w:rsidR="001474C7" w:rsidRPr="00E50B4A">
        <w:rPr>
          <w:rFonts w:asciiTheme="majorHAnsi" w:eastAsia="MS PMincho" w:hAnsiTheme="majorHAnsi" w:cstheme="minorHAnsi"/>
          <w:sz w:val="24"/>
          <w:szCs w:val="24"/>
        </w:rPr>
        <w:t xml:space="preserve"> visión y contexto</w:t>
      </w:r>
      <w:r w:rsidRPr="00E50B4A">
        <w:rPr>
          <w:rFonts w:asciiTheme="majorHAnsi" w:eastAsia="MS PMincho" w:hAnsiTheme="majorHAnsi" w:cstheme="minorHAnsi"/>
          <w:sz w:val="24"/>
          <w:szCs w:val="24"/>
        </w:rPr>
        <w:t xml:space="preserve"> comuni</w:t>
      </w:r>
      <w:r w:rsidR="007A3D5C" w:rsidRPr="00E50B4A">
        <w:rPr>
          <w:rFonts w:asciiTheme="majorHAnsi" w:eastAsia="MS PMincho" w:hAnsiTheme="majorHAnsi" w:cstheme="minorHAnsi"/>
          <w:sz w:val="24"/>
          <w:szCs w:val="24"/>
        </w:rPr>
        <w:t>quen a la sociedad sus sentires propios.</w:t>
      </w:r>
    </w:p>
    <w:p w:rsidR="00663497" w:rsidRPr="00E50B4A" w:rsidRDefault="00663497" w:rsidP="00663497">
      <w:pPr>
        <w:autoSpaceDE w:val="0"/>
        <w:autoSpaceDN w:val="0"/>
        <w:adjustRightInd w:val="0"/>
        <w:spacing w:after="0" w:line="240" w:lineRule="auto"/>
        <w:jc w:val="both"/>
        <w:rPr>
          <w:rFonts w:asciiTheme="majorHAnsi" w:hAnsiTheme="majorHAnsi" w:cs="Arial"/>
          <w:b/>
          <w:bCs/>
          <w:sz w:val="24"/>
          <w:szCs w:val="24"/>
        </w:rPr>
      </w:pPr>
      <w:r w:rsidRPr="00E50B4A">
        <w:rPr>
          <w:rFonts w:asciiTheme="majorHAnsi" w:hAnsiTheme="majorHAnsi" w:cs="Arial"/>
          <w:b/>
          <w:bCs/>
          <w:sz w:val="24"/>
          <w:szCs w:val="24"/>
        </w:rPr>
        <w:t xml:space="preserve">Niños, niñas y adolescentes en situación de adoptabilidad y dados en adopción </w:t>
      </w:r>
    </w:p>
    <w:p w:rsidR="00663497" w:rsidRPr="00E50B4A" w:rsidRDefault="00663497" w:rsidP="00663497">
      <w:pPr>
        <w:autoSpaceDE w:val="0"/>
        <w:autoSpaceDN w:val="0"/>
        <w:adjustRightInd w:val="0"/>
        <w:spacing w:after="0" w:line="240" w:lineRule="auto"/>
        <w:jc w:val="both"/>
        <w:rPr>
          <w:rFonts w:asciiTheme="majorHAnsi" w:hAnsiTheme="majorHAnsi" w:cs="Arial"/>
          <w:sz w:val="24"/>
          <w:szCs w:val="24"/>
        </w:rPr>
      </w:pPr>
    </w:p>
    <w:p w:rsidR="00663497" w:rsidRPr="00E50B4A" w:rsidRDefault="00663497" w:rsidP="00663497">
      <w:pPr>
        <w:autoSpaceDE w:val="0"/>
        <w:autoSpaceDN w:val="0"/>
        <w:adjustRightInd w:val="0"/>
        <w:spacing w:after="0" w:line="240" w:lineRule="auto"/>
        <w:jc w:val="both"/>
        <w:rPr>
          <w:rFonts w:asciiTheme="majorHAnsi" w:hAnsiTheme="majorHAnsi" w:cs="Arial"/>
          <w:sz w:val="24"/>
          <w:szCs w:val="24"/>
        </w:rPr>
      </w:pPr>
    </w:p>
    <w:p w:rsidR="00663497" w:rsidRPr="00E50B4A" w:rsidRDefault="00663497" w:rsidP="00663497">
      <w:pPr>
        <w:autoSpaceDE w:val="0"/>
        <w:autoSpaceDN w:val="0"/>
        <w:adjustRightInd w:val="0"/>
        <w:spacing w:after="0" w:line="240" w:lineRule="auto"/>
        <w:jc w:val="both"/>
        <w:rPr>
          <w:rFonts w:asciiTheme="majorHAnsi" w:hAnsiTheme="majorHAnsi"/>
        </w:rPr>
      </w:pPr>
      <w:r w:rsidRPr="00E50B4A">
        <w:rPr>
          <w:rFonts w:asciiTheme="majorHAnsi" w:hAnsiTheme="majorHAnsi" w:cs="Arial"/>
          <w:sz w:val="24"/>
          <w:szCs w:val="24"/>
        </w:rPr>
        <w:t xml:space="preserve">El I.C.B.F. es la entidad que tiene la competencia para adelantar procesos de adopción, la comisaría de familia </w:t>
      </w:r>
      <w:r w:rsidRPr="00E50B4A">
        <w:rPr>
          <w:rFonts w:asciiTheme="majorHAnsi" w:hAnsiTheme="majorHAnsi"/>
        </w:rPr>
        <w:t>posee competencias preventivas, policivas y jurisdiccionales para la protección contra la violencia intrafamiliar y la conciliación de los conflictos familiares, está concentrada en acciones de prevención, atención integral y generación de condiciones que favorezcan la permanencia de los NNA en su medio familiar de ma</w:t>
      </w:r>
      <w:r w:rsidR="001474C7" w:rsidRPr="00E50B4A">
        <w:rPr>
          <w:rFonts w:asciiTheme="majorHAnsi" w:hAnsiTheme="majorHAnsi"/>
        </w:rPr>
        <w:t>nera ininterrumpida, con el objetivo de brindar</w:t>
      </w:r>
      <w:r w:rsidRPr="00E50B4A">
        <w:rPr>
          <w:rFonts w:asciiTheme="majorHAnsi" w:hAnsiTheme="majorHAnsi"/>
        </w:rPr>
        <w:t xml:space="preserve"> de protección legal a la población infantil.</w:t>
      </w:r>
    </w:p>
    <w:p w:rsidR="00663497" w:rsidRPr="00E50B4A" w:rsidRDefault="00663497" w:rsidP="00663497">
      <w:pPr>
        <w:pStyle w:val="Default"/>
        <w:jc w:val="both"/>
        <w:rPr>
          <w:rFonts w:asciiTheme="majorHAnsi" w:hAnsiTheme="majorHAnsi"/>
          <w:color w:val="auto"/>
          <w:lang w:val="es-CO"/>
        </w:rPr>
      </w:pPr>
    </w:p>
    <w:p w:rsidR="00663497" w:rsidRPr="00E50B4A" w:rsidRDefault="00663497" w:rsidP="00663497">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Para contribuir a evitar las separaciones hacen falta sistemas amplios de atención infantil e iniciativas para la reducción de la pobreza. El apoyo del gobierno mediante las políticas adecuadas, la financiación y la legislación, es vital para establecer y promover alternativas a los cuidados institucionales basadas en la familia, pues se tienen establecidas la cantidad de funciones y requerimientos que se le hacen a los municipios para la atención integral de NNA, pero desde el poder central no se le dan las herramientas necesarias para llevar a cabo la función.</w:t>
      </w:r>
    </w:p>
    <w:p w:rsidR="00663497" w:rsidRPr="00E50B4A" w:rsidRDefault="00663497" w:rsidP="00663497">
      <w:pPr>
        <w:autoSpaceDE w:val="0"/>
        <w:autoSpaceDN w:val="0"/>
        <w:adjustRightInd w:val="0"/>
        <w:spacing w:after="0" w:line="240" w:lineRule="auto"/>
        <w:jc w:val="both"/>
        <w:rPr>
          <w:rFonts w:asciiTheme="majorHAnsi" w:hAnsiTheme="majorHAnsi" w:cs="Arial"/>
          <w:b/>
          <w:sz w:val="24"/>
          <w:szCs w:val="24"/>
        </w:rPr>
      </w:pPr>
    </w:p>
    <w:p w:rsidR="00663497" w:rsidRPr="00E50B4A" w:rsidRDefault="00663497" w:rsidP="00663497">
      <w:pPr>
        <w:spacing w:line="240" w:lineRule="auto"/>
        <w:jc w:val="both"/>
        <w:rPr>
          <w:rFonts w:asciiTheme="majorHAnsi" w:eastAsia="Times New Roman" w:hAnsiTheme="majorHAnsi" w:cs="Arial"/>
          <w:bCs/>
          <w:sz w:val="24"/>
          <w:szCs w:val="24"/>
          <w:lang w:eastAsia="es-ES_tradnl"/>
        </w:rPr>
      </w:pPr>
      <w:r w:rsidRPr="00E50B4A">
        <w:rPr>
          <w:rFonts w:asciiTheme="majorHAnsi" w:hAnsiTheme="majorHAnsi" w:cs="Arial"/>
          <w:sz w:val="24"/>
          <w:szCs w:val="24"/>
        </w:rPr>
        <w:t xml:space="preserve">De acuerdo con la información reportada por el ICBF zonal occidente, 44 niños, niñas y adolescentes entre 0 y 17 años del municipio fueron declarados en situación de adoptabilidad, de los cuales 16 fueron dados en adopción, marcándose una tendencia de aumento en el último año en cuanto a la declaratoria de situación de adoptabilidad sobre todo en las </w:t>
      </w:r>
      <w:r w:rsidR="00A57A88" w:rsidRPr="00E50B4A">
        <w:rPr>
          <w:rFonts w:asciiTheme="majorHAnsi" w:eastAsia="Times New Roman" w:hAnsiTheme="majorHAnsi" w:cs="Arial"/>
          <w:bCs/>
          <w:sz w:val="24"/>
          <w:szCs w:val="24"/>
          <w:lang w:eastAsia="es-ES_tradnl"/>
        </w:rPr>
        <w:t>menores</w:t>
      </w:r>
      <w:r w:rsidRPr="00E50B4A">
        <w:rPr>
          <w:rFonts w:asciiTheme="majorHAnsi" w:eastAsia="Times New Roman" w:hAnsiTheme="majorHAnsi" w:cs="Arial"/>
          <w:bCs/>
          <w:sz w:val="24"/>
          <w:szCs w:val="24"/>
          <w:lang w:eastAsia="es-ES_tradnl"/>
        </w:rPr>
        <w:t xml:space="preserve"> y adolescentes en edades comprendidas entre 12 y 17 años.</w:t>
      </w:r>
    </w:p>
    <w:p w:rsidR="00663497" w:rsidRPr="00E50B4A" w:rsidRDefault="00663497" w:rsidP="00663497">
      <w:pPr>
        <w:spacing w:line="240" w:lineRule="auto"/>
        <w:jc w:val="both"/>
        <w:rPr>
          <w:rFonts w:asciiTheme="majorHAnsi" w:eastAsia="Times New Roman" w:hAnsiTheme="majorHAnsi" w:cs="Arial"/>
          <w:bCs/>
          <w:sz w:val="24"/>
          <w:szCs w:val="24"/>
          <w:lang w:eastAsia="es-ES_tradnl"/>
        </w:rPr>
      </w:pPr>
      <w:r w:rsidRPr="00E50B4A">
        <w:rPr>
          <w:rFonts w:asciiTheme="majorHAnsi" w:eastAsia="Times New Roman" w:hAnsiTheme="majorHAnsi" w:cs="Arial"/>
          <w:bCs/>
          <w:sz w:val="24"/>
          <w:szCs w:val="24"/>
          <w:lang w:eastAsia="es-ES_tradnl"/>
        </w:rPr>
        <w:t>Durante el año 2007 hubo una tendencia marcada de niños y niñas en edades comprendidas entre 06 y 11 años dados en adopción.</w:t>
      </w:r>
    </w:p>
    <w:p w:rsidR="00663497" w:rsidRPr="00E50B4A" w:rsidRDefault="00663497" w:rsidP="00663497">
      <w:pPr>
        <w:spacing w:line="240" w:lineRule="auto"/>
        <w:jc w:val="both"/>
        <w:rPr>
          <w:rFonts w:asciiTheme="majorHAnsi" w:hAnsiTheme="majorHAnsi" w:cs="Arial"/>
          <w:sz w:val="24"/>
          <w:szCs w:val="24"/>
        </w:rPr>
      </w:pPr>
      <w:r w:rsidRPr="00E50B4A">
        <w:rPr>
          <w:rFonts w:asciiTheme="majorHAnsi" w:hAnsiTheme="majorHAnsi" w:cs="Arial"/>
          <w:sz w:val="24"/>
          <w:szCs w:val="24"/>
        </w:rPr>
        <w:t>Se nota un sustancial crecimiento en el número de niños y niñas  entre 0 a 5 años declarados en situación de adoptabilidad en 2010.</w:t>
      </w:r>
    </w:p>
    <w:p w:rsidR="00663497" w:rsidRPr="00E50B4A" w:rsidRDefault="00663497" w:rsidP="00663497">
      <w:pPr>
        <w:spacing w:line="240" w:lineRule="auto"/>
        <w:jc w:val="both"/>
        <w:rPr>
          <w:rFonts w:asciiTheme="majorHAnsi" w:hAnsiTheme="majorHAnsi" w:cs="Arial"/>
          <w:sz w:val="24"/>
          <w:szCs w:val="24"/>
        </w:rPr>
      </w:pPr>
    </w:p>
    <w:p w:rsidR="00663497" w:rsidRPr="00E50B4A" w:rsidRDefault="00663497" w:rsidP="0011602C">
      <w:pPr>
        <w:pStyle w:val="Ttulo1"/>
        <w:rPr>
          <w:color w:val="auto"/>
        </w:rPr>
      </w:pPr>
      <w:r w:rsidRPr="00E50B4A">
        <w:rPr>
          <w:noProof/>
          <w:color w:val="auto"/>
          <w:lang w:eastAsia="es-CO"/>
        </w:rPr>
        <w:drawing>
          <wp:inline distT="0" distB="0" distL="0" distR="0">
            <wp:extent cx="2496369" cy="1222939"/>
            <wp:effectExtent l="0" t="0" r="18415" b="15875"/>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63497" w:rsidRPr="00E50B4A" w:rsidRDefault="00663497" w:rsidP="00663497">
      <w:pPr>
        <w:spacing w:line="240" w:lineRule="auto"/>
        <w:jc w:val="both"/>
        <w:rPr>
          <w:rFonts w:asciiTheme="majorHAnsi" w:hAnsiTheme="majorHAnsi" w:cs="Arial"/>
          <w:b/>
          <w:sz w:val="24"/>
          <w:szCs w:val="24"/>
        </w:rPr>
      </w:pPr>
    </w:p>
    <w:p w:rsidR="00663497" w:rsidRPr="00E50B4A" w:rsidRDefault="00663497" w:rsidP="00663497">
      <w:pPr>
        <w:spacing w:line="240" w:lineRule="auto"/>
        <w:jc w:val="center"/>
        <w:rPr>
          <w:rFonts w:asciiTheme="majorHAnsi" w:hAnsiTheme="majorHAnsi" w:cs="Arial"/>
          <w:b/>
          <w:sz w:val="24"/>
          <w:szCs w:val="24"/>
        </w:rPr>
      </w:pPr>
      <w:r w:rsidRPr="00E50B4A">
        <w:rPr>
          <w:rFonts w:asciiTheme="majorHAnsi" w:hAnsiTheme="majorHAnsi" w:cs="Arial"/>
          <w:b/>
          <w:noProof/>
          <w:sz w:val="24"/>
          <w:szCs w:val="24"/>
          <w:lang w:eastAsia="es-CO"/>
        </w:rPr>
        <w:drawing>
          <wp:inline distT="0" distB="0" distL="0" distR="0">
            <wp:extent cx="2406612" cy="1391234"/>
            <wp:effectExtent l="0" t="0" r="13335" b="19050"/>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63497" w:rsidRPr="00E50B4A" w:rsidRDefault="00663497" w:rsidP="00663497">
      <w:pPr>
        <w:rPr>
          <w:sz w:val="18"/>
          <w:szCs w:val="18"/>
        </w:rPr>
      </w:pPr>
      <w:r w:rsidRPr="00E50B4A">
        <w:rPr>
          <w:sz w:val="18"/>
          <w:szCs w:val="18"/>
        </w:rPr>
        <w:t>Fuente I.C.B.F.</w:t>
      </w:r>
    </w:p>
    <w:p w:rsidR="00663497" w:rsidRPr="00E50B4A" w:rsidRDefault="00663497" w:rsidP="00F37D60">
      <w:pPr>
        <w:jc w:val="both"/>
        <w:rPr>
          <w:rFonts w:asciiTheme="majorHAnsi" w:eastAsia="MS PMincho" w:hAnsiTheme="majorHAnsi" w:cstheme="minorHAnsi"/>
          <w:sz w:val="24"/>
          <w:szCs w:val="24"/>
        </w:rPr>
      </w:pPr>
    </w:p>
    <w:p w:rsidR="00663497" w:rsidRPr="00E50B4A" w:rsidRDefault="00663497" w:rsidP="00F37D60">
      <w:pPr>
        <w:jc w:val="both"/>
        <w:rPr>
          <w:rFonts w:asciiTheme="majorHAnsi" w:eastAsia="MS PMincho" w:hAnsiTheme="majorHAnsi" w:cstheme="minorHAnsi"/>
          <w:sz w:val="24"/>
          <w:szCs w:val="24"/>
        </w:rPr>
      </w:pPr>
    </w:p>
    <w:p w:rsidR="0011602C" w:rsidRPr="00E50B4A" w:rsidRDefault="0011602C" w:rsidP="0011602C">
      <w:pPr>
        <w:autoSpaceDE w:val="0"/>
        <w:autoSpaceDN w:val="0"/>
        <w:adjustRightInd w:val="0"/>
        <w:spacing w:after="0" w:line="240" w:lineRule="auto"/>
        <w:jc w:val="both"/>
        <w:rPr>
          <w:rFonts w:asciiTheme="majorHAnsi" w:hAnsiTheme="majorHAnsi" w:cs="Arial"/>
          <w:b/>
          <w:bCs/>
          <w:sz w:val="24"/>
          <w:szCs w:val="24"/>
          <w:u w:val="single"/>
        </w:rPr>
      </w:pPr>
      <w:r w:rsidRPr="00E50B4A">
        <w:rPr>
          <w:rFonts w:asciiTheme="majorHAnsi" w:hAnsiTheme="majorHAnsi" w:cs="Arial"/>
          <w:b/>
          <w:sz w:val="24"/>
          <w:szCs w:val="24"/>
          <w:u w:val="single"/>
        </w:rPr>
        <w:t>NNA entre 0 y 17 años</w:t>
      </w:r>
      <w:r w:rsidRPr="00E50B4A">
        <w:rPr>
          <w:rFonts w:asciiTheme="majorHAnsi" w:hAnsiTheme="majorHAnsi" w:cs="Arial"/>
          <w:b/>
          <w:bCs/>
          <w:sz w:val="24"/>
          <w:szCs w:val="24"/>
          <w:u w:val="single"/>
        </w:rPr>
        <w:t xml:space="preserve"> en situación de Calle</w:t>
      </w:r>
    </w:p>
    <w:p w:rsidR="0011602C" w:rsidRPr="00E50B4A" w:rsidRDefault="0011602C" w:rsidP="0011602C">
      <w:pPr>
        <w:autoSpaceDE w:val="0"/>
        <w:autoSpaceDN w:val="0"/>
        <w:adjustRightInd w:val="0"/>
        <w:spacing w:after="0" w:line="240" w:lineRule="auto"/>
        <w:jc w:val="both"/>
        <w:rPr>
          <w:rFonts w:asciiTheme="majorHAnsi" w:hAnsiTheme="majorHAnsi" w:cs="Arial"/>
          <w:sz w:val="24"/>
          <w:szCs w:val="24"/>
        </w:rPr>
      </w:pPr>
    </w:p>
    <w:p w:rsidR="0011602C" w:rsidRPr="00E50B4A" w:rsidRDefault="0011602C" w:rsidP="0011602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Este fenómeno se da como consecuencia de situaciones familiares que concluyen con el alejamiento y abandono de los niños por parte de los padres (por motivos varios y complejos, en general vinculados a dificultades económicas extremas o violencia intrafamiliar), o debido a la orfandad por fallecimiento de los padres. En muchos casos, el hogar queda a cargo de los hermanos mayores o de adolescentes que se agrupan por lazo de afinidad.</w:t>
      </w:r>
    </w:p>
    <w:p w:rsidR="0011602C" w:rsidRPr="00E50B4A" w:rsidRDefault="0011602C" w:rsidP="0011602C">
      <w:pPr>
        <w:autoSpaceDE w:val="0"/>
        <w:autoSpaceDN w:val="0"/>
        <w:adjustRightInd w:val="0"/>
        <w:spacing w:after="0" w:line="240" w:lineRule="auto"/>
        <w:jc w:val="both"/>
        <w:rPr>
          <w:rFonts w:asciiTheme="majorHAnsi" w:hAnsiTheme="majorHAnsi" w:cs="Arial"/>
          <w:sz w:val="24"/>
          <w:szCs w:val="24"/>
        </w:rPr>
      </w:pPr>
    </w:p>
    <w:p w:rsidR="0011602C" w:rsidRPr="00E50B4A" w:rsidRDefault="0011602C" w:rsidP="0011602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Es de resaltar que el fenómeno se articula con otros tipos de vulneración como es el caso del maltrato infantil y las peores formas de trabajo infantil, siendo que el tema deberá ser articulado con las mesas de primera infancia, la cual ya funciona en el municipio y la mesa de peores formas de trabajo infantil, la cual está en proceso de consolidación.</w:t>
      </w:r>
    </w:p>
    <w:p w:rsidR="0011602C" w:rsidRPr="00E50B4A" w:rsidRDefault="0011602C" w:rsidP="0011602C">
      <w:pPr>
        <w:autoSpaceDE w:val="0"/>
        <w:autoSpaceDN w:val="0"/>
        <w:adjustRightInd w:val="0"/>
        <w:spacing w:after="0" w:line="240" w:lineRule="auto"/>
        <w:jc w:val="both"/>
        <w:rPr>
          <w:rFonts w:asciiTheme="majorHAnsi" w:hAnsiTheme="majorHAnsi" w:cs="Arial"/>
          <w:sz w:val="24"/>
          <w:szCs w:val="24"/>
        </w:rPr>
      </w:pPr>
    </w:p>
    <w:p w:rsidR="0011602C" w:rsidRPr="00E50B4A" w:rsidRDefault="0011602C" w:rsidP="0011602C">
      <w:pPr>
        <w:spacing w:line="240" w:lineRule="auto"/>
        <w:jc w:val="both"/>
        <w:rPr>
          <w:rFonts w:asciiTheme="majorHAnsi" w:hAnsiTheme="majorHAnsi" w:cs="Arial"/>
          <w:sz w:val="24"/>
          <w:szCs w:val="24"/>
        </w:rPr>
      </w:pPr>
      <w:r w:rsidRPr="00E50B4A">
        <w:rPr>
          <w:rFonts w:asciiTheme="majorHAnsi" w:hAnsiTheme="majorHAnsi" w:cs="Arial"/>
          <w:sz w:val="24"/>
          <w:szCs w:val="24"/>
        </w:rPr>
        <w:t>De acuerdo con la información reportada por el ICBF zonal occidente, 31 niños, niñas y adolescentes entre 0 y 17 años del municipio fueron declarados en situación de calle, de estos 1 se encuentra en edad comprendida entre 0 a 5 años, 20 oscilan en edades comprendidas entre 6 y 11 años y 10 en edades comprendidas entre 12 y 17 años.</w:t>
      </w:r>
    </w:p>
    <w:p w:rsidR="0011602C" w:rsidRPr="00E50B4A" w:rsidRDefault="0011602C" w:rsidP="0011602C">
      <w:pPr>
        <w:spacing w:line="240" w:lineRule="auto"/>
        <w:jc w:val="both"/>
        <w:rPr>
          <w:rFonts w:asciiTheme="majorHAnsi" w:hAnsiTheme="majorHAnsi" w:cs="Arial"/>
          <w:i/>
          <w:sz w:val="24"/>
          <w:szCs w:val="24"/>
        </w:rPr>
      </w:pPr>
    </w:p>
    <w:p w:rsidR="0011602C" w:rsidRPr="00E50B4A" w:rsidRDefault="0011602C" w:rsidP="0011602C">
      <w:pPr>
        <w:spacing w:line="240" w:lineRule="auto"/>
        <w:jc w:val="center"/>
        <w:rPr>
          <w:rFonts w:asciiTheme="majorHAnsi" w:hAnsiTheme="majorHAnsi" w:cs="Arial"/>
          <w:i/>
          <w:sz w:val="24"/>
          <w:szCs w:val="24"/>
        </w:rPr>
      </w:pPr>
      <w:r w:rsidRPr="00E50B4A">
        <w:rPr>
          <w:rFonts w:asciiTheme="majorHAnsi" w:hAnsiTheme="majorHAnsi" w:cs="Arial"/>
          <w:i/>
          <w:noProof/>
          <w:sz w:val="24"/>
          <w:szCs w:val="24"/>
          <w:lang w:eastAsia="es-CO"/>
        </w:rPr>
        <w:drawing>
          <wp:inline distT="0" distB="0" distL="0" distR="0">
            <wp:extent cx="2294414" cy="1380014"/>
            <wp:effectExtent l="0" t="0" r="10795" b="10795"/>
            <wp:docPr id="31"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1602C" w:rsidRPr="00E50B4A" w:rsidRDefault="0011602C" w:rsidP="0011602C">
      <w:pPr>
        <w:spacing w:line="240" w:lineRule="auto"/>
        <w:jc w:val="both"/>
        <w:rPr>
          <w:rFonts w:asciiTheme="majorHAnsi" w:hAnsiTheme="majorHAnsi" w:cs="Arial"/>
          <w:i/>
          <w:sz w:val="24"/>
          <w:szCs w:val="24"/>
        </w:rPr>
      </w:pPr>
      <w:r w:rsidRPr="00E50B4A">
        <w:rPr>
          <w:rFonts w:asciiTheme="majorHAnsi" w:hAnsiTheme="majorHAnsi" w:cs="Arial"/>
          <w:i/>
          <w:sz w:val="24"/>
          <w:szCs w:val="24"/>
        </w:rPr>
        <w:t>Fuente centro zonal occidente I.C.B.F.</w:t>
      </w:r>
    </w:p>
    <w:p w:rsidR="008C2B5C" w:rsidRPr="00E50B4A" w:rsidRDefault="008C2B5C" w:rsidP="008C2B5C">
      <w:pPr>
        <w:spacing w:line="240" w:lineRule="auto"/>
        <w:jc w:val="both"/>
        <w:rPr>
          <w:rFonts w:asciiTheme="majorHAnsi" w:hAnsiTheme="majorHAnsi" w:cs="Arial"/>
          <w:sz w:val="24"/>
          <w:szCs w:val="24"/>
        </w:rPr>
      </w:pPr>
    </w:p>
    <w:p w:rsidR="0011602C" w:rsidRPr="00E50B4A" w:rsidRDefault="0011602C" w:rsidP="008C2B5C">
      <w:pPr>
        <w:spacing w:line="240" w:lineRule="auto"/>
        <w:jc w:val="both"/>
        <w:rPr>
          <w:rFonts w:asciiTheme="majorHAnsi" w:hAnsiTheme="majorHAnsi" w:cs="Arial"/>
          <w:sz w:val="24"/>
          <w:szCs w:val="24"/>
        </w:rPr>
      </w:pPr>
    </w:p>
    <w:p w:rsidR="0011602C" w:rsidRPr="00E50B4A" w:rsidRDefault="0011602C" w:rsidP="008C2B5C">
      <w:pPr>
        <w:spacing w:line="240" w:lineRule="auto"/>
        <w:jc w:val="both"/>
        <w:rPr>
          <w:rFonts w:asciiTheme="majorHAnsi" w:hAnsiTheme="majorHAnsi" w:cs="Arial"/>
          <w:sz w:val="24"/>
          <w:szCs w:val="24"/>
        </w:rPr>
      </w:pPr>
    </w:p>
    <w:p w:rsidR="0011602C" w:rsidRPr="00E50B4A" w:rsidRDefault="0011602C" w:rsidP="008C2B5C">
      <w:pPr>
        <w:spacing w:line="240" w:lineRule="auto"/>
        <w:jc w:val="both"/>
        <w:rPr>
          <w:rFonts w:asciiTheme="majorHAnsi" w:hAnsiTheme="majorHAnsi" w:cs="Arial"/>
          <w:sz w:val="24"/>
          <w:szCs w:val="24"/>
        </w:rPr>
      </w:pPr>
    </w:p>
    <w:p w:rsidR="00CB7C7A" w:rsidRPr="00E50B4A" w:rsidRDefault="00CB7C7A" w:rsidP="00CB7C7A">
      <w:pPr>
        <w:spacing w:line="240" w:lineRule="auto"/>
        <w:jc w:val="both"/>
        <w:rPr>
          <w:rFonts w:asciiTheme="majorHAnsi" w:hAnsiTheme="majorHAnsi" w:cs="Arial"/>
          <w:sz w:val="24"/>
          <w:szCs w:val="24"/>
        </w:rPr>
      </w:pPr>
    </w:p>
    <w:p w:rsidR="00CB7C7A" w:rsidRPr="00E50B4A" w:rsidRDefault="00CB7C7A" w:rsidP="00CB7C7A">
      <w:pPr>
        <w:spacing w:line="240" w:lineRule="auto"/>
        <w:jc w:val="both"/>
        <w:rPr>
          <w:rFonts w:asciiTheme="majorHAnsi" w:hAnsiTheme="majorHAnsi" w:cs="Arial"/>
          <w:b/>
          <w:sz w:val="24"/>
          <w:szCs w:val="24"/>
        </w:rPr>
      </w:pPr>
      <w:r w:rsidRPr="00E50B4A">
        <w:rPr>
          <w:rFonts w:asciiTheme="majorHAnsi" w:hAnsiTheme="majorHAnsi" w:cs="Arial"/>
          <w:b/>
          <w:sz w:val="24"/>
          <w:szCs w:val="24"/>
        </w:rPr>
        <w:t>NINGUNO MALTRATADO, ABUSADO O VÍCTIMA DEL CONFLICTO INTERNO GENERADO POR GRUPOS AL MARGEN DE LA LEY.</w:t>
      </w:r>
    </w:p>
    <w:p w:rsidR="00CB7C7A" w:rsidRPr="00E50B4A" w:rsidRDefault="00CB7C7A" w:rsidP="00CB7C7A">
      <w:pPr>
        <w:spacing w:line="240" w:lineRule="auto"/>
        <w:jc w:val="both"/>
        <w:rPr>
          <w:rFonts w:asciiTheme="majorHAnsi" w:hAnsiTheme="majorHAnsi" w:cs="Arial"/>
          <w:b/>
          <w:sz w:val="24"/>
          <w:szCs w:val="24"/>
        </w:rPr>
      </w:pPr>
    </w:p>
    <w:p w:rsidR="00CB7C7A" w:rsidRPr="00E50B4A" w:rsidRDefault="00CB7C7A" w:rsidP="00CB7C7A">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Los reportes de Maltrato incluyen al Abuso Sexual, maltrato físico, maltrato emocional o psicológico y por Negligencia.</w:t>
      </w:r>
    </w:p>
    <w:p w:rsidR="00CB7C7A" w:rsidRPr="00E50B4A" w:rsidRDefault="00CB7C7A" w:rsidP="00CB7C7A">
      <w:pPr>
        <w:autoSpaceDE w:val="0"/>
        <w:autoSpaceDN w:val="0"/>
        <w:adjustRightInd w:val="0"/>
        <w:spacing w:after="0" w:line="240" w:lineRule="auto"/>
        <w:jc w:val="both"/>
        <w:rPr>
          <w:rFonts w:asciiTheme="majorHAnsi" w:hAnsiTheme="majorHAnsi" w:cs="Arial"/>
          <w:sz w:val="24"/>
          <w:szCs w:val="24"/>
        </w:rPr>
      </w:pPr>
    </w:p>
    <w:p w:rsidR="00CB7C7A" w:rsidRPr="00E50B4A" w:rsidRDefault="00CB7C7A" w:rsidP="00CB7C7A">
      <w:pPr>
        <w:spacing w:line="240" w:lineRule="auto"/>
        <w:jc w:val="both"/>
        <w:rPr>
          <w:rFonts w:asciiTheme="majorHAnsi" w:hAnsiTheme="majorHAnsi" w:cs="Arial"/>
          <w:sz w:val="24"/>
          <w:szCs w:val="24"/>
        </w:rPr>
      </w:pPr>
      <w:r w:rsidRPr="00E50B4A">
        <w:rPr>
          <w:rFonts w:asciiTheme="majorHAnsi" w:hAnsiTheme="majorHAnsi" w:cs="Arial"/>
          <w:sz w:val="24"/>
          <w:szCs w:val="24"/>
        </w:rPr>
        <w:t>Es deber de la familia y el Estado proteger y reparar a niños, niñas y adolescentes víctimas de situaciones y personas que lesionan su integridad y les generan daños físicos y psicológicos que seguramente no podrán superar en el transcurso de sus vidas. No podemos ser  espectadores, debemos reaccionar frente a estas duras realidades y converger hacia la solución de las problemáticas buscando que todos los actores tomen parte del asunto.</w:t>
      </w:r>
    </w:p>
    <w:p w:rsidR="00CB7C7A" w:rsidRPr="00E50B4A" w:rsidRDefault="00CB7C7A" w:rsidP="00CB7C7A">
      <w:pPr>
        <w:spacing w:line="240" w:lineRule="auto"/>
        <w:jc w:val="both"/>
        <w:rPr>
          <w:rFonts w:asciiTheme="majorHAnsi" w:hAnsiTheme="majorHAnsi" w:cs="Arial"/>
          <w:sz w:val="24"/>
          <w:szCs w:val="24"/>
        </w:rPr>
      </w:pPr>
      <w:r w:rsidRPr="00E50B4A">
        <w:rPr>
          <w:rFonts w:asciiTheme="majorHAnsi" w:eastAsia="Times New Roman" w:hAnsiTheme="majorHAnsi" w:cs="Arial"/>
          <w:sz w:val="24"/>
          <w:szCs w:val="24"/>
          <w:lang w:eastAsia="es-ES_tradnl"/>
        </w:rPr>
        <w:t xml:space="preserve">Las acciones de política definidas se fundamentan en la política Haz Paz. </w:t>
      </w:r>
      <w:r w:rsidRPr="00E50B4A">
        <w:rPr>
          <w:rFonts w:asciiTheme="majorHAnsi" w:hAnsiTheme="majorHAnsi" w:cs="Arial"/>
          <w:sz w:val="24"/>
          <w:szCs w:val="24"/>
        </w:rPr>
        <w:t>Se incluyen 4 componentes del plan de atención integral a la primera infancia para el municipio de Riosucio, en el marco de la política Haz Paz, los cuales operan a partir de 4 componentes: prevención, detección temprana y vigilancia, atención y transformación institucional. Dichos componentes son:</w:t>
      </w:r>
    </w:p>
    <w:p w:rsidR="00CB7C7A" w:rsidRPr="00E50B4A" w:rsidRDefault="00CB7C7A" w:rsidP="00CB7C7A">
      <w:pPr>
        <w:pStyle w:val="Encabezado"/>
        <w:numPr>
          <w:ilvl w:val="0"/>
          <w:numId w:val="16"/>
        </w:numPr>
        <w:jc w:val="both"/>
        <w:rPr>
          <w:rFonts w:asciiTheme="majorHAnsi" w:hAnsiTheme="majorHAnsi" w:cs="Arial"/>
          <w:szCs w:val="24"/>
        </w:rPr>
      </w:pPr>
      <w:r w:rsidRPr="00E50B4A">
        <w:rPr>
          <w:rFonts w:asciiTheme="majorHAnsi" w:hAnsiTheme="majorHAnsi" w:cs="Arial"/>
          <w:szCs w:val="24"/>
        </w:rPr>
        <w:t>Capacitar a la comunidad en general, a través de charlas y capacitación sobre el tema de Violencia Intrafamiliar, formas y consecuencias y rutas de atención a las víctimas de las conductas de violencia intrafamiliar y sexual.</w:t>
      </w:r>
    </w:p>
    <w:p w:rsidR="00CB7C7A" w:rsidRPr="00E50B4A" w:rsidRDefault="00CB7C7A" w:rsidP="00CB7C7A">
      <w:pPr>
        <w:pStyle w:val="Encabezado"/>
        <w:numPr>
          <w:ilvl w:val="0"/>
          <w:numId w:val="16"/>
        </w:numPr>
        <w:jc w:val="both"/>
        <w:rPr>
          <w:rFonts w:asciiTheme="majorHAnsi" w:hAnsiTheme="majorHAnsi" w:cs="Arial"/>
          <w:szCs w:val="24"/>
        </w:rPr>
      </w:pPr>
      <w:r w:rsidRPr="00E50B4A">
        <w:rPr>
          <w:rFonts w:asciiTheme="majorHAnsi" w:hAnsiTheme="majorHAnsi" w:cs="Arial"/>
          <w:szCs w:val="24"/>
        </w:rPr>
        <w:t>Ejercer mecanismos y actividades de intervención inmediata a los casos de Violencia Intrafamiliar o Sexual, que se conozcan de manera formal (denuncia) o sin la misma.</w:t>
      </w:r>
    </w:p>
    <w:p w:rsidR="00CB7C7A" w:rsidRPr="00E50B4A" w:rsidRDefault="00CB7C7A" w:rsidP="00CB7C7A">
      <w:pPr>
        <w:pStyle w:val="Encabezado"/>
        <w:numPr>
          <w:ilvl w:val="0"/>
          <w:numId w:val="16"/>
        </w:numPr>
        <w:jc w:val="both"/>
        <w:rPr>
          <w:rFonts w:asciiTheme="majorHAnsi" w:hAnsiTheme="majorHAnsi" w:cs="Arial"/>
          <w:szCs w:val="24"/>
        </w:rPr>
      </w:pPr>
      <w:r w:rsidRPr="00E50B4A">
        <w:rPr>
          <w:rFonts w:asciiTheme="majorHAnsi" w:hAnsiTheme="majorHAnsi" w:cs="Arial"/>
          <w:szCs w:val="24"/>
        </w:rPr>
        <w:t>Brindar atención al 100% de los casos reportados con episodios de Violencia Intrafamiliar o Sexual.</w:t>
      </w:r>
    </w:p>
    <w:p w:rsidR="00CB7C7A" w:rsidRPr="00E50B4A" w:rsidRDefault="00CB7C7A" w:rsidP="00CB7C7A">
      <w:pPr>
        <w:pStyle w:val="Encabezado"/>
        <w:numPr>
          <w:ilvl w:val="0"/>
          <w:numId w:val="16"/>
        </w:numPr>
        <w:jc w:val="both"/>
        <w:rPr>
          <w:rFonts w:asciiTheme="majorHAnsi" w:hAnsiTheme="majorHAnsi" w:cs="Arial"/>
          <w:szCs w:val="24"/>
        </w:rPr>
      </w:pPr>
      <w:r w:rsidRPr="00E50B4A">
        <w:rPr>
          <w:rFonts w:asciiTheme="majorHAnsi" w:hAnsiTheme="majorHAnsi" w:cs="Arial"/>
          <w:szCs w:val="24"/>
        </w:rPr>
        <w:t>Trabajo en equipo con las entidades, que operan en este Municipio directa o indirectamente con los casos de Violencia Intrafamiliar o Sexual.</w:t>
      </w:r>
    </w:p>
    <w:p w:rsidR="00CB7C7A" w:rsidRPr="00E50B4A" w:rsidRDefault="00CB7C7A" w:rsidP="00CB7C7A">
      <w:pPr>
        <w:spacing w:line="240" w:lineRule="auto"/>
        <w:jc w:val="both"/>
        <w:rPr>
          <w:rFonts w:asciiTheme="majorHAnsi" w:hAnsiTheme="majorHAnsi" w:cs="Arial"/>
          <w:sz w:val="24"/>
          <w:szCs w:val="24"/>
          <w:u w:val="single"/>
        </w:rPr>
      </w:pPr>
    </w:p>
    <w:p w:rsidR="00CB7C7A" w:rsidRPr="00E50B4A" w:rsidRDefault="00CB7C7A" w:rsidP="00CB7C7A">
      <w:pPr>
        <w:spacing w:line="240" w:lineRule="auto"/>
        <w:jc w:val="both"/>
        <w:rPr>
          <w:rFonts w:asciiTheme="majorHAnsi" w:hAnsiTheme="majorHAnsi" w:cs="Arial"/>
          <w:sz w:val="24"/>
          <w:szCs w:val="24"/>
          <w:u w:val="single"/>
        </w:rPr>
      </w:pPr>
      <w:r w:rsidRPr="00E50B4A">
        <w:rPr>
          <w:rFonts w:asciiTheme="majorHAnsi" w:hAnsiTheme="majorHAnsi" w:cs="Arial"/>
          <w:sz w:val="24"/>
          <w:szCs w:val="24"/>
          <w:u w:val="single"/>
        </w:rPr>
        <w:t>El comportamiento reflejado durante los años 2005 al 2010 refleja:</w:t>
      </w:r>
    </w:p>
    <w:p w:rsidR="00CB7C7A" w:rsidRPr="00E50B4A" w:rsidRDefault="00CB7C7A" w:rsidP="00CB7C7A">
      <w:pPr>
        <w:spacing w:line="240" w:lineRule="auto"/>
        <w:jc w:val="both"/>
        <w:rPr>
          <w:rFonts w:asciiTheme="majorHAnsi" w:hAnsiTheme="majorHAnsi" w:cs="Arial"/>
          <w:sz w:val="24"/>
          <w:szCs w:val="24"/>
        </w:rPr>
      </w:pPr>
      <w:r w:rsidRPr="00E50B4A">
        <w:rPr>
          <w:rFonts w:asciiTheme="majorHAnsi" w:hAnsiTheme="majorHAnsi" w:cs="Arial"/>
          <w:sz w:val="24"/>
          <w:szCs w:val="24"/>
        </w:rPr>
        <w:t>Una incidencia mayor de maltrato según el rango de edad en un primer lugar  los niños, niñas y adolescentes de la primera Infancia, en segundo lugar la Infancia  y por último la adolescencia.</w:t>
      </w:r>
    </w:p>
    <w:p w:rsidR="00CB7C7A" w:rsidRPr="00E50B4A" w:rsidRDefault="00CB7C7A" w:rsidP="00CB7C7A">
      <w:pPr>
        <w:spacing w:line="240" w:lineRule="auto"/>
        <w:jc w:val="both"/>
        <w:rPr>
          <w:rFonts w:asciiTheme="majorHAnsi" w:hAnsiTheme="majorHAnsi" w:cs="Arial"/>
          <w:sz w:val="24"/>
          <w:szCs w:val="24"/>
        </w:rPr>
      </w:pPr>
      <w:r w:rsidRPr="00E50B4A">
        <w:rPr>
          <w:rFonts w:asciiTheme="majorHAnsi" w:hAnsiTheme="majorHAnsi" w:cs="Arial"/>
          <w:sz w:val="24"/>
          <w:szCs w:val="24"/>
        </w:rPr>
        <w:t>En materia de abuso sexual se observa en primer lugar los niños, niñas y adolescentes de la Infancia, en segundo lugar la adolescencia y en ultimo lugar la primera infancia.</w:t>
      </w:r>
    </w:p>
    <w:p w:rsidR="00CB7C7A" w:rsidRPr="00E50B4A" w:rsidRDefault="00CB7C7A" w:rsidP="00CB7C7A">
      <w:pPr>
        <w:spacing w:line="240" w:lineRule="auto"/>
        <w:jc w:val="both"/>
        <w:rPr>
          <w:rFonts w:asciiTheme="majorHAnsi" w:hAnsiTheme="majorHAnsi" w:cs="Arial"/>
          <w:sz w:val="24"/>
          <w:szCs w:val="24"/>
        </w:rPr>
      </w:pPr>
      <w:r w:rsidRPr="00E50B4A">
        <w:rPr>
          <w:rFonts w:asciiTheme="majorHAnsi" w:hAnsiTheme="majorHAnsi" w:cs="Arial"/>
          <w:sz w:val="24"/>
          <w:szCs w:val="24"/>
        </w:rPr>
        <w:t xml:space="preserve">En cuanto al número de </w:t>
      </w:r>
      <w:r w:rsidRPr="00E50B4A">
        <w:rPr>
          <w:rFonts w:asciiTheme="majorHAnsi" w:eastAsia="Times New Roman" w:hAnsiTheme="majorHAnsi" w:cs="Arial"/>
          <w:sz w:val="24"/>
          <w:szCs w:val="24"/>
          <w:lang w:eastAsia="es-ES_tradnl"/>
        </w:rPr>
        <w:t>casos de informes periciales sexológicos</w:t>
      </w:r>
      <w:r w:rsidRPr="00E50B4A">
        <w:rPr>
          <w:rFonts w:asciiTheme="majorHAnsi" w:hAnsiTheme="majorHAnsi" w:cs="Arial"/>
          <w:sz w:val="24"/>
          <w:szCs w:val="24"/>
        </w:rPr>
        <w:t xml:space="preserve"> el grupo poblacional que ha sido más vulnerable ha sido el de adolescentes.</w:t>
      </w:r>
    </w:p>
    <w:p w:rsidR="00CB7C7A" w:rsidRPr="00E50B4A" w:rsidRDefault="00CB7C7A" w:rsidP="008C2B5C">
      <w:pPr>
        <w:spacing w:line="240" w:lineRule="auto"/>
        <w:jc w:val="both"/>
        <w:rPr>
          <w:rFonts w:asciiTheme="majorHAnsi" w:hAnsiTheme="majorHAnsi" w:cs="Arial"/>
          <w:b/>
          <w:sz w:val="24"/>
          <w:szCs w:val="24"/>
          <w:u w:val="single"/>
        </w:rPr>
      </w:pPr>
    </w:p>
    <w:p w:rsidR="00CB7C7A" w:rsidRPr="00E50B4A" w:rsidRDefault="00CB7C7A"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Número de casos denunciados de maltrato en niños, niñas y adolescentes entre 0 y 17 años</w:t>
      </w:r>
    </w:p>
    <w:p w:rsidR="008C2B5C" w:rsidRPr="00E50B4A" w:rsidRDefault="008C2B5C" w:rsidP="008C2B5C">
      <w:pPr>
        <w:spacing w:line="240" w:lineRule="auto"/>
        <w:jc w:val="both"/>
        <w:rPr>
          <w:rFonts w:asciiTheme="majorHAnsi" w:hAnsiTheme="majorHAnsi" w:cs="Arial"/>
          <w:sz w:val="24"/>
          <w:szCs w:val="24"/>
        </w:rPr>
      </w:pPr>
    </w:p>
    <w:p w:rsidR="008C2B5C" w:rsidRPr="00E50B4A" w:rsidRDefault="008C2B5C" w:rsidP="00AE1636">
      <w:pPr>
        <w:spacing w:line="240" w:lineRule="auto"/>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950764" cy="1273428"/>
            <wp:effectExtent l="0" t="0" r="21590" b="22225"/>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C2B5C" w:rsidRPr="00E50B4A" w:rsidRDefault="008C2B5C" w:rsidP="008C2B5C">
      <w:pPr>
        <w:spacing w:line="240" w:lineRule="auto"/>
        <w:jc w:val="both"/>
        <w:rPr>
          <w:rFonts w:asciiTheme="majorHAnsi" w:hAnsiTheme="majorHAnsi" w:cs="Arial"/>
          <w:sz w:val="24"/>
          <w:szCs w:val="24"/>
        </w:rPr>
      </w:pPr>
    </w:p>
    <w:p w:rsidR="008C2B5C" w:rsidRPr="00E50B4A" w:rsidRDefault="008C2B5C" w:rsidP="00AE1636">
      <w:pPr>
        <w:spacing w:line="240" w:lineRule="auto"/>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720761" cy="1396844"/>
            <wp:effectExtent l="0" t="0" r="22860" b="13335"/>
            <wp:docPr id="15"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AE1636">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333684" cy="1250989"/>
            <wp:effectExtent l="0" t="0" r="9525" b="25400"/>
            <wp:docPr id="16"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A97380">
      <w:pPr>
        <w:spacing w:line="240" w:lineRule="auto"/>
        <w:jc w:val="center"/>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2D0AC3">
      <w:pPr>
        <w:spacing w:line="240" w:lineRule="auto"/>
        <w:jc w:val="center"/>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2D0AC3">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328073" cy="1615627"/>
            <wp:effectExtent l="0" t="0" r="15240" b="22860"/>
            <wp:docPr id="30"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Número de casos  de informes periciales sexológicos en niñas, niños y adolescentes entre 0 y 17 años</w:t>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2D0AC3">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3046131" cy="1234159"/>
            <wp:effectExtent l="0" t="0" r="20955" b="23495"/>
            <wp:docPr id="24"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Tasa de dictámenes sexológicos en niñas, niños y adolescentes entre 0 y 17 años.</w:t>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2D0AC3">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945154" cy="1531480"/>
            <wp:effectExtent l="0" t="0" r="26670" b="12065"/>
            <wp:docPr id="25"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8C2B5C">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Número de valoraciones médico legales por presunto delito de maltrato infantil</w:t>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8C2B5C" w:rsidP="00BD6756">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574906" cy="1694164"/>
            <wp:effectExtent l="0" t="0" r="16510" b="20955"/>
            <wp:docPr id="26"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8C2B5C" w:rsidRPr="00E50B4A" w:rsidRDefault="008C2B5C" w:rsidP="008C2B5C">
      <w:pPr>
        <w:spacing w:line="240" w:lineRule="auto"/>
        <w:jc w:val="both"/>
        <w:rPr>
          <w:rFonts w:asciiTheme="majorHAnsi" w:hAnsiTheme="majorHAnsi" w:cs="Arial"/>
          <w:b/>
          <w:sz w:val="24"/>
          <w:szCs w:val="24"/>
          <w:u w:val="single"/>
        </w:rPr>
      </w:pPr>
    </w:p>
    <w:p w:rsidR="008C2B5C" w:rsidRPr="00E50B4A" w:rsidRDefault="00772A06" w:rsidP="008C2B5C">
      <w:pPr>
        <w:spacing w:line="240" w:lineRule="auto"/>
        <w:jc w:val="both"/>
        <w:rPr>
          <w:rFonts w:asciiTheme="majorHAnsi" w:hAnsiTheme="majorHAnsi" w:cs="Arial"/>
          <w:b/>
          <w:bCs/>
          <w:sz w:val="24"/>
          <w:szCs w:val="24"/>
        </w:rPr>
      </w:pPr>
      <w:r w:rsidRPr="00E50B4A">
        <w:rPr>
          <w:rFonts w:asciiTheme="majorHAnsi" w:hAnsiTheme="majorHAnsi" w:cs="Arial"/>
          <w:b/>
          <w:bCs/>
          <w:sz w:val="24"/>
          <w:szCs w:val="24"/>
        </w:rPr>
        <w:t>Nin</w:t>
      </w:r>
      <w:r w:rsidR="007C379E" w:rsidRPr="00E50B4A">
        <w:rPr>
          <w:rFonts w:asciiTheme="majorHAnsi" w:hAnsiTheme="majorHAnsi" w:cs="Arial"/>
          <w:b/>
          <w:bCs/>
          <w:sz w:val="24"/>
          <w:szCs w:val="24"/>
        </w:rPr>
        <w:t>guno en actividad perjudicial</w:t>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 xml:space="preserve">La Alcaldía deberá promover y garantizar que los niños, niñas y adolescentes no se vean afectados por factores perjudiciales para su integridad, de esta manera se pueden establecer alianzas con las distintas instituciones, ya que es totalmente inaceptable que un menor de edad sea expuesto a condiciones riesgosas o explotación económica para beneficio de un adulto. </w:t>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Se deben implementar campañas de motivación para que todos los niños, niñas y adolescentes, asistan a la escuela y de esta manera busca afectar significativamente la explotación laboral infantil.</w:t>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Detectar en conjunto con diferentes instituciones espacios riesgosos para los niños, niñas y los adolescentes, desagregados según localización y tipo de actividad, incluida la mendicidad.</w:t>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Regulación y control de actividades productivas no formales, con riesgo de vincular y explotar económicamente a menores y realización de seguimiento a las condiciones laborales de adolescentes autorizados a trabajar.</w:t>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p>
    <w:p w:rsidR="00772A06" w:rsidRPr="00E50B4A" w:rsidRDefault="00772A06" w:rsidP="00772A06">
      <w:pPr>
        <w:autoSpaceDE w:val="0"/>
        <w:autoSpaceDN w:val="0"/>
        <w:adjustRightInd w:val="0"/>
        <w:spacing w:after="0" w:line="240" w:lineRule="auto"/>
        <w:jc w:val="both"/>
        <w:rPr>
          <w:rFonts w:asciiTheme="majorHAnsi" w:hAnsiTheme="majorHAnsi" w:cs="Arial"/>
          <w:sz w:val="24"/>
          <w:szCs w:val="24"/>
        </w:rPr>
      </w:pPr>
      <w:r w:rsidRPr="00E50B4A">
        <w:rPr>
          <w:rFonts w:asciiTheme="majorHAnsi" w:hAnsiTheme="majorHAnsi" w:cs="Arial"/>
          <w:sz w:val="24"/>
          <w:szCs w:val="24"/>
        </w:rPr>
        <w:t xml:space="preserve">Las actividades laborales remuneradas desarrolladas por niños, niñas y adolescentes corresponde principalmente a las siguientes áreas: </w:t>
      </w:r>
      <w:r w:rsidRPr="00E50B4A">
        <w:rPr>
          <w:rFonts w:asciiTheme="majorHAnsi" w:hAnsiTheme="majorHAnsi" w:cs="Arial"/>
          <w:b/>
          <w:bCs/>
          <w:sz w:val="24"/>
          <w:szCs w:val="24"/>
        </w:rPr>
        <w:t xml:space="preserve">Comercio </w:t>
      </w:r>
      <w:r w:rsidRPr="00E50B4A">
        <w:rPr>
          <w:rFonts w:asciiTheme="majorHAnsi" w:hAnsiTheme="majorHAnsi" w:cs="Arial"/>
          <w:sz w:val="24"/>
          <w:szCs w:val="24"/>
        </w:rPr>
        <w:t xml:space="preserve">en la venta y distribución de diferentes productos; </w:t>
      </w:r>
      <w:r w:rsidRPr="00E50B4A">
        <w:rPr>
          <w:rFonts w:asciiTheme="majorHAnsi" w:hAnsiTheme="majorHAnsi" w:cs="Arial"/>
          <w:b/>
          <w:bCs/>
          <w:sz w:val="24"/>
          <w:szCs w:val="24"/>
        </w:rPr>
        <w:t xml:space="preserve">Servicios </w:t>
      </w:r>
      <w:r w:rsidRPr="00E50B4A">
        <w:rPr>
          <w:rFonts w:asciiTheme="majorHAnsi" w:hAnsiTheme="majorHAnsi" w:cs="Arial"/>
          <w:sz w:val="24"/>
          <w:szCs w:val="24"/>
        </w:rPr>
        <w:t xml:space="preserve">que va desde limpiar parabrisas de los carros hasta el cargue de grandes bultos, como también oficios domésticos y </w:t>
      </w:r>
      <w:r w:rsidRPr="00E50B4A">
        <w:rPr>
          <w:rFonts w:asciiTheme="majorHAnsi" w:hAnsiTheme="majorHAnsi" w:cs="Arial"/>
          <w:b/>
          <w:bCs/>
          <w:sz w:val="24"/>
          <w:szCs w:val="24"/>
        </w:rPr>
        <w:t xml:space="preserve">Otras </w:t>
      </w:r>
      <w:r w:rsidRPr="00E50B4A">
        <w:rPr>
          <w:rFonts w:asciiTheme="majorHAnsi" w:hAnsiTheme="majorHAnsi" w:cs="Arial"/>
          <w:sz w:val="24"/>
          <w:szCs w:val="24"/>
        </w:rPr>
        <w:t>en las que son involucrados en la venta de sustancias ilícitas y los trabajos nocturnos en diferentes lugares, siendo la explotación sexual una de las formas más complejas de abordar.</w:t>
      </w:r>
    </w:p>
    <w:p w:rsidR="00772A06" w:rsidRPr="00E50B4A" w:rsidRDefault="00772A06" w:rsidP="00772A06">
      <w:pPr>
        <w:autoSpaceDE w:val="0"/>
        <w:autoSpaceDN w:val="0"/>
        <w:adjustRightInd w:val="0"/>
        <w:spacing w:after="0" w:line="240" w:lineRule="auto"/>
        <w:jc w:val="both"/>
        <w:rPr>
          <w:rFonts w:asciiTheme="majorHAnsi" w:hAnsiTheme="majorHAnsi" w:cs="Arial"/>
          <w:sz w:val="24"/>
          <w:szCs w:val="24"/>
        </w:rPr>
      </w:pPr>
    </w:p>
    <w:p w:rsidR="00772A06" w:rsidRPr="00E50B4A" w:rsidRDefault="00772A06" w:rsidP="00772A06">
      <w:pPr>
        <w:spacing w:line="240" w:lineRule="auto"/>
        <w:jc w:val="both"/>
        <w:rPr>
          <w:rFonts w:asciiTheme="majorHAnsi" w:hAnsiTheme="majorHAnsi" w:cs="Arial"/>
          <w:sz w:val="24"/>
          <w:szCs w:val="24"/>
        </w:rPr>
      </w:pPr>
      <w:r w:rsidRPr="00E50B4A">
        <w:rPr>
          <w:rFonts w:asciiTheme="majorHAnsi" w:hAnsiTheme="majorHAnsi" w:cs="Arial"/>
          <w:sz w:val="24"/>
          <w:szCs w:val="24"/>
        </w:rPr>
        <w:t xml:space="preserve">Los indicadores correspondientes al: Número de niños, niñas y adolescentes entre 5 y 17 años que trabajan 15 o más horas en oficios de hogar, no se construyeron por cuanto no se reportan datos, ni se cuenta con información confiable. </w:t>
      </w:r>
    </w:p>
    <w:p w:rsidR="00772A06" w:rsidRPr="00E50B4A" w:rsidRDefault="00772A06" w:rsidP="00772A06">
      <w:pPr>
        <w:autoSpaceDE w:val="0"/>
        <w:autoSpaceDN w:val="0"/>
        <w:adjustRightInd w:val="0"/>
        <w:spacing w:after="0" w:line="240" w:lineRule="auto"/>
        <w:jc w:val="both"/>
        <w:rPr>
          <w:rFonts w:asciiTheme="majorHAnsi" w:eastAsia="Times New Roman" w:hAnsiTheme="majorHAnsi" w:cs="Arial"/>
          <w:b/>
          <w:bCs/>
          <w:sz w:val="24"/>
          <w:szCs w:val="24"/>
          <w:lang w:eastAsia="es-ES_tradnl"/>
        </w:rPr>
      </w:pPr>
    </w:p>
    <w:p w:rsidR="00772A06" w:rsidRPr="00E50B4A" w:rsidRDefault="00772A06" w:rsidP="00772A06">
      <w:pPr>
        <w:spacing w:line="240" w:lineRule="auto"/>
        <w:jc w:val="both"/>
        <w:rPr>
          <w:rFonts w:asciiTheme="majorHAnsi" w:eastAsia="Times New Roman" w:hAnsiTheme="majorHAnsi" w:cs="Arial"/>
          <w:bCs/>
          <w:sz w:val="24"/>
          <w:szCs w:val="24"/>
          <w:lang w:eastAsia="es-ES_tradnl"/>
        </w:rPr>
      </w:pPr>
      <w:r w:rsidRPr="00E50B4A">
        <w:rPr>
          <w:rFonts w:asciiTheme="majorHAnsi" w:eastAsia="Times New Roman" w:hAnsiTheme="majorHAnsi" w:cs="Arial"/>
          <w:bCs/>
          <w:sz w:val="24"/>
          <w:szCs w:val="24"/>
          <w:lang w:eastAsia="es-ES_tradnl"/>
        </w:rPr>
        <w:t>Existen 9 casos de niños, niñas y adolescentes entre 0 y 17 años explotados sexualmente, siendo el género femenino el más afectado.</w:t>
      </w:r>
    </w:p>
    <w:p w:rsidR="00772A06" w:rsidRPr="00E50B4A" w:rsidRDefault="00772A06" w:rsidP="00772A06">
      <w:pPr>
        <w:spacing w:line="240" w:lineRule="auto"/>
        <w:jc w:val="both"/>
        <w:rPr>
          <w:rFonts w:asciiTheme="majorHAnsi" w:hAnsiTheme="majorHAnsi" w:cs="Arial"/>
          <w:sz w:val="24"/>
          <w:szCs w:val="24"/>
        </w:rPr>
      </w:pPr>
      <w:r w:rsidRPr="00E50B4A">
        <w:rPr>
          <w:rFonts w:asciiTheme="majorHAnsi" w:hAnsiTheme="majorHAnsi" w:cs="Arial"/>
          <w:sz w:val="24"/>
          <w:szCs w:val="24"/>
        </w:rPr>
        <w:t xml:space="preserve">Los datos reportados no son significativos frente a la complejidad de la problemática, lo que conduce a concluir que no se denuncian estos casos en el municipio, dificultándose la atención integral a las víctimas. </w:t>
      </w:r>
    </w:p>
    <w:p w:rsidR="00772A06" w:rsidRPr="00E50B4A" w:rsidRDefault="00772A06" w:rsidP="00772A06">
      <w:pPr>
        <w:spacing w:line="240" w:lineRule="auto"/>
        <w:jc w:val="both"/>
        <w:rPr>
          <w:rFonts w:asciiTheme="majorHAnsi" w:hAnsiTheme="majorHAnsi" w:cs="Arial"/>
          <w:sz w:val="24"/>
          <w:szCs w:val="24"/>
        </w:rPr>
      </w:pPr>
      <w:r w:rsidRPr="00E50B4A">
        <w:rPr>
          <w:rFonts w:asciiTheme="majorHAnsi" w:hAnsiTheme="majorHAnsi" w:cs="Arial"/>
          <w:sz w:val="24"/>
          <w:szCs w:val="24"/>
        </w:rPr>
        <w:t>No hay caracterización  del número de niños, niñas y adolescentes entre 5 a 17 años que participan en una actividad remunerada o no, o que trabajan 15 o más horas en oficios del hogar.</w:t>
      </w:r>
    </w:p>
    <w:p w:rsidR="00772A06" w:rsidRPr="00E50B4A" w:rsidRDefault="00772A06" w:rsidP="00772A06">
      <w:pPr>
        <w:spacing w:line="240" w:lineRule="auto"/>
        <w:jc w:val="both"/>
        <w:rPr>
          <w:rFonts w:asciiTheme="majorHAnsi" w:hAnsiTheme="majorHAnsi" w:cs="Arial"/>
          <w:sz w:val="24"/>
          <w:szCs w:val="24"/>
        </w:rPr>
      </w:pPr>
      <w:r w:rsidRPr="00E50B4A">
        <w:rPr>
          <w:rFonts w:asciiTheme="majorHAnsi" w:hAnsiTheme="majorHAnsi" w:cs="Arial"/>
          <w:sz w:val="24"/>
          <w:szCs w:val="24"/>
        </w:rPr>
        <w:t>Se busca que la mesa de prevención y erradicación de las peores formas de trabajo infantil planifique el tema y promueva las caracterizaciones que sean necesarias para el abordaje adecuado de esta problemática con políticas públicas.</w:t>
      </w:r>
    </w:p>
    <w:p w:rsidR="00772A06" w:rsidRPr="00E50B4A" w:rsidRDefault="00772A06" w:rsidP="00772A06">
      <w:pPr>
        <w:spacing w:line="240" w:lineRule="auto"/>
        <w:jc w:val="both"/>
        <w:rPr>
          <w:rFonts w:asciiTheme="majorHAnsi" w:hAnsiTheme="majorHAnsi" w:cs="Arial"/>
          <w:b/>
          <w:sz w:val="24"/>
          <w:szCs w:val="24"/>
          <w:u w:val="single"/>
        </w:rPr>
      </w:pPr>
    </w:p>
    <w:p w:rsidR="00772A06" w:rsidRPr="00E50B4A" w:rsidRDefault="00772A06" w:rsidP="00772A06">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227097" cy="1604407"/>
            <wp:effectExtent l="0" t="0" r="20955" b="15240"/>
            <wp:docPr id="32"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C2B5C" w:rsidRPr="00E50B4A" w:rsidRDefault="008C2B5C" w:rsidP="008C2B5C">
      <w:pPr>
        <w:autoSpaceDE w:val="0"/>
        <w:autoSpaceDN w:val="0"/>
        <w:adjustRightInd w:val="0"/>
        <w:spacing w:after="0" w:line="240" w:lineRule="auto"/>
        <w:jc w:val="both"/>
        <w:rPr>
          <w:rFonts w:asciiTheme="majorHAnsi" w:hAnsiTheme="majorHAnsi" w:cs="Arial"/>
          <w:sz w:val="24"/>
          <w:szCs w:val="24"/>
        </w:rPr>
      </w:pPr>
    </w:p>
    <w:p w:rsidR="00420DE4" w:rsidRPr="00E50B4A" w:rsidRDefault="00420DE4" w:rsidP="00420DE4">
      <w:pPr>
        <w:spacing w:line="240" w:lineRule="auto"/>
        <w:jc w:val="both"/>
        <w:rPr>
          <w:rFonts w:asciiTheme="majorHAnsi" w:hAnsiTheme="majorHAnsi" w:cs="Arial"/>
          <w:b/>
          <w:sz w:val="24"/>
          <w:szCs w:val="24"/>
        </w:rPr>
      </w:pPr>
      <w:r w:rsidRPr="00E50B4A">
        <w:rPr>
          <w:rFonts w:asciiTheme="majorHAnsi" w:hAnsiTheme="majorHAnsi" w:cs="Arial"/>
          <w:b/>
          <w:sz w:val="24"/>
          <w:szCs w:val="24"/>
        </w:rPr>
        <w:t>ADOLESCENTES ACUSADOS DE VIOLAR LA LEY PENAL CON SU DEBIDO PROCES</w:t>
      </w:r>
      <w:r w:rsidR="007D49AA" w:rsidRPr="00E50B4A">
        <w:rPr>
          <w:rFonts w:asciiTheme="majorHAnsi" w:hAnsiTheme="majorHAnsi" w:cs="Arial"/>
          <w:b/>
          <w:sz w:val="24"/>
          <w:szCs w:val="24"/>
        </w:rPr>
        <w:t>O</w:t>
      </w:r>
    </w:p>
    <w:p w:rsidR="00420DE4" w:rsidRPr="00E50B4A" w:rsidRDefault="00420DE4" w:rsidP="00420DE4">
      <w:pPr>
        <w:spacing w:line="240" w:lineRule="auto"/>
        <w:jc w:val="both"/>
        <w:rPr>
          <w:rFonts w:asciiTheme="majorHAnsi" w:hAnsiTheme="majorHAnsi" w:cs="Arial"/>
          <w:b/>
          <w:sz w:val="24"/>
          <w:szCs w:val="24"/>
        </w:rPr>
      </w:pPr>
      <w:r w:rsidRPr="00E50B4A">
        <w:rPr>
          <w:rFonts w:asciiTheme="majorHAnsi" w:hAnsiTheme="majorHAnsi" w:cs="Arial"/>
          <w:b/>
          <w:sz w:val="24"/>
          <w:szCs w:val="24"/>
        </w:rPr>
        <w:t>A</w:t>
      </w:r>
      <w:r w:rsidRPr="00E50B4A">
        <w:rPr>
          <w:rFonts w:asciiTheme="majorHAnsi" w:hAnsiTheme="majorHAnsi" w:cs="Arial"/>
          <w:b/>
          <w:sz w:val="24"/>
          <w:szCs w:val="24"/>
          <w:u w:val="single"/>
        </w:rPr>
        <w:t>dolescentes entre 14 y 17 infractores de la Ley Penal vinculados a procesos judiciales</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De acuerdo a la cantidad de adolescentes infractores registrados en los años 2005 y 2006, podemos afirmar que mientras la legislación juvenil era constituida por el Código del Menor (Decreto 2737 de 1989), significaba una permisividad en cuanto a las sanciones, pues se consideraban a los adolescentes infractores cuasi inimputa</w:t>
      </w:r>
      <w:r w:rsidR="007D49AA" w:rsidRPr="00E50B4A">
        <w:rPr>
          <w:rFonts w:asciiTheme="majorHAnsi" w:hAnsiTheme="majorHAnsi" w:cs="Arial"/>
          <w:sz w:val="24"/>
          <w:szCs w:val="24"/>
        </w:rPr>
        <w:t>bles, por ende dicha ley no tení</w:t>
      </w:r>
      <w:r w:rsidRPr="00E50B4A">
        <w:rPr>
          <w:rFonts w:asciiTheme="majorHAnsi" w:hAnsiTheme="majorHAnsi" w:cs="Arial"/>
          <w:sz w:val="24"/>
          <w:szCs w:val="24"/>
        </w:rPr>
        <w:t>a efectos represivos o disuasivos en los jóvenes.</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A partir del año 2007, en que empezó a regir el Código de la Infancia y la Adolescencia, apoyada en los procedimientos del sistema pena oral acusatorio y con procedimientos definidos para la responsabilidad penal, con imposición de medidas especificas para los adolescentes declarados infractores, const</w:t>
      </w:r>
      <w:r w:rsidR="00414AE5" w:rsidRPr="00E50B4A">
        <w:rPr>
          <w:rFonts w:asciiTheme="majorHAnsi" w:hAnsiTheme="majorHAnsi" w:cs="Arial"/>
          <w:sz w:val="24"/>
          <w:szCs w:val="24"/>
        </w:rPr>
        <w:t>ituidas en sanciones, se observó</w:t>
      </w:r>
      <w:r w:rsidRPr="00E50B4A">
        <w:rPr>
          <w:rFonts w:asciiTheme="majorHAnsi" w:hAnsiTheme="majorHAnsi" w:cs="Arial"/>
          <w:sz w:val="24"/>
          <w:szCs w:val="24"/>
        </w:rPr>
        <w:t xml:space="preserve"> una disminución en el índice de adolescentes infractores, generado por la transición, el acomodo y aprendizaje de las autoridades administrativas y judiciales, de pasar de una a otra legislación, impidiendo la vinculación de adolescentes a procesos judiciales, en tal cantidad como era percibida en periodos anuales anteriores. Además no se descarta una disuasión en los adolescentes en cuanto a la comisión  de hechos delictivos,  pues después de tener conocimiento que se había creado una Ley de Infancia y Adolescencia que era más drástica, iban a estar más prevenidos en sus comportamientos, esto representado en las bajas cifras de adolescentes infractores registradas durante los años 2007 y 2008.</w:t>
      </w:r>
    </w:p>
    <w:p w:rsidR="00420DE4" w:rsidRPr="00E50B4A" w:rsidRDefault="00420DE4" w:rsidP="00420DE4">
      <w:pPr>
        <w:spacing w:line="240" w:lineRule="auto"/>
        <w:jc w:val="both"/>
        <w:rPr>
          <w:rFonts w:asciiTheme="majorHAnsi" w:hAnsiTheme="majorHAnsi" w:cs="Arial"/>
          <w:b/>
          <w:sz w:val="24"/>
          <w:szCs w:val="24"/>
          <w:u w:val="single"/>
        </w:rPr>
      </w:pPr>
      <w:r w:rsidRPr="00E50B4A">
        <w:rPr>
          <w:rFonts w:asciiTheme="majorHAnsi" w:hAnsiTheme="majorHAnsi" w:cs="Arial"/>
          <w:sz w:val="24"/>
          <w:szCs w:val="24"/>
        </w:rPr>
        <w:t>En los años 2009 y 2010, las entidades intervinientes del sistema de responsabilidad penal para adolescentes, al tener el conocimiento y bagaje en la Ley 1098 de 2006,  les permitió mas efectividad en su labor de judicialización, aplicación de las medidas contenidas en la ley, como es la de declarar penalmente responsable a los adolescentes infractores e imponerles una respectiva sanción, de acuerdo a los elementos circunstanciales de cada delito.</w:t>
      </w:r>
    </w:p>
    <w:p w:rsidR="00420DE4" w:rsidRPr="00E50B4A" w:rsidRDefault="00420DE4" w:rsidP="00420DE4">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726371" cy="1424894"/>
            <wp:effectExtent l="0" t="0" r="17145" b="23495"/>
            <wp:docPr id="27"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20DE4" w:rsidRPr="00E50B4A" w:rsidRDefault="00203EEA" w:rsidP="00420DE4">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Fuente I.C.B.F</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los años 2005 y 2006 se observa una cantidad significativa de adolescentes infractores, teniendo en cuenta que en dichos años la política criminal juvenil era establecida de acuerdo a los parámetros el código del menor (Decreto 2737 de 1989), donde no existía responsabilidad penal para estos, mientras que en el año 2007 que empezó a regir el Código de Infancia y Adolescencia (</w:t>
      </w:r>
      <w:r w:rsidR="006C22DE" w:rsidRPr="00E50B4A">
        <w:rPr>
          <w:rFonts w:asciiTheme="majorHAnsi" w:hAnsiTheme="majorHAnsi" w:cs="Arial"/>
          <w:sz w:val="24"/>
          <w:szCs w:val="24"/>
        </w:rPr>
        <w:t>Ley 1098 de 2006), donde se creó</w:t>
      </w:r>
      <w:r w:rsidRPr="00E50B4A">
        <w:rPr>
          <w:rFonts w:asciiTheme="majorHAnsi" w:hAnsiTheme="majorHAnsi" w:cs="Arial"/>
          <w:sz w:val="24"/>
          <w:szCs w:val="24"/>
        </w:rPr>
        <w:t xml:space="preserve"> el sistema de responsabilidad penal para adolescentes; se observa que en el año 2007 y 2008 fue baja la cantidad de adolescentes vinculados a procesos judiciales; esto debido tal vez a la disuasión de aplicar la nueva legislación juvenil. </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2009 y 2010 se observa un notorio crecimiento de adolescentes vinculados a procesos judiciales. Se puede concluir que después del inicio de la Ley 1098 de 2006 va en aumento el gran numero de la delincuencia juvenil, debido al desarrollo cultural, territorial, las nuevas estrategias que emplea el delito para su consecución, como son la utilización de menores para la comisión de delitos, el avance que ha tenido el conflicto armado interno en el país, pues los grupos armados  que operaban en la zona rural, diseñaron nuevas estrategias para aplicarlas en las metrópolis, municipios y zonas urbanas en general.</w:t>
      </w: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Adolescentes entre 14 y 17 años infractores de la ley penal reincidentes</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 xml:space="preserve">En los adolescentes reincidentes se pueden destacar dos aspectos importantes, uno la legislación que existía en los años 2005 y 2006, donde no habían procedimientos de responsabilidad penal definidos, sanciones a aplicar acorde a las conductas efectuadas, permitiendo que los jóvenes no fueran resocializados, reeducados, generando un ambiente de confianza de acuerdo su comportamiento, pues tenían conocimiento que no existían sanciones, reglas que pudieran restringir sus conductas. </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El segundo aspecto es percibido de acuerdo a las cifras registradas en los años 2007, 2008, 2009 y 2010, donde se encontraba rigiendo la Ley 1098 de 2006, observando que debido a sus procedimientos de investigación, juzgamiento y sanciones es</w:t>
      </w:r>
      <w:r w:rsidR="00C214E1" w:rsidRPr="00E50B4A">
        <w:rPr>
          <w:rFonts w:asciiTheme="majorHAnsi" w:hAnsiTheme="majorHAnsi" w:cs="Arial"/>
          <w:sz w:val="24"/>
          <w:szCs w:val="24"/>
        </w:rPr>
        <w:t>pecí</w:t>
      </w:r>
      <w:r w:rsidRPr="00E50B4A">
        <w:rPr>
          <w:rFonts w:asciiTheme="majorHAnsi" w:hAnsiTheme="majorHAnsi" w:cs="Arial"/>
          <w:sz w:val="24"/>
          <w:szCs w:val="24"/>
        </w:rPr>
        <w:t>ficas, programas de resocialización, reeducación con fines protectores, generaron en la población juvenil un ambiente de disuasión, represión, evitando que se presentara el fenómeno de la reincidencia penal.</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 xml:space="preserve">Por otra parte es de mencionar que el comportamiento de un adolescente infractor es a causa de problemáticas sociales y familiares, el factor de </w:t>
      </w:r>
      <w:r w:rsidRPr="00E50B4A">
        <w:rPr>
          <w:rFonts w:asciiTheme="majorHAnsi" w:hAnsiTheme="majorHAnsi" w:cs="Arial"/>
          <w:sz w:val="24"/>
          <w:szCs w:val="24"/>
          <w:u w:val="single"/>
        </w:rPr>
        <w:t xml:space="preserve">reincidencia </w:t>
      </w:r>
      <w:r w:rsidRPr="00E50B4A">
        <w:rPr>
          <w:rFonts w:asciiTheme="majorHAnsi" w:hAnsiTheme="majorHAnsi" w:cs="Arial"/>
          <w:sz w:val="24"/>
          <w:szCs w:val="24"/>
        </w:rPr>
        <w:t>es la carencia de empleo, oportunidades educacionales, mientras que la norma cumple un la aplicación de una sanción adecuada, pedagógica, restaurativa, con todos los beneficios que la ley implica, al terminar la sanción el adolescente vuelve al mismo ambiente social, con carencias y debilidades,  el mismo caos familiar, las mismas dificultades económicas y de superación.</w:t>
      </w: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anchor distT="0" distB="0" distL="114300" distR="114300" simplePos="0" relativeHeight="251658240" behindDoc="0" locked="0" layoutInCell="1" allowOverlap="1">
            <wp:simplePos x="0" y="0"/>
            <wp:positionH relativeFrom="column">
              <wp:posOffset>1080135</wp:posOffset>
            </wp:positionH>
            <wp:positionV relativeFrom="paragraph">
              <wp:align>top</wp:align>
            </wp:positionV>
            <wp:extent cx="3735705" cy="1273175"/>
            <wp:effectExtent l="0" t="0" r="17145" b="22225"/>
            <wp:wrapSquare wrapText="bothSides"/>
            <wp:docPr id="227"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sidRPr="00E50B4A">
        <w:rPr>
          <w:rFonts w:asciiTheme="majorHAnsi" w:hAnsiTheme="majorHAnsi" w:cs="Arial"/>
          <w:b/>
          <w:sz w:val="24"/>
          <w:szCs w:val="24"/>
          <w:u w:val="single"/>
        </w:rPr>
        <w:br w:type="textWrapping" w:clear="all"/>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2005 el 20% de adolescentes vinculados a procesos judiciales, reincidieron en las conductas penales.</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2006 la cifra de adolecentes infractores reincidentes fue del 16%.</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2007 en inicio la aplicación de la Ley 1098 de 2006 y en el año 2008 no hubo factor de reincidencia.</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2009 el 8,3% de los jóvenes infractores fueron reincidentes.</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2010 no hubo adolescentes reincidentes conductas penales.</w:t>
      </w: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b/>
          <w:sz w:val="24"/>
          <w:szCs w:val="24"/>
          <w:u w:val="single"/>
        </w:rPr>
      </w:pPr>
      <w:r w:rsidRPr="00E50B4A">
        <w:rPr>
          <w:rFonts w:asciiTheme="majorHAnsi" w:hAnsiTheme="majorHAnsi" w:cs="Arial"/>
          <w:b/>
          <w:sz w:val="24"/>
          <w:szCs w:val="24"/>
          <w:u w:val="single"/>
        </w:rPr>
        <w:t>Adolescentes entre 14 y 17 años privados de libertad procesados conforme a la ley</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A través de la aplicación de la Ley 1098 de 2006, en comparación con el Decreto 2737 de 1989, se puede afirmar que la primera es más fuerte, pues posee medidas y sanciones</w:t>
      </w:r>
      <w:r w:rsidR="00285268" w:rsidRPr="00E50B4A">
        <w:rPr>
          <w:rFonts w:asciiTheme="majorHAnsi" w:hAnsiTheme="majorHAnsi" w:cs="Arial"/>
          <w:sz w:val="24"/>
          <w:szCs w:val="24"/>
        </w:rPr>
        <w:t xml:space="preserve"> de privación de libertad especí</w:t>
      </w:r>
      <w:r w:rsidRPr="00E50B4A">
        <w:rPr>
          <w:rFonts w:asciiTheme="majorHAnsi" w:hAnsiTheme="majorHAnsi" w:cs="Arial"/>
          <w:sz w:val="24"/>
          <w:szCs w:val="24"/>
        </w:rPr>
        <w:t xml:space="preserve">ficas, sujetas a derechos y garantías procesales, donde prima el interés superior del menor, esto se ve reflejado en los años 2009 y 2010, donde el porcentaje de adolescentes infractores privados de la libertad fue algo significativo en comparación con años anteriores y en los cuales se aplicaba como legislación juvenil el Código del Menor. </w:t>
      </w:r>
    </w:p>
    <w:p w:rsidR="00420DE4" w:rsidRPr="00E50B4A" w:rsidRDefault="00420DE4" w:rsidP="00420DE4">
      <w:pPr>
        <w:spacing w:line="240" w:lineRule="auto"/>
        <w:jc w:val="both"/>
        <w:rPr>
          <w:rFonts w:asciiTheme="majorHAnsi" w:hAnsiTheme="majorHAnsi" w:cs="Arial"/>
          <w:sz w:val="24"/>
          <w:szCs w:val="24"/>
        </w:rPr>
      </w:pP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Las autoridades administrativas y judiciales, en aplicación a los procedimientos de responsabilidad penal y las respectivas sanciones (la privación de la libertad en centro de atención especializado), de acuerdo a las circunstancias de cada conducta, permitieron valerse de argumentos jurídicos para privar de la libertad a los adolescentes en conflicto con la ley, generando un ambiente de represión en la comisión de conductas sancionadas por la ley.</w:t>
      </w: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center"/>
        <w:rPr>
          <w:rFonts w:asciiTheme="majorHAnsi" w:hAnsiTheme="majorHAnsi" w:cs="Arial"/>
          <w:b/>
          <w:sz w:val="24"/>
          <w:szCs w:val="24"/>
          <w:u w:val="single"/>
        </w:rPr>
      </w:pPr>
      <w:r w:rsidRPr="00E50B4A">
        <w:rPr>
          <w:rFonts w:asciiTheme="majorHAnsi" w:hAnsiTheme="majorHAnsi" w:cs="Arial"/>
          <w:b/>
          <w:noProof/>
          <w:sz w:val="24"/>
          <w:szCs w:val="24"/>
          <w:u w:val="single"/>
          <w:lang w:eastAsia="es-CO"/>
        </w:rPr>
        <w:drawing>
          <wp:inline distT="0" distB="0" distL="0" distR="0">
            <wp:extent cx="2782469" cy="1795141"/>
            <wp:effectExtent l="0" t="0" r="18415" b="15240"/>
            <wp:docPr id="228"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b/>
          <w:sz w:val="24"/>
          <w:szCs w:val="24"/>
          <w:u w:val="single"/>
        </w:rPr>
      </w:pP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2005 el 6,6% de los adolescentes vinculados a procesos judiciales fueron privados de la libertad.</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2006 el 8,3% de los adolescentes infractores fueron privados de la libertad.</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los años 2007 y 2008 no se presentaron adolescentes privados de la libertad.</w:t>
      </w:r>
    </w:p>
    <w:p w:rsidR="00420DE4" w:rsidRPr="00E50B4A" w:rsidRDefault="00420DE4" w:rsidP="00420DE4">
      <w:pPr>
        <w:spacing w:line="240" w:lineRule="auto"/>
        <w:jc w:val="both"/>
        <w:rPr>
          <w:rFonts w:asciiTheme="majorHAnsi" w:hAnsiTheme="majorHAnsi" w:cs="Arial"/>
          <w:sz w:val="24"/>
          <w:szCs w:val="24"/>
        </w:rPr>
      </w:pPr>
      <w:r w:rsidRPr="00E50B4A">
        <w:rPr>
          <w:rFonts w:asciiTheme="majorHAnsi" w:hAnsiTheme="majorHAnsi" w:cs="Arial"/>
          <w:sz w:val="24"/>
          <w:szCs w:val="24"/>
        </w:rPr>
        <w:t>En el año 2009 se presento un 33,3% de adolescentes infractores privados de la libertad.</w:t>
      </w:r>
    </w:p>
    <w:p w:rsidR="00420DE4" w:rsidRPr="00E50B4A" w:rsidRDefault="00420DE4" w:rsidP="00420DE4">
      <w:pPr>
        <w:spacing w:line="240" w:lineRule="auto"/>
        <w:jc w:val="both"/>
        <w:rPr>
          <w:rFonts w:asciiTheme="majorHAnsi" w:hAnsiTheme="majorHAnsi" w:cs="Arial"/>
          <w:sz w:val="24"/>
          <w:szCs w:val="24"/>
          <w:u w:val="single"/>
        </w:rPr>
      </w:pPr>
      <w:r w:rsidRPr="00E50B4A">
        <w:rPr>
          <w:rFonts w:asciiTheme="majorHAnsi" w:hAnsiTheme="majorHAnsi" w:cs="Arial"/>
          <w:sz w:val="24"/>
          <w:szCs w:val="24"/>
        </w:rPr>
        <w:t>En el año 2010 el 37,5% de adolescentes infractores, fueron privados de la libertad</w:t>
      </w:r>
    </w:p>
    <w:p w:rsidR="00420DE4" w:rsidRPr="00E50B4A" w:rsidRDefault="00420DE4" w:rsidP="00420DE4"/>
    <w:p w:rsidR="00211A83" w:rsidRPr="00E50B4A" w:rsidRDefault="00DC7DCC" w:rsidP="00EC74B8">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Posibilidades.</w:t>
      </w:r>
    </w:p>
    <w:p w:rsidR="00DC7DCC" w:rsidRPr="00E50B4A" w:rsidRDefault="00DC7DCC" w:rsidP="00DC7DCC">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La apertura de la Casa de la Justicia en el municipio, abre la posibilidad de establecer planes y programas de gestión pacífica de conflictos con énfasis en NNA</w:t>
      </w:r>
      <w:r w:rsidR="00EC74B8" w:rsidRPr="00E50B4A">
        <w:rPr>
          <w:rFonts w:asciiTheme="majorHAnsi" w:eastAsia="MS PMincho" w:hAnsiTheme="majorHAnsi" w:cstheme="minorHAnsi"/>
          <w:sz w:val="24"/>
          <w:szCs w:val="24"/>
        </w:rPr>
        <w:t>, fortaleciendo en red con la Personería municipal, el ICBF, comisiones jurídicas de los resguardos indígenas acciones de impacto en escuelas y colegios para evitar los abusos entre los mismo NNA.</w:t>
      </w:r>
    </w:p>
    <w:p w:rsidR="00EC74B8" w:rsidRPr="00E50B4A" w:rsidRDefault="00EC74B8" w:rsidP="00DC7DCC">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Los NNA víctimas de conflicto armado tendrán el tratamiento diferencia</w:t>
      </w:r>
      <w:r w:rsidR="00420DE4" w:rsidRPr="00E50B4A">
        <w:rPr>
          <w:rFonts w:asciiTheme="majorHAnsi" w:eastAsia="MS PMincho" w:hAnsiTheme="majorHAnsi" w:cstheme="minorHAnsi"/>
          <w:sz w:val="24"/>
          <w:szCs w:val="24"/>
        </w:rPr>
        <w:t>l</w:t>
      </w:r>
      <w:r w:rsidRPr="00E50B4A">
        <w:rPr>
          <w:rFonts w:asciiTheme="majorHAnsi" w:eastAsia="MS PMincho" w:hAnsiTheme="majorHAnsi" w:cstheme="minorHAnsi"/>
          <w:sz w:val="24"/>
          <w:szCs w:val="24"/>
        </w:rPr>
        <w:t xml:space="preserve"> requerido y exigido por la justicia en sus pronunciamientos, es decir al momento de establecer medidas de prevención, protección, atención integral y verdad justicia y reparación se tendrá en cuenta su doble condición de víctima y NNA. Además se establecen medidas como aplicaciones de rutas y protocolos de prevención de reclutamiento y de prevención de accidentes e incidentes con MAP y MUSE.</w:t>
      </w:r>
    </w:p>
    <w:p w:rsidR="00EC74B8" w:rsidRPr="00E50B4A" w:rsidRDefault="00EC74B8" w:rsidP="00DC7DCC">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En las instituciones educativas y con la lógica de intervención integral FAMILIA- ESTADO –SOCIEDAD se fortalecerán las mesas de convivencia estudiantil para la gestión pacífica del conflicto y evitar la discriminación en NNA.</w:t>
      </w:r>
    </w:p>
    <w:p w:rsidR="00EC74B8" w:rsidRPr="00E50B4A" w:rsidRDefault="00285268" w:rsidP="00EC74B8">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Recrearte en Rí</w:t>
      </w:r>
      <w:r w:rsidR="00EC74B8" w:rsidRPr="00E50B4A">
        <w:rPr>
          <w:rFonts w:asciiTheme="majorHAnsi" w:eastAsia="MS PMincho" w:hAnsiTheme="majorHAnsi" w:cstheme="minorHAnsi"/>
          <w:sz w:val="24"/>
          <w:szCs w:val="24"/>
        </w:rPr>
        <w:t>o, programa institucional que busca permitir el disfrute del espacio público, tiene u</w:t>
      </w:r>
      <w:r w:rsidRPr="00E50B4A">
        <w:rPr>
          <w:rFonts w:asciiTheme="majorHAnsi" w:eastAsia="MS PMincho" w:hAnsiTheme="majorHAnsi" w:cstheme="minorHAnsi"/>
          <w:sz w:val="24"/>
          <w:szCs w:val="24"/>
        </w:rPr>
        <w:t>n componente para NNA, se tomará</w:t>
      </w:r>
      <w:r w:rsidR="00EC74B8" w:rsidRPr="00E50B4A">
        <w:rPr>
          <w:rFonts w:asciiTheme="majorHAnsi" w:eastAsia="MS PMincho" w:hAnsiTheme="majorHAnsi" w:cstheme="minorHAnsi"/>
          <w:sz w:val="24"/>
          <w:szCs w:val="24"/>
        </w:rPr>
        <w:t>n acciones como cierre de parques y vías para disfrute de la primera infancia y los adolescentes.</w:t>
      </w:r>
    </w:p>
    <w:p w:rsidR="003407C2" w:rsidRPr="00E50B4A" w:rsidRDefault="00EC74B8"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La guardia indígena infantil que contribuye al fortalecimiento del plan de vida de los NNA de los pueblos indígenas del municipio, será acompañada en procesos de gestión de recursos para proyectos, además de procesos de formación</w:t>
      </w:r>
      <w:r w:rsidR="003407C2" w:rsidRPr="00E50B4A">
        <w:rPr>
          <w:rFonts w:asciiTheme="majorHAnsi" w:eastAsia="MS PMincho" w:hAnsiTheme="majorHAnsi" w:cstheme="minorHAnsi"/>
          <w:sz w:val="24"/>
          <w:szCs w:val="24"/>
        </w:rPr>
        <w:t>,</w:t>
      </w:r>
    </w:p>
    <w:p w:rsidR="00DC7DCC" w:rsidRPr="00E50B4A" w:rsidRDefault="003407C2"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El fortalecimiento de acciones de ciudadanía temprana en NNA es fundamental para la integración en la vida pública de este sector poblacional, es por ello que los procesos de cultura ciudadana tendrán énfasis en NNA pues a toda luz esta demostrado que desde la primera infancia se tiene mayor éxito en aquellos procesos. Las comunicaciones sociales que permiten el ejercicio de los derechos fundamentales de los NNA a la opinión, expresión, recibir información veraz y objetiva</w:t>
      </w:r>
      <w:r w:rsidR="00035230" w:rsidRPr="00E50B4A">
        <w:rPr>
          <w:rFonts w:asciiTheme="majorHAnsi" w:eastAsia="MS PMincho" w:hAnsiTheme="majorHAnsi" w:cstheme="minorHAnsi"/>
          <w:sz w:val="24"/>
          <w:szCs w:val="24"/>
        </w:rPr>
        <w:t>, serán acompañadas.</w:t>
      </w:r>
    </w:p>
    <w:p w:rsidR="00F209A8" w:rsidRPr="00E50B4A" w:rsidRDefault="00F209A8"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Resulta fundamental el apoyo interinstitucional por parte de otras entidades del Estado con responsabilidad en la protección de NNA para la implementación de un equipo interdisciplinario que pueda realizar una adecuada intervención en la prevención en compañía de la comisaría de familia. Así mismo se requiere de un  hogar </w:t>
      </w:r>
      <w:r w:rsidR="00420DE4" w:rsidRPr="00E50B4A">
        <w:rPr>
          <w:rFonts w:asciiTheme="majorHAnsi" w:eastAsia="MS PMincho" w:hAnsiTheme="majorHAnsi" w:cstheme="minorHAnsi"/>
          <w:sz w:val="24"/>
          <w:szCs w:val="24"/>
        </w:rPr>
        <w:t xml:space="preserve">transitorio y </w:t>
      </w:r>
      <w:r w:rsidRPr="00E50B4A">
        <w:rPr>
          <w:rFonts w:asciiTheme="majorHAnsi" w:eastAsia="MS PMincho" w:hAnsiTheme="majorHAnsi" w:cstheme="minorHAnsi"/>
          <w:sz w:val="24"/>
          <w:szCs w:val="24"/>
        </w:rPr>
        <w:t>de paso para menores presuntos infractores de la ley penal.</w:t>
      </w:r>
    </w:p>
    <w:p w:rsidR="00F209A8" w:rsidRPr="00E50B4A" w:rsidRDefault="00F209A8" w:rsidP="00F37D60">
      <w:pPr>
        <w:jc w:val="both"/>
        <w:rPr>
          <w:rFonts w:asciiTheme="majorHAnsi" w:eastAsia="MS PMincho" w:hAnsiTheme="majorHAnsi" w:cstheme="minorHAnsi"/>
          <w:sz w:val="24"/>
          <w:szCs w:val="24"/>
        </w:rPr>
      </w:pPr>
    </w:p>
    <w:p w:rsidR="00211A83" w:rsidRPr="00E50B4A" w:rsidRDefault="000D4638" w:rsidP="00035230">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Poblaciones de protección especial.</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Teniendo en cuenta que somos distintos, que cada individuo tiene unas características propias y siguiendo las órdenes de la constitución política sobre la necesidad de hacer efectiva la</w:t>
      </w:r>
      <w:r w:rsidR="00492145" w:rsidRPr="00E50B4A">
        <w:rPr>
          <w:rFonts w:asciiTheme="majorHAnsi" w:eastAsia="MS PMincho" w:hAnsiTheme="majorHAnsi" w:cstheme="minorHAnsi"/>
          <w:sz w:val="24"/>
          <w:szCs w:val="24"/>
        </w:rPr>
        <w:t xml:space="preserve"> igualdad entre ciudadanos, nuestro</w:t>
      </w:r>
      <w:r w:rsidRPr="00E50B4A">
        <w:rPr>
          <w:rFonts w:asciiTheme="majorHAnsi" w:eastAsia="MS PMincho" w:hAnsiTheme="majorHAnsi" w:cstheme="minorHAnsi"/>
          <w:sz w:val="24"/>
          <w:szCs w:val="24"/>
        </w:rPr>
        <w:t xml:space="preserve"> segundo eje estratégico del PMD busca responder con acciones afirmativas a sectores poblacionales como:</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Personas mayores.</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Juventud.</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Personas en situación de discapacidad.</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LGTBI. </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Víctimas de la violencia.</w:t>
      </w:r>
    </w:p>
    <w:p w:rsidR="00035230" w:rsidRPr="00E50B4A" w:rsidRDefault="00035230"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NNA.</w:t>
      </w:r>
    </w:p>
    <w:p w:rsidR="00E91EAE" w:rsidRPr="00E50B4A" w:rsidRDefault="00E91EAE"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Equidad genero.</w:t>
      </w:r>
    </w:p>
    <w:p w:rsidR="000C1E97" w:rsidRPr="00E50B4A" w:rsidRDefault="000D4638" w:rsidP="000D4638">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Acerca de Poblaciones de protección especial en el PMD</w:t>
      </w:r>
    </w:p>
    <w:p w:rsidR="00887BA4" w:rsidRPr="00E50B4A" w:rsidRDefault="00887BA4"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En una sociedad democrática y plural como debe ser la riosuceña el abordaje de derechos de acuerdo a las diferentes particularidades individuales y colectivas es clave. Es necesario resaltar acerca de la doble condición de enfoque diferencial que tendremos en</w:t>
      </w:r>
      <w:r w:rsidR="004909DB" w:rsidRPr="00E50B4A">
        <w:rPr>
          <w:rFonts w:asciiTheme="majorHAnsi" w:eastAsia="MS PMincho" w:hAnsiTheme="majorHAnsi" w:cstheme="minorHAnsi"/>
          <w:sz w:val="24"/>
          <w:szCs w:val="24"/>
        </w:rPr>
        <w:t xml:space="preserve"> cuenta </w:t>
      </w:r>
      <w:r w:rsidRPr="00E50B4A">
        <w:rPr>
          <w:rFonts w:asciiTheme="majorHAnsi" w:eastAsia="MS PMincho" w:hAnsiTheme="majorHAnsi" w:cstheme="minorHAnsi"/>
          <w:sz w:val="24"/>
          <w:szCs w:val="24"/>
        </w:rPr>
        <w:t xml:space="preserve"> NNA que estén en situación de discapacidad, víctimas de violencias</w:t>
      </w:r>
      <w:r w:rsidR="00E91EAE" w:rsidRPr="00E50B4A">
        <w:rPr>
          <w:rFonts w:asciiTheme="majorHAnsi" w:eastAsia="MS PMincho" w:hAnsiTheme="majorHAnsi" w:cstheme="minorHAnsi"/>
          <w:sz w:val="24"/>
          <w:szCs w:val="24"/>
        </w:rPr>
        <w:t xml:space="preserve"> o sean parte de LGTBI o mujeres NNA.</w:t>
      </w:r>
    </w:p>
    <w:p w:rsidR="00E91EAE" w:rsidRPr="00E50B4A" w:rsidRDefault="00E91EAE" w:rsidP="00F37D60">
      <w:pPr>
        <w:jc w:val="both"/>
        <w:rPr>
          <w:rFonts w:asciiTheme="majorHAnsi" w:eastAsia="MS PMincho" w:hAnsiTheme="majorHAnsi" w:cstheme="minorHAnsi"/>
          <w:sz w:val="24"/>
          <w:szCs w:val="24"/>
        </w:rPr>
      </w:pPr>
    </w:p>
    <w:p w:rsidR="008274DE" w:rsidRPr="00E50B4A" w:rsidRDefault="008274DE" w:rsidP="00DB48A9">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Juventud.</w:t>
      </w:r>
    </w:p>
    <w:p w:rsidR="008274DE" w:rsidRPr="00E50B4A" w:rsidRDefault="008274DE" w:rsidP="008274DE">
      <w:pPr>
        <w:jc w:val="both"/>
        <w:rPr>
          <w:rFonts w:asciiTheme="majorHAnsi" w:hAnsiTheme="majorHAnsi" w:cstheme="minorHAnsi"/>
          <w:sz w:val="24"/>
          <w:szCs w:val="24"/>
        </w:rPr>
      </w:pPr>
      <w:r w:rsidRPr="00E50B4A">
        <w:rPr>
          <w:rFonts w:asciiTheme="majorHAnsi" w:hAnsiTheme="majorHAnsi" w:cstheme="minorHAnsi"/>
          <w:sz w:val="24"/>
          <w:szCs w:val="24"/>
        </w:rPr>
        <w:t>La juventud en Riosucio en buen porcentaje advierte sentido de pertenencia por la identidad riosuceña, defiende y se apropia de sus tradiciones y participa activamente en la vida social, comunitaria y cultural del municipio.</w:t>
      </w:r>
    </w:p>
    <w:p w:rsidR="008274DE" w:rsidRPr="00E50B4A" w:rsidRDefault="008274DE" w:rsidP="008274DE">
      <w:pPr>
        <w:jc w:val="both"/>
        <w:rPr>
          <w:rFonts w:asciiTheme="majorHAnsi" w:hAnsiTheme="majorHAnsi" w:cstheme="minorHAnsi"/>
          <w:sz w:val="24"/>
          <w:szCs w:val="24"/>
        </w:rPr>
      </w:pPr>
      <w:r w:rsidRPr="00E50B4A">
        <w:rPr>
          <w:rFonts w:asciiTheme="majorHAnsi" w:hAnsiTheme="majorHAnsi" w:cstheme="minorHAnsi"/>
          <w:sz w:val="24"/>
          <w:szCs w:val="24"/>
        </w:rPr>
        <w:t xml:space="preserve">Los jóvenes reclaman de manera decidida mayor participación en la vida  política del municipio, para ello la reactivación del CMJ será un buen punto de partida para concertar con los jóvenes y hacerlos protagonistas de la vida pública, entregándoles los insumos necesarios para el ejercicio de una ciudadanía temprana que apunte a un futuro deseado y construido con la energía propia de la juventud. </w:t>
      </w:r>
    </w:p>
    <w:p w:rsidR="008274DE" w:rsidRPr="00E50B4A" w:rsidRDefault="008274DE" w:rsidP="008274DE">
      <w:pPr>
        <w:jc w:val="both"/>
        <w:rPr>
          <w:rFonts w:asciiTheme="majorHAnsi" w:hAnsiTheme="majorHAnsi" w:cstheme="minorHAnsi"/>
          <w:sz w:val="24"/>
          <w:szCs w:val="24"/>
        </w:rPr>
      </w:pPr>
      <w:r w:rsidRPr="00E50B4A">
        <w:rPr>
          <w:rFonts w:asciiTheme="majorHAnsi" w:hAnsiTheme="majorHAnsi" w:cstheme="minorHAnsi"/>
          <w:sz w:val="24"/>
          <w:szCs w:val="24"/>
        </w:rPr>
        <w:t>Los abusos sexuales, los embarazos a temprana edad, el manejo irresponsable de la sexualidad, el consumo de drogas y alcohol y violencia intrafamiliar son las principales dificultades que enfrentan los jóvenes riosuceños, estas problemáticas requieren una intervención oportuna y efectiva por parte de la administración municipal.</w:t>
      </w:r>
    </w:p>
    <w:p w:rsidR="008274DE" w:rsidRPr="00E50B4A" w:rsidRDefault="008274DE" w:rsidP="008274DE">
      <w:pPr>
        <w:jc w:val="both"/>
        <w:rPr>
          <w:rFonts w:asciiTheme="majorHAnsi" w:hAnsiTheme="majorHAnsi" w:cstheme="minorHAnsi"/>
          <w:sz w:val="24"/>
          <w:szCs w:val="24"/>
        </w:rPr>
      </w:pPr>
      <w:r w:rsidRPr="00E50B4A">
        <w:rPr>
          <w:rFonts w:asciiTheme="majorHAnsi" w:hAnsiTheme="majorHAnsi" w:cstheme="minorHAnsi"/>
          <w:sz w:val="24"/>
          <w:szCs w:val="24"/>
        </w:rPr>
        <w:t>El tema de la juventud es un tema que debe ser abordad</w:t>
      </w:r>
      <w:r w:rsidR="00285268" w:rsidRPr="00E50B4A">
        <w:rPr>
          <w:rFonts w:asciiTheme="majorHAnsi" w:hAnsiTheme="majorHAnsi" w:cstheme="minorHAnsi"/>
          <w:sz w:val="24"/>
          <w:szCs w:val="24"/>
        </w:rPr>
        <w:t>o desde las diferentes Secretarí</w:t>
      </w:r>
      <w:r w:rsidRPr="00E50B4A">
        <w:rPr>
          <w:rFonts w:asciiTheme="majorHAnsi" w:hAnsiTheme="majorHAnsi" w:cstheme="minorHAnsi"/>
          <w:sz w:val="24"/>
          <w:szCs w:val="24"/>
        </w:rPr>
        <w:t xml:space="preserve">as de manera trasversal, es necesario implementar políticas públicas participativas y concertadas para este grupo poblacional que apuesten a garantizar sus derechos fundamentales. </w:t>
      </w:r>
    </w:p>
    <w:p w:rsidR="008274DE" w:rsidRPr="00E50B4A" w:rsidRDefault="008274DE" w:rsidP="008274DE">
      <w:pPr>
        <w:jc w:val="both"/>
        <w:rPr>
          <w:rFonts w:asciiTheme="majorHAnsi" w:hAnsiTheme="majorHAnsi" w:cstheme="minorHAnsi"/>
          <w:sz w:val="24"/>
          <w:szCs w:val="24"/>
        </w:rPr>
      </w:pPr>
      <w:r w:rsidRPr="00E50B4A">
        <w:rPr>
          <w:rFonts w:asciiTheme="majorHAnsi" w:hAnsiTheme="majorHAnsi" w:cstheme="minorHAnsi"/>
          <w:sz w:val="24"/>
          <w:szCs w:val="24"/>
        </w:rPr>
        <w:t>Para la atención a la juventud es recomendable fortalecer las alianzas con entidades del orden nacional que puedan contribuir en este proceso: ICBF a través de sus clubes juveniles y el SENA con sus programas de capacitación, generación de empleo y ocupación del tiempo libre, pueden ser llegar aliados estratégicos en</w:t>
      </w:r>
      <w:r w:rsidR="00E91EAE" w:rsidRPr="00E50B4A">
        <w:rPr>
          <w:rFonts w:asciiTheme="majorHAnsi" w:hAnsiTheme="majorHAnsi" w:cstheme="minorHAnsi"/>
          <w:sz w:val="24"/>
          <w:szCs w:val="24"/>
        </w:rPr>
        <w:t xml:space="preserve"> la búsqueda del goce efectivo </w:t>
      </w:r>
      <w:r w:rsidRPr="00E50B4A">
        <w:rPr>
          <w:rFonts w:asciiTheme="majorHAnsi" w:hAnsiTheme="majorHAnsi" w:cstheme="minorHAnsi"/>
          <w:sz w:val="24"/>
          <w:szCs w:val="24"/>
        </w:rPr>
        <w:t>de derechos de nuestros jóvenes.</w:t>
      </w:r>
    </w:p>
    <w:p w:rsidR="00887BA4" w:rsidRPr="00E50B4A" w:rsidRDefault="00887BA4"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También es importante señalar </w:t>
      </w:r>
      <w:r w:rsidR="004909DB" w:rsidRPr="00E50B4A">
        <w:rPr>
          <w:rFonts w:asciiTheme="majorHAnsi" w:eastAsia="MS PMincho" w:hAnsiTheme="majorHAnsi" w:cstheme="minorHAnsi"/>
          <w:sz w:val="24"/>
          <w:szCs w:val="24"/>
        </w:rPr>
        <w:t>que necesidad de fortalecimiento de los encuentros intergeneracionales entre adultos mayores y NNA que permitan la recuperación y construcción renovada de la memoria histórica.</w:t>
      </w:r>
    </w:p>
    <w:p w:rsidR="008274DE" w:rsidRPr="00E50B4A" w:rsidRDefault="008274DE" w:rsidP="00F37D60">
      <w:pPr>
        <w:jc w:val="both"/>
        <w:rPr>
          <w:rFonts w:asciiTheme="majorHAnsi" w:eastAsia="MS PMincho" w:hAnsiTheme="majorHAnsi" w:cstheme="minorHAnsi"/>
          <w:sz w:val="24"/>
          <w:szCs w:val="24"/>
        </w:rPr>
      </w:pPr>
    </w:p>
    <w:p w:rsidR="000C1E97" w:rsidRPr="00E50B4A" w:rsidRDefault="00F94548" w:rsidP="00DB48A9">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NNA</w:t>
      </w:r>
      <w:r w:rsidR="00A46877" w:rsidRPr="00E50B4A">
        <w:rPr>
          <w:rFonts w:asciiTheme="majorHAnsi" w:eastAsia="MS PMincho" w:hAnsiTheme="majorHAnsi" w:cstheme="minorHAnsi"/>
          <w:sz w:val="24"/>
          <w:szCs w:val="24"/>
          <w:u w:val="single"/>
        </w:rPr>
        <w:t xml:space="preserve"> en condición de discapacidad</w:t>
      </w:r>
    </w:p>
    <w:p w:rsidR="00F94548" w:rsidRPr="00E50B4A" w:rsidRDefault="00F94548" w:rsidP="00A46877">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Se integran a la política pública de personas en discapacidad, además de ésta tener un énfasis en NNA, es así como identificadas las necesidad de visibilización de la situación de NNA en situación de discapacidad y sus necesidades de</w:t>
      </w:r>
      <w:r w:rsidR="00285268" w:rsidRPr="00E50B4A">
        <w:rPr>
          <w:rFonts w:asciiTheme="majorHAnsi" w:eastAsia="MS PMincho" w:hAnsiTheme="majorHAnsi" w:cstheme="minorHAnsi"/>
          <w:sz w:val="24"/>
          <w:szCs w:val="24"/>
        </w:rPr>
        <w:t xml:space="preserve"> intervención má</w:t>
      </w:r>
      <w:r w:rsidR="00DD47C8" w:rsidRPr="00E50B4A">
        <w:rPr>
          <w:rFonts w:asciiTheme="majorHAnsi" w:eastAsia="MS PMincho" w:hAnsiTheme="majorHAnsi" w:cstheme="minorHAnsi"/>
          <w:sz w:val="24"/>
          <w:szCs w:val="24"/>
        </w:rPr>
        <w:t>s importantes. Algunas</w:t>
      </w:r>
      <w:r w:rsidRPr="00E50B4A">
        <w:rPr>
          <w:rFonts w:asciiTheme="majorHAnsi" w:eastAsia="MS PMincho" w:hAnsiTheme="majorHAnsi" w:cstheme="minorHAnsi"/>
          <w:sz w:val="24"/>
          <w:szCs w:val="24"/>
        </w:rPr>
        <w:t xml:space="preserve"> debilidades como la ausencia de un censo o caracterización actualizada de los NNA en situación de discapacidad, la insuficiencia de recursos económicos, la exclusión social y discriminación.</w:t>
      </w:r>
    </w:p>
    <w:p w:rsidR="00F94548" w:rsidRPr="00E50B4A" w:rsidRDefault="00F94548" w:rsidP="00DB48A9">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Posibilidades</w:t>
      </w:r>
    </w:p>
    <w:p w:rsidR="00A46877" w:rsidRPr="00E50B4A" w:rsidRDefault="00F94548" w:rsidP="00A46877">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Generar conciencia ciudadana acerca del concepto de discapacidad y en contexto en NNA, hacer promoción </w:t>
      </w:r>
      <w:r w:rsidR="00A46877" w:rsidRPr="00E50B4A">
        <w:rPr>
          <w:rFonts w:asciiTheme="majorHAnsi" w:eastAsia="MS PMincho" w:hAnsiTheme="majorHAnsi" w:cstheme="minorHAnsi"/>
          <w:sz w:val="24"/>
          <w:szCs w:val="24"/>
        </w:rPr>
        <w:t xml:space="preserve">y difusión de derechos, generar insumos para la construcción colectiva de una política pública con participación de la sociedad civil e instituciones públicas y privadas que abordan el tema, disminuir el rechazo y la inclusión de  los NNA en situación de discapacidad fortaleciendo las intervenciones en espacio públicos e instituciones educativas para una mejor accesibilidad. </w:t>
      </w:r>
    </w:p>
    <w:p w:rsidR="00A46877" w:rsidRPr="00E50B4A" w:rsidRDefault="00A46877" w:rsidP="00A46877">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También se emprenderán acciones de prevención de la discapacidad mediante estilos de vida saludable.</w:t>
      </w:r>
    </w:p>
    <w:p w:rsidR="00F94548" w:rsidRPr="00E50B4A" w:rsidRDefault="00A46877" w:rsidP="00A46877">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Algunas líneas de trabajo serán </w:t>
      </w:r>
      <w:r w:rsidR="00F94548" w:rsidRPr="00E50B4A">
        <w:rPr>
          <w:rFonts w:asciiTheme="majorHAnsi" w:eastAsia="MS PMincho" w:hAnsiTheme="majorHAnsi" w:cstheme="minorHAnsi"/>
          <w:sz w:val="24"/>
          <w:szCs w:val="24"/>
        </w:rPr>
        <w:t>promoción y difusión de los derechos de las person</w:t>
      </w:r>
      <w:r w:rsidRPr="00E50B4A">
        <w:rPr>
          <w:rFonts w:asciiTheme="majorHAnsi" w:eastAsia="MS PMincho" w:hAnsiTheme="majorHAnsi" w:cstheme="minorHAnsi"/>
          <w:sz w:val="24"/>
          <w:szCs w:val="24"/>
        </w:rPr>
        <w:t xml:space="preserve">as en situación de discapacidad, </w:t>
      </w:r>
      <w:r w:rsidR="00F94548" w:rsidRPr="00E50B4A">
        <w:rPr>
          <w:rFonts w:asciiTheme="majorHAnsi" w:eastAsia="MS PMincho" w:hAnsiTheme="majorHAnsi" w:cstheme="minorHAnsi"/>
          <w:sz w:val="24"/>
          <w:szCs w:val="24"/>
        </w:rPr>
        <w:t>capacitaciones en  internet a personas en s</w:t>
      </w:r>
      <w:r w:rsidRPr="00E50B4A">
        <w:rPr>
          <w:rFonts w:asciiTheme="majorHAnsi" w:eastAsia="MS PMincho" w:hAnsiTheme="majorHAnsi" w:cstheme="minorHAnsi"/>
          <w:sz w:val="24"/>
          <w:szCs w:val="24"/>
        </w:rPr>
        <w:t xml:space="preserve">ituación de discapacidad y </w:t>
      </w:r>
      <w:r w:rsidR="00F94548" w:rsidRPr="00E50B4A">
        <w:rPr>
          <w:rFonts w:asciiTheme="majorHAnsi" w:eastAsia="MS PMincho" w:hAnsiTheme="majorHAnsi" w:cstheme="minorHAnsi"/>
          <w:sz w:val="24"/>
          <w:szCs w:val="24"/>
        </w:rPr>
        <w:t>acciones de comunicación pública con enfoque diferencial.</w:t>
      </w:r>
    </w:p>
    <w:p w:rsidR="00C60B7E" w:rsidRPr="00E50B4A" w:rsidRDefault="00F94548"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Acciones de sensibilización  y control al transporte público y normas de construcción y acceso a espacio público de las per</w:t>
      </w:r>
      <w:r w:rsidR="00A46877" w:rsidRPr="00E50B4A">
        <w:rPr>
          <w:rFonts w:asciiTheme="majorHAnsi" w:eastAsia="MS PMincho" w:hAnsiTheme="majorHAnsi" w:cstheme="minorHAnsi"/>
          <w:sz w:val="24"/>
          <w:szCs w:val="24"/>
        </w:rPr>
        <w:t>sonas en situación discapacidad y el fortalecimiento del c</w:t>
      </w:r>
      <w:r w:rsidRPr="00E50B4A">
        <w:rPr>
          <w:rFonts w:asciiTheme="majorHAnsi" w:eastAsia="MS PMincho" w:hAnsiTheme="majorHAnsi" w:cstheme="minorHAnsi"/>
          <w:sz w:val="24"/>
          <w:szCs w:val="24"/>
        </w:rPr>
        <w:t>omité municipal de atención a personas en si</w:t>
      </w:r>
      <w:r w:rsidR="00C60B7E" w:rsidRPr="00E50B4A">
        <w:rPr>
          <w:rFonts w:asciiTheme="majorHAnsi" w:eastAsia="MS PMincho" w:hAnsiTheme="majorHAnsi" w:cstheme="minorHAnsi"/>
          <w:sz w:val="24"/>
          <w:szCs w:val="24"/>
        </w:rPr>
        <w:t>tuación de discapacidad.</w:t>
      </w:r>
    </w:p>
    <w:p w:rsidR="00DB48A9" w:rsidRPr="00E50B4A" w:rsidRDefault="00C60B7E"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Es fundamental adoptar un protocolo para atención preferencial  en  educación de la población en situación de discapacidad, brindar cursos o seminarios para población en situación de discapacidad con énfasis en NNA, inclusión de estudiantes en condición de discapacidad en inter-colegiados de arte y cultura y realización de un festival de lectura para personas en situación de discapacidad y proyectos de emprendimiento para NNA</w:t>
      </w:r>
      <w:r w:rsidR="00DB48A9" w:rsidRPr="00E50B4A">
        <w:rPr>
          <w:rFonts w:asciiTheme="majorHAnsi" w:eastAsia="MS PMincho" w:hAnsiTheme="majorHAnsi" w:cstheme="minorHAnsi"/>
          <w:sz w:val="24"/>
          <w:szCs w:val="24"/>
        </w:rPr>
        <w:t xml:space="preserve"> en situación de discapacidad.</w:t>
      </w:r>
    </w:p>
    <w:p w:rsidR="00DD47C8" w:rsidRPr="00E50B4A" w:rsidRDefault="00DD47C8" w:rsidP="00DB48A9">
      <w:pPr>
        <w:jc w:val="center"/>
        <w:rPr>
          <w:rFonts w:asciiTheme="majorHAnsi" w:eastAsia="MS PMincho" w:hAnsiTheme="majorHAnsi" w:cstheme="minorHAnsi"/>
          <w:sz w:val="24"/>
          <w:szCs w:val="24"/>
          <w:u w:val="single"/>
        </w:rPr>
      </w:pPr>
    </w:p>
    <w:p w:rsidR="00C60B7E" w:rsidRPr="00E50B4A" w:rsidRDefault="00DB48A9" w:rsidP="00DB48A9">
      <w:pPr>
        <w:jc w:val="center"/>
        <w:rPr>
          <w:rFonts w:asciiTheme="majorHAnsi" w:eastAsia="MS PMincho" w:hAnsiTheme="majorHAnsi" w:cstheme="minorHAnsi"/>
          <w:sz w:val="24"/>
          <w:szCs w:val="24"/>
          <w:u w:val="single"/>
        </w:rPr>
      </w:pPr>
      <w:r w:rsidRPr="00E50B4A">
        <w:rPr>
          <w:rFonts w:asciiTheme="majorHAnsi" w:eastAsia="MS PMincho" w:hAnsiTheme="majorHAnsi" w:cstheme="minorHAnsi"/>
          <w:sz w:val="24"/>
          <w:szCs w:val="24"/>
          <w:u w:val="single"/>
        </w:rPr>
        <w:t>Riosucio equitativo y solidario.</w:t>
      </w:r>
    </w:p>
    <w:p w:rsidR="00DB48A9" w:rsidRPr="00E50B4A" w:rsidRDefault="00DB48A9"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Aborda la ejecución de derechos fundamentales para niños, niñas y adolescentes, como son: La salud, deporte, recreación y actividad física, la educación, cultura y participación ciudadana.</w:t>
      </w:r>
    </w:p>
    <w:p w:rsidR="00DD47C8" w:rsidRPr="00E50B4A" w:rsidRDefault="00DD47C8"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La efectividad de los principales derechos sociales, económicos y culturales será el objetivo primordial en el presente cuatrienio </w:t>
      </w:r>
      <w:r w:rsidR="00DD3429" w:rsidRPr="00E50B4A">
        <w:rPr>
          <w:rFonts w:asciiTheme="majorHAnsi" w:eastAsia="MS PMincho" w:hAnsiTheme="majorHAnsi" w:cstheme="minorHAnsi"/>
          <w:sz w:val="24"/>
          <w:szCs w:val="24"/>
        </w:rPr>
        <w:t>teniendo presente la prevalencia de los derechos de los NNA.</w:t>
      </w:r>
    </w:p>
    <w:p w:rsidR="00DD3429" w:rsidRPr="00E50B4A" w:rsidRDefault="00DD3429" w:rsidP="005A23AB">
      <w:pPr>
        <w:pStyle w:val="Textoindependiente2"/>
        <w:rPr>
          <w:rFonts w:asciiTheme="majorHAnsi" w:hAnsiTheme="majorHAnsi" w:cs="Arial"/>
        </w:rPr>
      </w:pPr>
    </w:p>
    <w:p w:rsidR="005A23AB" w:rsidRPr="00E50B4A" w:rsidRDefault="005A23AB" w:rsidP="005A23AB">
      <w:pPr>
        <w:pStyle w:val="Textoindependiente2"/>
        <w:rPr>
          <w:rFonts w:asciiTheme="majorHAnsi" w:hAnsiTheme="majorHAnsi" w:cs="Arial"/>
        </w:rPr>
      </w:pPr>
      <w:r w:rsidRPr="00E50B4A">
        <w:rPr>
          <w:rFonts w:asciiTheme="majorHAnsi" w:hAnsiTheme="majorHAnsi" w:cs="Arial"/>
        </w:rPr>
        <w:t xml:space="preserve">SALUD PROBLEMÁTICA INFANTIL </w:t>
      </w:r>
    </w:p>
    <w:p w:rsidR="005A23AB" w:rsidRPr="00E50B4A" w:rsidRDefault="005A23AB" w:rsidP="005A23AB">
      <w:pPr>
        <w:pStyle w:val="Textoindependiente2"/>
        <w:rPr>
          <w:rFonts w:asciiTheme="majorHAnsi" w:hAnsiTheme="majorHAnsi" w:cs="Arial"/>
        </w:rPr>
      </w:pPr>
    </w:p>
    <w:p w:rsidR="005A23AB" w:rsidRPr="00E50B4A" w:rsidRDefault="00DD3429" w:rsidP="005A23AB">
      <w:pPr>
        <w:tabs>
          <w:tab w:val="left" w:pos="2400"/>
          <w:tab w:val="center" w:pos="4419"/>
        </w:tabs>
        <w:spacing w:after="0" w:line="240" w:lineRule="auto"/>
        <w:jc w:val="both"/>
        <w:rPr>
          <w:rFonts w:asciiTheme="majorHAnsi" w:hAnsiTheme="majorHAnsi" w:cs="Arial"/>
          <w:sz w:val="24"/>
          <w:szCs w:val="24"/>
        </w:rPr>
      </w:pPr>
      <w:r w:rsidRPr="00E50B4A">
        <w:rPr>
          <w:rFonts w:asciiTheme="majorHAnsi" w:eastAsia="Times New Roman" w:hAnsiTheme="majorHAnsi" w:cs="Arial"/>
          <w:sz w:val="24"/>
          <w:szCs w:val="24"/>
          <w:lang w:eastAsia="es-CO"/>
        </w:rPr>
        <w:t>H</w:t>
      </w:r>
      <w:r w:rsidR="005A23AB" w:rsidRPr="00E50B4A">
        <w:rPr>
          <w:rFonts w:asciiTheme="majorHAnsi" w:eastAsia="Times New Roman" w:hAnsiTheme="majorHAnsi" w:cs="Arial"/>
          <w:sz w:val="24"/>
          <w:szCs w:val="24"/>
          <w:lang w:eastAsia="es-CO"/>
        </w:rPr>
        <w:t>ay incidencia y prevalencia en casos  de muertes perinatales, mortalidad materna e infantil por causas evitables</w:t>
      </w:r>
      <w:r w:rsidR="005A23AB" w:rsidRPr="00E50B4A">
        <w:rPr>
          <w:rFonts w:asciiTheme="majorHAnsi" w:hAnsiTheme="majorHAnsi" w:cs="Arial"/>
          <w:sz w:val="24"/>
          <w:szCs w:val="24"/>
        </w:rPr>
        <w:t>,  la salud de la población infantil en el municipio de Riosucio Caldas ha estado permeada por un</w:t>
      </w:r>
      <w:r w:rsidRPr="00E50B4A">
        <w:rPr>
          <w:rFonts w:asciiTheme="majorHAnsi" w:hAnsiTheme="majorHAnsi" w:cs="Arial"/>
          <w:sz w:val="24"/>
          <w:szCs w:val="24"/>
        </w:rPr>
        <w:t>a var</w:t>
      </w:r>
      <w:r w:rsidR="005A7462" w:rsidRPr="00E50B4A">
        <w:rPr>
          <w:rFonts w:asciiTheme="majorHAnsi" w:hAnsiTheme="majorHAnsi" w:cs="Arial"/>
          <w:sz w:val="24"/>
          <w:szCs w:val="24"/>
        </w:rPr>
        <w:t>iedad de problemas  entre las má</w:t>
      </w:r>
      <w:r w:rsidRPr="00E50B4A">
        <w:rPr>
          <w:rFonts w:asciiTheme="majorHAnsi" w:hAnsiTheme="majorHAnsi" w:cs="Arial"/>
          <w:sz w:val="24"/>
          <w:szCs w:val="24"/>
        </w:rPr>
        <w:t>s graves son:</w:t>
      </w:r>
      <w:r w:rsidR="005A7462" w:rsidRPr="00E50B4A">
        <w:rPr>
          <w:rFonts w:asciiTheme="majorHAnsi" w:hAnsiTheme="majorHAnsi" w:cs="Arial"/>
          <w:sz w:val="24"/>
          <w:szCs w:val="24"/>
        </w:rPr>
        <w:t xml:space="preserve"> enfermedades diarré</w:t>
      </w:r>
      <w:r w:rsidR="005A23AB" w:rsidRPr="00E50B4A">
        <w:rPr>
          <w:rFonts w:asciiTheme="majorHAnsi" w:hAnsiTheme="majorHAnsi" w:cs="Arial"/>
          <w:sz w:val="24"/>
          <w:szCs w:val="24"/>
        </w:rPr>
        <w:t xml:space="preserve">icas agudas, enfermedades respiratorias, problemas de desnutrición, el maltrato infantil en todas sus variedades y aquellos derivados como consecuencias de una maternidad no segura. </w:t>
      </w:r>
    </w:p>
    <w:p w:rsidR="005A23AB" w:rsidRPr="00E50B4A" w:rsidRDefault="005A23AB" w:rsidP="005A23AB">
      <w:pPr>
        <w:tabs>
          <w:tab w:val="left" w:pos="2400"/>
          <w:tab w:val="center" w:pos="4419"/>
        </w:tabs>
        <w:spacing w:after="0" w:line="240" w:lineRule="auto"/>
        <w:jc w:val="both"/>
        <w:rPr>
          <w:rFonts w:asciiTheme="majorHAnsi" w:hAnsiTheme="majorHAnsi" w:cs="Arial"/>
          <w:sz w:val="24"/>
          <w:szCs w:val="24"/>
        </w:rPr>
      </w:pPr>
    </w:p>
    <w:p w:rsidR="00967F2B" w:rsidRPr="00E50B4A" w:rsidRDefault="00967F2B" w:rsidP="00967F2B">
      <w:pPr>
        <w:ind w:firstLine="708"/>
        <w:rPr>
          <w:rFonts w:ascii="Arial" w:hAnsi="Arial" w:cs="Arial"/>
          <w:b/>
          <w:i/>
          <w:sz w:val="24"/>
          <w:szCs w:val="24"/>
        </w:rPr>
      </w:pPr>
      <w:r w:rsidRPr="00E50B4A">
        <w:rPr>
          <w:rFonts w:ascii="Arial" w:hAnsi="Arial" w:cs="Arial"/>
          <w:b/>
          <w:i/>
          <w:sz w:val="24"/>
          <w:szCs w:val="24"/>
        </w:rPr>
        <w:t xml:space="preserve">PRIMERA INFANCIA  TODOS VIVOS </w:t>
      </w:r>
    </w:p>
    <w:p w:rsidR="00967F2B" w:rsidRPr="00E50B4A" w:rsidRDefault="00967F2B" w:rsidP="00967F2B">
      <w:pPr>
        <w:ind w:firstLine="708"/>
        <w:rPr>
          <w:rFonts w:ascii="Arial" w:hAnsi="Arial" w:cs="Arial"/>
          <w:b/>
          <w:sz w:val="24"/>
          <w:szCs w:val="24"/>
        </w:rPr>
      </w:pPr>
    </w:p>
    <w:p w:rsidR="00967F2B" w:rsidRPr="00E50B4A" w:rsidRDefault="00967F2B" w:rsidP="00967F2B">
      <w:pPr>
        <w:ind w:firstLine="708"/>
        <w:rPr>
          <w:rFonts w:ascii="Arial" w:hAnsi="Arial" w:cs="Arial"/>
          <w:b/>
          <w:sz w:val="24"/>
          <w:szCs w:val="24"/>
        </w:rPr>
      </w:pPr>
    </w:p>
    <w:p w:rsidR="00967F2B" w:rsidRPr="00E50B4A" w:rsidRDefault="00967F2B" w:rsidP="00967F2B">
      <w:pPr>
        <w:rPr>
          <w:rFonts w:ascii="Arial" w:hAnsi="Arial" w:cs="Arial"/>
          <w:b/>
          <w:sz w:val="24"/>
          <w:szCs w:val="24"/>
        </w:rPr>
      </w:pPr>
      <w:r w:rsidRPr="00E50B4A">
        <w:rPr>
          <w:rFonts w:ascii="Arial" w:hAnsi="Arial" w:cs="Arial"/>
          <w:b/>
          <w:sz w:val="24"/>
          <w:szCs w:val="24"/>
        </w:rPr>
        <w:t>TABLA DE INDICADOR No 1 RAZÓN DE MORTALIDAD MATERNA</w:t>
      </w:r>
    </w:p>
    <w:p w:rsidR="00967F2B" w:rsidRPr="00E50B4A" w:rsidRDefault="00967F2B" w:rsidP="00967F2B">
      <w:pPr>
        <w:rPr>
          <w:rFonts w:ascii="Arial" w:hAnsi="Arial" w:cs="Arial"/>
          <w:b/>
          <w:sz w:val="24"/>
          <w:szCs w:val="24"/>
        </w:rPr>
      </w:pPr>
    </w:p>
    <w:p w:rsidR="00967F2B" w:rsidRPr="00E50B4A" w:rsidRDefault="00967F2B" w:rsidP="00967F2B">
      <w:pPr>
        <w:rPr>
          <w:rFonts w:ascii="Arial" w:hAnsi="Arial" w:cs="Arial"/>
          <w:b/>
          <w:sz w:val="24"/>
          <w:szCs w:val="24"/>
        </w:rPr>
      </w:pPr>
    </w:p>
    <w:tbl>
      <w:tblPr>
        <w:tblW w:w="8219"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415"/>
        <w:gridCol w:w="1417"/>
        <w:gridCol w:w="1418"/>
        <w:gridCol w:w="1276"/>
        <w:gridCol w:w="1417"/>
        <w:gridCol w:w="1276"/>
      </w:tblGrid>
      <w:tr w:rsidR="00E50B4A" w:rsidRPr="00E50B4A" w:rsidTr="00967F2B">
        <w:tc>
          <w:tcPr>
            <w:tcW w:w="2832"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w:t>
            </w:r>
          </w:p>
        </w:tc>
        <w:tc>
          <w:tcPr>
            <w:tcW w:w="5387" w:type="dxa"/>
            <w:gridSpan w:val="4"/>
            <w:tcBorders>
              <w:top w:val="single" w:sz="8" w:space="0" w:color="78C0D4"/>
              <w:bottom w:val="single" w:sz="8" w:space="0" w:color="78C0D4"/>
              <w:right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RAZÓN DE MORTALIDAD MATERNA</w:t>
            </w:r>
          </w:p>
        </w:tc>
      </w:tr>
      <w:tr w:rsidR="00E50B4A" w:rsidRPr="00E50B4A" w:rsidTr="00967F2B">
        <w:tc>
          <w:tcPr>
            <w:tcW w:w="2832"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87"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r>
      <w:tr w:rsidR="00E50B4A" w:rsidRPr="00E50B4A" w:rsidTr="00967F2B">
        <w:tc>
          <w:tcPr>
            <w:tcW w:w="2832"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87" w:type="dxa"/>
            <w:gridSpan w:val="4"/>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r>
      <w:tr w:rsidR="00E50B4A" w:rsidRPr="00E50B4A" w:rsidTr="00967F2B">
        <w:tc>
          <w:tcPr>
            <w:tcW w:w="1415"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2006</w:t>
            </w:r>
          </w:p>
        </w:tc>
        <w:tc>
          <w:tcPr>
            <w:tcW w:w="1417"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AÑO 2007</w:t>
            </w:r>
          </w:p>
        </w:tc>
        <w:tc>
          <w:tcPr>
            <w:tcW w:w="1418"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AÑO 2008</w:t>
            </w:r>
          </w:p>
        </w:tc>
        <w:tc>
          <w:tcPr>
            <w:tcW w:w="1276"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AÑO 2009</w:t>
            </w:r>
          </w:p>
        </w:tc>
        <w:tc>
          <w:tcPr>
            <w:tcW w:w="1417" w:type="dxa"/>
            <w:shd w:val="clear" w:color="auto" w:fill="D2EAF1"/>
          </w:tcPr>
          <w:p w:rsidR="00967F2B" w:rsidRPr="00E50B4A" w:rsidRDefault="00967F2B" w:rsidP="00967F2B">
            <w:pPr>
              <w:rPr>
                <w:rFonts w:ascii="Arial" w:hAnsi="Arial" w:cs="Arial"/>
                <w:b/>
              </w:rPr>
            </w:pPr>
            <w:r w:rsidRPr="00E50B4A">
              <w:rPr>
                <w:rFonts w:ascii="Arial" w:hAnsi="Arial" w:cs="Arial"/>
                <w:b/>
              </w:rPr>
              <w:t>AÑO 2010</w:t>
            </w:r>
          </w:p>
        </w:tc>
        <w:tc>
          <w:tcPr>
            <w:tcW w:w="1276" w:type="dxa"/>
            <w:shd w:val="clear" w:color="auto" w:fill="D2EAF1"/>
          </w:tcPr>
          <w:p w:rsidR="00967F2B" w:rsidRPr="00E50B4A" w:rsidRDefault="00967F2B" w:rsidP="00967F2B">
            <w:pPr>
              <w:rPr>
                <w:rFonts w:ascii="Arial" w:hAnsi="Arial" w:cs="Arial"/>
                <w:b/>
              </w:rPr>
            </w:pPr>
            <w:r w:rsidRPr="00E50B4A">
              <w:rPr>
                <w:rFonts w:ascii="Arial" w:hAnsi="Arial" w:cs="Arial"/>
                <w:b/>
              </w:rPr>
              <w:t>AÑO 2011</w:t>
            </w:r>
          </w:p>
        </w:tc>
      </w:tr>
      <w:tr w:rsidR="00967F2B" w:rsidRPr="00E50B4A" w:rsidTr="00967F2B">
        <w:tc>
          <w:tcPr>
            <w:tcW w:w="1415"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0</w:t>
            </w:r>
          </w:p>
        </w:tc>
        <w:tc>
          <w:tcPr>
            <w:tcW w:w="141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41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2,95</w:t>
            </w:r>
          </w:p>
        </w:tc>
        <w:tc>
          <w:tcPr>
            <w:tcW w:w="127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1,74</w:t>
            </w:r>
          </w:p>
        </w:tc>
        <w:tc>
          <w:tcPr>
            <w:tcW w:w="141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76"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3,71</w:t>
            </w:r>
          </w:p>
        </w:tc>
      </w:tr>
    </w:tbl>
    <w:p w:rsidR="00967F2B" w:rsidRPr="00E50B4A" w:rsidRDefault="00967F2B" w:rsidP="00967F2B">
      <w:pPr>
        <w:autoSpaceDE w:val="0"/>
        <w:autoSpaceDN w:val="0"/>
        <w:adjustRightInd w:val="0"/>
        <w:rPr>
          <w:rFonts w:ascii="Arial" w:hAnsi="Arial" w:cs="Arial"/>
          <w:b/>
          <w:bCs/>
          <w:sz w:val="24"/>
          <w:szCs w:val="24"/>
        </w:rPr>
      </w:pPr>
    </w:p>
    <w:p w:rsidR="00967F2B" w:rsidRPr="00E50B4A" w:rsidRDefault="00967F2B" w:rsidP="00967F2B">
      <w:pPr>
        <w:autoSpaceDE w:val="0"/>
        <w:autoSpaceDN w:val="0"/>
        <w:adjustRightInd w:val="0"/>
        <w:rPr>
          <w:rFonts w:ascii="Arial" w:hAnsi="Arial" w:cs="Arial"/>
          <w:b/>
          <w:bCs/>
          <w:sz w:val="24"/>
          <w:szCs w:val="24"/>
        </w:rPr>
      </w:pPr>
      <w:r w:rsidRPr="00E50B4A">
        <w:rPr>
          <w:rFonts w:ascii="Arial" w:hAnsi="Arial" w:cs="Arial"/>
          <w:b/>
          <w:bCs/>
          <w:sz w:val="24"/>
          <w:szCs w:val="24"/>
        </w:rPr>
        <w:t xml:space="preserve">DEFINICIÒN </w:t>
      </w:r>
    </w:p>
    <w:p w:rsidR="00967F2B" w:rsidRPr="00E50B4A" w:rsidRDefault="00967F2B" w:rsidP="00967F2B">
      <w:pPr>
        <w:autoSpaceDE w:val="0"/>
        <w:autoSpaceDN w:val="0"/>
        <w:adjustRightInd w:val="0"/>
        <w:ind w:left="708" w:firstLine="708"/>
        <w:rPr>
          <w:rFonts w:ascii="Arial" w:hAnsi="Arial" w:cs="Arial"/>
          <w:b/>
          <w:bCs/>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Razón de Mortalidad Materna es la relación que existe entre el número de muertes maternas ocurridas</w:t>
      </w:r>
      <w:r w:rsidRPr="00E50B4A">
        <w:rPr>
          <w:rFonts w:ascii="Arial" w:hAnsi="Arial" w:cs="Arial"/>
        </w:rPr>
        <w:t xml:space="preserve"> </w:t>
      </w:r>
      <w:r w:rsidRPr="00E50B4A">
        <w:rPr>
          <w:rFonts w:ascii="Arial" w:hAnsi="Arial" w:cs="Arial"/>
          <w:sz w:val="24"/>
          <w:szCs w:val="24"/>
        </w:rPr>
        <w:t>durante el embarazo, parto y primer año postparto, o sea, las muertes maternas hasta los 42 días posteriores a la terminación del evento obstétrico; se denominan las muertes maternas tardías después de los 42 días postparto hasta antes de un año, por causas relacionadas  al embarazo, se incluye también las muertes de causa incidental y las violentas (homicidios y suicidios), relacionada con el número de nacidos vivos durante el mismo período.</w:t>
      </w:r>
    </w:p>
    <w:p w:rsidR="00967F2B" w:rsidRPr="00E50B4A" w:rsidRDefault="00967F2B" w:rsidP="00967F2B">
      <w:pPr>
        <w:autoSpaceDE w:val="0"/>
        <w:autoSpaceDN w:val="0"/>
        <w:adjustRightInd w:val="0"/>
        <w:ind w:left="1413"/>
        <w:jc w:val="both"/>
        <w:rPr>
          <w:rFonts w:ascii="Arial" w:hAnsi="Arial" w:cs="Arial"/>
        </w:rPr>
      </w:pPr>
    </w:p>
    <w:p w:rsidR="00967F2B" w:rsidRPr="00E50B4A" w:rsidRDefault="00967F2B" w:rsidP="00967F2B">
      <w:pPr>
        <w:autoSpaceDE w:val="0"/>
        <w:autoSpaceDN w:val="0"/>
        <w:adjustRightInd w:val="0"/>
        <w:jc w:val="both"/>
        <w:rPr>
          <w:rFonts w:ascii="Arial" w:hAnsi="Arial" w:cs="Arial"/>
          <w:b/>
          <w:bCs/>
          <w:sz w:val="24"/>
          <w:szCs w:val="24"/>
        </w:rPr>
      </w:pPr>
      <w:r w:rsidRPr="00E50B4A">
        <w:rPr>
          <w:rFonts w:ascii="Arial" w:hAnsi="Arial" w:cs="Arial"/>
          <w:b/>
          <w:bCs/>
          <w:sz w:val="24"/>
          <w:szCs w:val="24"/>
        </w:rPr>
        <w:t>INTERPRETACIÓN.</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Razón de Mortalidad Materna Indica  el número de mujeres que fallecen durante su período de embarazo, parto o primer año postparto, por cada 1.000 nacidos vivos.</w:t>
      </w:r>
    </w:p>
    <w:p w:rsidR="00967F2B" w:rsidRPr="00E50B4A" w:rsidRDefault="00967F2B" w:rsidP="00967F2B">
      <w:pPr>
        <w:autoSpaceDE w:val="0"/>
        <w:autoSpaceDN w:val="0"/>
        <w:adjustRightInd w:val="0"/>
        <w:ind w:left="1413"/>
        <w:jc w:val="both"/>
        <w:rPr>
          <w:rFonts w:ascii="Arial" w:hAnsi="Arial" w:cs="Arial"/>
          <w:sz w:val="24"/>
          <w:szCs w:val="24"/>
        </w:rPr>
      </w:pPr>
    </w:p>
    <w:p w:rsidR="00967F2B" w:rsidRPr="00E50B4A" w:rsidRDefault="00967F2B" w:rsidP="00967F2B">
      <w:pPr>
        <w:autoSpaceDE w:val="0"/>
        <w:autoSpaceDN w:val="0"/>
        <w:adjustRightInd w:val="0"/>
        <w:ind w:left="1413"/>
        <w:jc w:val="both"/>
        <w:rPr>
          <w:rFonts w:ascii="Arial" w:hAnsi="Arial" w:cs="Arial"/>
          <w:sz w:val="24"/>
          <w:szCs w:val="24"/>
        </w:rPr>
      </w:pPr>
      <w:r w:rsidRPr="00E50B4A">
        <w:rPr>
          <w:rFonts w:ascii="Arial" w:hAnsi="Arial" w:cs="Arial"/>
          <w:sz w:val="24"/>
          <w:szCs w:val="24"/>
        </w:rPr>
        <w:t>Grafica 1 Razón de la mortalidad materna 2006 a 2011</w:t>
      </w:r>
    </w:p>
    <w:p w:rsidR="00967F2B" w:rsidRPr="00E50B4A" w:rsidRDefault="00967F2B" w:rsidP="00967F2B">
      <w:pPr>
        <w:autoSpaceDE w:val="0"/>
        <w:autoSpaceDN w:val="0"/>
        <w:adjustRightInd w:val="0"/>
        <w:ind w:left="1413"/>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                                       </w:t>
      </w:r>
      <w:r w:rsidRPr="00E50B4A">
        <w:rPr>
          <w:noProof/>
          <w:lang w:eastAsia="es-CO"/>
        </w:rPr>
        <w:drawing>
          <wp:inline distT="0" distB="0" distL="0" distR="0">
            <wp:extent cx="2927350" cy="1612265"/>
            <wp:effectExtent l="0" t="0" r="25400" b="26035"/>
            <wp:docPr id="8" name="Gráfico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Pr="00E50B4A">
        <w:rPr>
          <w:rFonts w:ascii="Arial" w:hAnsi="Arial" w:cs="Arial"/>
          <w:sz w:val="24"/>
          <w:szCs w:val="24"/>
        </w:rPr>
        <w:t xml:space="preserve">    </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                                                                      </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Como se puede observar el la gráfica 1. La mortalidad Materna en el Municipio de Riosucio tenía una tendencia a cero en los años 2005-2006-2007,  pero  a partir del año 2008 hay un incremento notable en el comportamiento de este indicador, con un número de muertes  para el año 2008 (2) ,2009 (1), 2011(2). Es importante aclarar que las muertes ocurridas en los últimos 4 años en el municipio corresponden a población indígena ya que Riosucio es un municipio con un 90% de población indígena, de las cuales 3 muertes corresponden al Resguardo Indígena de San Lorenzo, 1 al Resguardo Indígena de Nuestra Señora Candelaria de la Montaña y la otra al Resguardo Indígena de Cañamomo –Lomaprieta.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Estas muertes fueron reportadas al sistema de vigilancia en salud pública, en donde se realizó la respectiva visita de campo y analices en el comité de mortalidad evitable, las causas principales de estas son la Preeclampsia- eclampsia para dos de los cinco casos y el Shock Hipovolémico que se presentó en dos de los tres casos. Para el año 2011 se tuvo una muerte materna tardía no relacionada con el proceso de embarazo parto y puerperio. La mayoría de las muertes han sido evitables donde se observaron demoras tanto en la prestación de servicios como en el reconocimiento del problema del a usuaria.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Frente al aseguramiento cuatro  de las madres pertenencia al régimen subsidiado a las EPS-I Mallamas y AIC,  una de ellas se encontraba multiafiada perteneciente a los dos regímenes subsidiado y contributivo en donde prevalece el contributivo en Coomeva.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atención en salud correspondiente a Controles prenatales se prestó en la E.S.E. Hospital Departamental  San Juan de Dios, en el momento que agudizo el evento para tres de los casos, fueron remitidas a la ciudad de Manizales y Cali, un caso fue atendido en el domicilio por partera.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rPr>
          <w:rFonts w:ascii="Arial" w:hAnsi="Arial" w:cs="Arial"/>
          <w:b/>
          <w:bCs/>
          <w:sz w:val="24"/>
          <w:szCs w:val="24"/>
        </w:rPr>
      </w:pPr>
      <w:r w:rsidRPr="00E50B4A">
        <w:rPr>
          <w:rFonts w:ascii="Arial" w:hAnsi="Arial" w:cs="Arial"/>
          <w:b/>
          <w:bCs/>
          <w:sz w:val="24"/>
          <w:szCs w:val="24"/>
        </w:rPr>
        <w:t>ACCIONES QUE ADELANTA LA DIRECCIÓN LOCAL DE SALUD EN PRO DE UNA MATERNIDAD SEGURA PERIODOS 2012- 2015</w:t>
      </w:r>
    </w:p>
    <w:p w:rsidR="00967F2B" w:rsidRPr="00E50B4A" w:rsidRDefault="00967F2B" w:rsidP="00967F2B">
      <w:pPr>
        <w:autoSpaceDE w:val="0"/>
        <w:autoSpaceDN w:val="0"/>
        <w:adjustRightInd w:val="0"/>
        <w:jc w:val="center"/>
        <w:rPr>
          <w:rFonts w:ascii="Arial" w:hAnsi="Arial" w:cs="Arial"/>
          <w:b/>
          <w:bCs/>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base a la política de salud sexual y reproductiva del Departamento de Caldas, el Municipio de Riosucio ha adelantado acciones en las diferentes líneas de acción con el fin de minimizar los riesgos en las gestantes y fortalecer la maternidad segura con acciones como el cumplimiento de la normatividad vigente en especial  con respecto a la Resolución 0412 del 2000 y con ello contribuir de manera importante en el cumplimiento de los objetivos de desarrollo del Milenio para el año 2.015.</w:t>
      </w:r>
    </w:p>
    <w:p w:rsidR="00967F2B" w:rsidRPr="00E50B4A" w:rsidRDefault="00967F2B" w:rsidP="00967F2B">
      <w:pPr>
        <w:autoSpaceDE w:val="0"/>
        <w:autoSpaceDN w:val="0"/>
        <w:adjustRightInd w:val="0"/>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Teniendo en cuenta que nuestro Municipio la mayoría de la población es indígena, en donde el factor sociocultural juega un papel muy importante dentro de la salud materna se unen esfuerzos para realizar acciones de intervención oportuna y eficaz de manera articulada con las parteras y médicos tradicionales de la Asociación de médicos tradicionales del acto occidente de Caldas (ASOMETROC), con Minga IPSI, el personal asistencial de la ESE HDSJD, personal de la EPS-I AIC y autoridades tradicionales de los resguardos.</w:t>
      </w:r>
    </w:p>
    <w:p w:rsidR="00967F2B" w:rsidRPr="00E50B4A" w:rsidRDefault="00967F2B" w:rsidP="00967F2B">
      <w:pPr>
        <w:autoSpaceDE w:val="0"/>
        <w:autoSpaceDN w:val="0"/>
        <w:adjustRightInd w:val="0"/>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A continuación se enunciaran las actividades más representativas.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Prrafodelista"/>
        <w:numPr>
          <w:ilvl w:val="0"/>
          <w:numId w:val="30"/>
        </w:numPr>
        <w:autoSpaceDE w:val="0"/>
        <w:autoSpaceDN w:val="0"/>
        <w:adjustRightInd w:val="0"/>
        <w:spacing w:after="0" w:line="240" w:lineRule="auto"/>
        <w:jc w:val="both"/>
        <w:rPr>
          <w:rFonts w:ascii="Arial" w:hAnsi="Arial" w:cs="Arial"/>
          <w:sz w:val="24"/>
          <w:szCs w:val="24"/>
        </w:rPr>
      </w:pPr>
      <w:r w:rsidRPr="00E50B4A">
        <w:rPr>
          <w:rFonts w:ascii="Arial" w:hAnsi="Arial" w:cs="Arial"/>
          <w:sz w:val="24"/>
          <w:szCs w:val="24"/>
        </w:rPr>
        <w:t>La cobertura de controles prenatales del embarazo, se ha incrementado favorablemente en el Municipio y se espera el apoyo de las EPS e IPS.</w:t>
      </w:r>
    </w:p>
    <w:p w:rsidR="00967F2B" w:rsidRPr="00E50B4A" w:rsidRDefault="00967F2B" w:rsidP="00967F2B">
      <w:pPr>
        <w:pStyle w:val="Prrafodelista"/>
        <w:numPr>
          <w:ilvl w:val="0"/>
          <w:numId w:val="30"/>
        </w:numPr>
        <w:autoSpaceDE w:val="0"/>
        <w:autoSpaceDN w:val="0"/>
        <w:adjustRightInd w:val="0"/>
        <w:spacing w:after="0" w:line="240" w:lineRule="auto"/>
        <w:jc w:val="both"/>
        <w:rPr>
          <w:rFonts w:ascii="Arial" w:hAnsi="Arial" w:cs="Arial"/>
          <w:sz w:val="24"/>
          <w:szCs w:val="24"/>
        </w:rPr>
      </w:pPr>
      <w:r w:rsidRPr="00E50B4A">
        <w:rPr>
          <w:rFonts w:ascii="Arial" w:hAnsi="Arial" w:cs="Arial"/>
          <w:sz w:val="24"/>
          <w:szCs w:val="24"/>
        </w:rPr>
        <w:t>La cobertura del parto institucional, es uno de los indicadores que más ha mejorado teniendo un cumplimiento del 95%.</w:t>
      </w:r>
    </w:p>
    <w:p w:rsidR="00967F2B" w:rsidRPr="00E50B4A" w:rsidRDefault="00967F2B" w:rsidP="00967F2B">
      <w:pPr>
        <w:pStyle w:val="Prrafodelista"/>
        <w:numPr>
          <w:ilvl w:val="0"/>
          <w:numId w:val="30"/>
        </w:numPr>
        <w:autoSpaceDE w:val="0"/>
        <w:autoSpaceDN w:val="0"/>
        <w:adjustRightInd w:val="0"/>
        <w:spacing w:after="0" w:line="240" w:lineRule="auto"/>
        <w:jc w:val="both"/>
        <w:rPr>
          <w:rFonts w:ascii="Arial" w:hAnsi="Arial" w:cs="Arial"/>
          <w:sz w:val="24"/>
          <w:szCs w:val="24"/>
        </w:rPr>
      </w:pPr>
      <w:r w:rsidRPr="00E50B4A">
        <w:rPr>
          <w:rFonts w:ascii="Arial" w:hAnsi="Arial" w:cs="Arial"/>
          <w:sz w:val="24"/>
          <w:szCs w:val="24"/>
        </w:rPr>
        <w:t>El Departamento cuenta con una Política Departamental de Salud Sexual y Reproductiva la cual fue creada por Ordenanza 0552 de 2006 y adoptada para el Municipio de Riosucio mediante el Decreto No 049 del 19 de Octubre de 2.007 y ajustada según las necesidades del Departamento y Municipio , dicha política tiene seis líneas de acción (Maternidad Segura, Planificación Familiar, Cáncer de cuello Uterino, Salud Sexual y Reproductiva en Adolescentes y Jóvenes, ITS/ VIH SIDA y Violencia Domestica y Sexual), para las seis líneas se trabaja con el enfoque diferencia e intercultural lo cual permite intervenir la población de manera integral respetando sus creencias, su cosmovisión, su cultura y de esta manera lograr mejor adherencia al sistema de salud.</w:t>
      </w:r>
    </w:p>
    <w:p w:rsidR="00967F2B" w:rsidRPr="00E50B4A" w:rsidRDefault="00967F2B" w:rsidP="00967F2B">
      <w:pPr>
        <w:pStyle w:val="Prrafodelista"/>
        <w:autoSpaceDE w:val="0"/>
        <w:autoSpaceDN w:val="0"/>
        <w:adjustRightInd w:val="0"/>
        <w:ind w:left="360"/>
        <w:jc w:val="both"/>
        <w:rPr>
          <w:rFonts w:ascii="Arial" w:hAnsi="Arial" w:cs="Arial"/>
          <w:sz w:val="24"/>
          <w:szCs w:val="24"/>
        </w:rPr>
      </w:pPr>
    </w:p>
    <w:p w:rsidR="00967F2B" w:rsidRPr="00E50B4A" w:rsidRDefault="00967F2B" w:rsidP="00967F2B">
      <w:pPr>
        <w:pStyle w:val="Sinespaciado"/>
        <w:ind w:left="708"/>
        <w:rPr>
          <w:rFonts w:ascii="Arial" w:hAnsi="Arial" w:cs="Arial"/>
          <w:b/>
          <w:sz w:val="24"/>
          <w:szCs w:val="24"/>
        </w:rPr>
      </w:pPr>
      <w:r w:rsidRPr="00E50B4A">
        <w:rPr>
          <w:rFonts w:ascii="Arial" w:hAnsi="Arial" w:cs="Arial"/>
          <w:b/>
          <w:sz w:val="24"/>
          <w:szCs w:val="24"/>
        </w:rPr>
        <w:t>TABLA DE INDICADOR No 2 TASA DE MORTALIDAD INFANTIL - NIÑOS, NIÑAS MENORES DE 1 AÑO</w:t>
      </w:r>
    </w:p>
    <w:tbl>
      <w:tblPr>
        <w:tblpPr w:leftFromText="141" w:rightFromText="141" w:vertAnchor="text" w:horzAnchor="margin" w:tblpXSpec="right" w:tblpY="126"/>
        <w:tblW w:w="7779"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188"/>
        <w:gridCol w:w="1069"/>
        <w:gridCol w:w="1068"/>
        <w:gridCol w:w="1058"/>
        <w:gridCol w:w="1140"/>
        <w:gridCol w:w="1128"/>
        <w:gridCol w:w="1128"/>
      </w:tblGrid>
      <w:tr w:rsidR="00E50B4A" w:rsidRPr="00E50B4A" w:rsidTr="00967F2B">
        <w:trPr>
          <w:trHeight w:val="490"/>
        </w:trPr>
        <w:tc>
          <w:tcPr>
            <w:tcW w:w="2257"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w:t>
            </w:r>
          </w:p>
        </w:tc>
        <w:tc>
          <w:tcPr>
            <w:tcW w:w="4394"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TASA DE MORTALIDAD INFANTIL - NIÑOS, NIÑAS MENORES DE 1 AÑO</w:t>
            </w:r>
          </w:p>
        </w:tc>
        <w:tc>
          <w:tcPr>
            <w:tcW w:w="1128"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rPr>
          <w:trHeight w:val="490"/>
        </w:trPr>
        <w:tc>
          <w:tcPr>
            <w:tcW w:w="2257"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4394"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128" w:type="dxa"/>
            <w:shd w:val="clear" w:color="auto" w:fill="D2EAF1"/>
          </w:tcPr>
          <w:p w:rsidR="00967F2B" w:rsidRPr="00E50B4A" w:rsidRDefault="00967F2B" w:rsidP="00967F2B">
            <w:pPr>
              <w:jc w:val="center"/>
              <w:rPr>
                <w:rFonts w:ascii="Arial" w:hAnsi="Arial" w:cs="Arial"/>
              </w:rPr>
            </w:pPr>
          </w:p>
        </w:tc>
      </w:tr>
      <w:tr w:rsidR="00E50B4A" w:rsidRPr="00E50B4A" w:rsidTr="00967F2B">
        <w:trPr>
          <w:trHeight w:val="237"/>
        </w:trPr>
        <w:tc>
          <w:tcPr>
            <w:tcW w:w="2257"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4394"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128"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rPr>
          <w:trHeight w:val="254"/>
        </w:trPr>
        <w:tc>
          <w:tcPr>
            <w:tcW w:w="1188"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069"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2006</w:t>
            </w:r>
          </w:p>
        </w:tc>
        <w:tc>
          <w:tcPr>
            <w:tcW w:w="1068"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2007</w:t>
            </w:r>
          </w:p>
        </w:tc>
        <w:tc>
          <w:tcPr>
            <w:tcW w:w="1058"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2008</w:t>
            </w:r>
          </w:p>
        </w:tc>
        <w:tc>
          <w:tcPr>
            <w:tcW w:w="1140"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12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12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E50B4A" w:rsidRPr="00E50B4A" w:rsidTr="00967F2B">
        <w:trPr>
          <w:trHeight w:val="237"/>
        </w:trPr>
        <w:tc>
          <w:tcPr>
            <w:tcW w:w="1188"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       9.7</w:t>
            </w:r>
          </w:p>
        </w:tc>
        <w:tc>
          <w:tcPr>
            <w:tcW w:w="106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10.7</w:t>
            </w:r>
          </w:p>
        </w:tc>
        <w:tc>
          <w:tcPr>
            <w:tcW w:w="106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19.1</w:t>
            </w:r>
          </w:p>
        </w:tc>
        <w:tc>
          <w:tcPr>
            <w:tcW w:w="105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10.3</w:t>
            </w:r>
          </w:p>
        </w:tc>
        <w:tc>
          <w:tcPr>
            <w:tcW w:w="114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12.22</w:t>
            </w:r>
          </w:p>
        </w:tc>
        <w:tc>
          <w:tcPr>
            <w:tcW w:w="112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23.5</w:t>
            </w:r>
          </w:p>
        </w:tc>
        <w:tc>
          <w:tcPr>
            <w:tcW w:w="1128"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5,57</w:t>
            </w:r>
          </w:p>
        </w:tc>
      </w:tr>
    </w:tbl>
    <w:p w:rsidR="00967F2B" w:rsidRPr="00E50B4A" w:rsidRDefault="00967F2B" w:rsidP="00967F2B">
      <w:pPr>
        <w:pStyle w:val="Sinespaciado"/>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b/>
          <w:bCs/>
          <w:iCs/>
          <w:sz w:val="24"/>
          <w:szCs w:val="24"/>
        </w:rPr>
      </w:pPr>
      <w:r w:rsidRPr="00E50B4A">
        <w:rPr>
          <w:rFonts w:ascii="Arial" w:hAnsi="Arial" w:cs="Arial"/>
          <w:b/>
          <w:bCs/>
          <w:iCs/>
          <w:sz w:val="24"/>
          <w:szCs w:val="24"/>
        </w:rPr>
        <w:t>DEFINI</w:t>
      </w:r>
    </w:p>
    <w:p w:rsidR="00967F2B" w:rsidRPr="00E50B4A" w:rsidRDefault="00967F2B" w:rsidP="00967F2B">
      <w:pPr>
        <w:autoSpaceDE w:val="0"/>
        <w:autoSpaceDN w:val="0"/>
        <w:adjustRightInd w:val="0"/>
        <w:ind w:left="708"/>
        <w:jc w:val="both"/>
        <w:rPr>
          <w:rFonts w:ascii="Arial" w:hAnsi="Arial" w:cs="Arial"/>
          <w:b/>
          <w:bCs/>
          <w:iCs/>
          <w:sz w:val="24"/>
          <w:szCs w:val="24"/>
        </w:rPr>
      </w:pPr>
    </w:p>
    <w:p w:rsidR="00967F2B" w:rsidRPr="00E50B4A" w:rsidRDefault="00967F2B" w:rsidP="00967F2B">
      <w:pPr>
        <w:autoSpaceDE w:val="0"/>
        <w:autoSpaceDN w:val="0"/>
        <w:adjustRightInd w:val="0"/>
        <w:ind w:left="708"/>
        <w:jc w:val="both"/>
        <w:rPr>
          <w:rFonts w:ascii="Arial" w:hAnsi="Arial" w:cs="Arial"/>
          <w:iCs/>
          <w:sz w:val="24"/>
          <w:szCs w:val="24"/>
        </w:rPr>
      </w:pPr>
      <w:r w:rsidRPr="00E50B4A">
        <w:rPr>
          <w:rFonts w:ascii="Arial" w:hAnsi="Arial" w:cs="Arial"/>
          <w:b/>
          <w:bCs/>
          <w:iCs/>
          <w:sz w:val="24"/>
          <w:szCs w:val="24"/>
        </w:rPr>
        <w:t xml:space="preserve">DEFINICION: </w:t>
      </w:r>
      <w:r w:rsidR="00745B48" w:rsidRPr="00E50B4A">
        <w:rPr>
          <w:rFonts w:ascii="Arial" w:hAnsi="Arial" w:cs="Arial"/>
          <w:iCs/>
          <w:sz w:val="24"/>
          <w:szCs w:val="24"/>
        </w:rPr>
        <w:t>Nú</w:t>
      </w:r>
      <w:r w:rsidRPr="00E50B4A">
        <w:rPr>
          <w:rFonts w:ascii="Arial" w:hAnsi="Arial" w:cs="Arial"/>
          <w:iCs/>
          <w:sz w:val="24"/>
          <w:szCs w:val="24"/>
        </w:rPr>
        <w:t>mero muertes por todas las causas en menores de un año, sobre el total d</w:t>
      </w:r>
      <w:r w:rsidR="00745B48" w:rsidRPr="00E50B4A">
        <w:rPr>
          <w:rFonts w:ascii="Arial" w:hAnsi="Arial" w:cs="Arial"/>
          <w:iCs/>
          <w:sz w:val="24"/>
          <w:szCs w:val="24"/>
        </w:rPr>
        <w:t>e nacidos vivos en el mismo perí</w:t>
      </w:r>
      <w:r w:rsidRPr="00E50B4A">
        <w:rPr>
          <w:rFonts w:ascii="Arial" w:hAnsi="Arial" w:cs="Arial"/>
          <w:iCs/>
          <w:sz w:val="24"/>
          <w:szCs w:val="24"/>
        </w:rPr>
        <w:t>odo, se debe entender como la probabilidad de muerte de niños menores de un año, por cada mil nacidos vivos en un periodo determinado.</w:t>
      </w:r>
    </w:p>
    <w:p w:rsidR="00967F2B" w:rsidRPr="00E50B4A" w:rsidRDefault="00967F2B" w:rsidP="00967F2B">
      <w:pPr>
        <w:autoSpaceDE w:val="0"/>
        <w:autoSpaceDN w:val="0"/>
        <w:adjustRightInd w:val="0"/>
        <w:jc w:val="both"/>
        <w:rPr>
          <w:rFonts w:ascii="Arial" w:hAnsi="Arial" w:cs="Arial"/>
          <w:iCs/>
          <w:sz w:val="24"/>
          <w:szCs w:val="24"/>
        </w:rPr>
      </w:pPr>
    </w:p>
    <w:p w:rsidR="00967F2B" w:rsidRPr="00E50B4A" w:rsidRDefault="00745B48" w:rsidP="00967F2B">
      <w:pPr>
        <w:autoSpaceDE w:val="0"/>
        <w:autoSpaceDN w:val="0"/>
        <w:adjustRightInd w:val="0"/>
        <w:jc w:val="both"/>
        <w:rPr>
          <w:rFonts w:ascii="Arial" w:hAnsi="Arial" w:cs="Arial"/>
          <w:iCs/>
          <w:sz w:val="24"/>
          <w:szCs w:val="24"/>
        </w:rPr>
      </w:pPr>
      <w:r w:rsidRPr="00E50B4A">
        <w:rPr>
          <w:rFonts w:ascii="Arial" w:hAnsi="Arial" w:cs="Arial"/>
          <w:iCs/>
          <w:sz w:val="24"/>
          <w:szCs w:val="24"/>
        </w:rPr>
        <w:t>Grá</w:t>
      </w:r>
      <w:r w:rsidR="00967F2B" w:rsidRPr="00E50B4A">
        <w:rPr>
          <w:rFonts w:ascii="Arial" w:hAnsi="Arial" w:cs="Arial"/>
          <w:iCs/>
          <w:sz w:val="24"/>
          <w:szCs w:val="24"/>
        </w:rPr>
        <w:t>fica 2 Tasa de mortalidad infantil 2005-2011.</w:t>
      </w:r>
    </w:p>
    <w:p w:rsidR="00967F2B" w:rsidRPr="00E50B4A" w:rsidRDefault="00967F2B" w:rsidP="00967F2B">
      <w:pPr>
        <w:autoSpaceDE w:val="0"/>
        <w:autoSpaceDN w:val="0"/>
        <w:adjustRightInd w:val="0"/>
        <w:jc w:val="both"/>
        <w:rPr>
          <w:rFonts w:ascii="Arial" w:hAnsi="Arial" w:cs="Arial"/>
          <w:iCs/>
          <w:sz w:val="24"/>
          <w:szCs w:val="24"/>
        </w:rPr>
      </w:pPr>
      <w:r w:rsidRPr="00E50B4A">
        <w:rPr>
          <w:rFonts w:ascii="Arial" w:hAnsi="Arial" w:cs="Arial"/>
          <w:iCs/>
          <w:sz w:val="24"/>
          <w:szCs w:val="24"/>
        </w:rPr>
        <w:t xml:space="preserve">                          </w:t>
      </w:r>
      <w:r w:rsidRPr="00E50B4A">
        <w:rPr>
          <w:noProof/>
          <w:lang w:eastAsia="es-CO"/>
        </w:rPr>
        <w:drawing>
          <wp:inline distT="0" distB="0" distL="0" distR="0">
            <wp:extent cx="3277235" cy="1849120"/>
            <wp:effectExtent l="0" t="0" r="18415" b="17780"/>
            <wp:docPr id="6"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67F2B" w:rsidRPr="00E50B4A" w:rsidRDefault="00967F2B" w:rsidP="00967F2B">
      <w:pPr>
        <w:pStyle w:val="Sinespaciado"/>
        <w:jc w:val="both"/>
        <w:rPr>
          <w:rFonts w:ascii="Arial" w:eastAsia="Times New Roman" w:hAnsi="Arial" w:cs="Arial"/>
          <w:sz w:val="24"/>
          <w:szCs w:val="24"/>
          <w:lang w:val="es-ES" w:eastAsia="es-ES"/>
        </w:rPr>
      </w:pPr>
    </w:p>
    <w:p w:rsidR="00967F2B" w:rsidRPr="00E50B4A" w:rsidRDefault="00967F2B" w:rsidP="00967F2B">
      <w:pPr>
        <w:pStyle w:val="Sinespaciado"/>
        <w:jc w:val="both"/>
        <w:rPr>
          <w:rFonts w:ascii="Arial" w:hAnsi="Arial" w:cs="Arial"/>
          <w:sz w:val="24"/>
          <w:szCs w:val="24"/>
          <w:lang w:val="es-ES"/>
        </w:rPr>
      </w:pPr>
      <w:r w:rsidRPr="00E50B4A">
        <w:rPr>
          <w:rFonts w:ascii="Arial" w:hAnsi="Arial" w:cs="Arial"/>
          <w:sz w:val="24"/>
          <w:szCs w:val="24"/>
          <w:lang w:val="es-ES"/>
        </w:rPr>
        <w:t>Al observar minuciosamente este indicador para el Municipio encontramos que era un evento que efectivamente estaba en descenso pero que para el año 2.010 nuevamente se dispara en donde cabe la pena resaltar, que fue el año donde el Municipio a travesó como el resto del país una fuerte ola invernal, sin dejar a un lado que los casos corresponden a la población indígena que generalmente se encuentra en las comunidades más alejadas del área rural lo que dificulta la atención al momento de su desplazamiento.</w:t>
      </w:r>
    </w:p>
    <w:p w:rsidR="00967F2B" w:rsidRPr="00E50B4A" w:rsidRDefault="00967F2B" w:rsidP="00967F2B">
      <w:pPr>
        <w:pStyle w:val="Sinespaciado"/>
        <w:jc w:val="both"/>
        <w:rPr>
          <w:rFonts w:ascii="Arial" w:hAnsi="Arial" w:cs="Arial"/>
          <w:sz w:val="24"/>
          <w:szCs w:val="24"/>
          <w:lang w:val="es-ES"/>
        </w:rPr>
      </w:pPr>
    </w:p>
    <w:p w:rsidR="00967F2B" w:rsidRPr="00E50B4A" w:rsidRDefault="00967F2B" w:rsidP="00967F2B">
      <w:pPr>
        <w:pStyle w:val="Sinespaciado"/>
        <w:jc w:val="both"/>
        <w:rPr>
          <w:rFonts w:ascii="Arial" w:hAnsi="Arial" w:cs="Arial"/>
          <w:sz w:val="24"/>
          <w:szCs w:val="24"/>
          <w:lang w:val="es-ES"/>
        </w:rPr>
      </w:pPr>
      <w:r w:rsidRPr="00E50B4A">
        <w:rPr>
          <w:rFonts w:ascii="Arial" w:hAnsi="Arial" w:cs="Arial"/>
          <w:sz w:val="24"/>
          <w:szCs w:val="24"/>
          <w:lang w:val="es-ES"/>
        </w:rPr>
        <w:t>Otro factor de riesgo que contribuye a que ocurran este tipo de muertes es el lento sistema de referencia y contraferencia, sumándose  una edad gestacional temprana lo que ha contribuido a partos extremadamente prematuros y a las diferentes afecciones perinatales y así mismo los casos de malformaciones congénitas que dificultan su viabilidad.</w:t>
      </w:r>
    </w:p>
    <w:p w:rsidR="00967F2B" w:rsidRPr="00E50B4A" w:rsidRDefault="00967F2B" w:rsidP="00967F2B">
      <w:pPr>
        <w:autoSpaceDE w:val="0"/>
        <w:autoSpaceDN w:val="0"/>
        <w:adjustRightInd w:val="0"/>
        <w:rPr>
          <w:rFonts w:ascii="Arial" w:eastAsia="Calibri" w:hAnsi="Arial" w:cs="Arial"/>
          <w:sz w:val="24"/>
          <w:szCs w:val="24"/>
        </w:rPr>
      </w:pPr>
    </w:p>
    <w:p w:rsidR="00967F2B" w:rsidRPr="00E50B4A" w:rsidRDefault="00967F2B" w:rsidP="00967F2B">
      <w:pPr>
        <w:autoSpaceDE w:val="0"/>
        <w:autoSpaceDN w:val="0"/>
        <w:adjustRightInd w:val="0"/>
        <w:rPr>
          <w:rFonts w:ascii="Arial" w:hAnsi="Arial" w:cs="Arial"/>
          <w:b/>
          <w:bCs/>
          <w:sz w:val="24"/>
          <w:szCs w:val="24"/>
        </w:rPr>
      </w:pPr>
      <w:r w:rsidRPr="00E50B4A">
        <w:rPr>
          <w:rFonts w:ascii="Arial" w:hAnsi="Arial" w:cs="Arial"/>
          <w:b/>
          <w:bCs/>
          <w:sz w:val="24"/>
          <w:szCs w:val="24"/>
        </w:rPr>
        <w:t>ACTIVIDADES DESARROLLADAS  EN PRO DE LA ATENCIÓN DE LA POBLACIÓN MENOR DE 1 AÑO:</w:t>
      </w:r>
    </w:p>
    <w:p w:rsidR="00967F2B" w:rsidRPr="00E50B4A" w:rsidRDefault="00967F2B" w:rsidP="00967F2B">
      <w:pPr>
        <w:autoSpaceDE w:val="0"/>
        <w:autoSpaceDN w:val="0"/>
        <w:adjustRightInd w:val="0"/>
        <w:jc w:val="both"/>
        <w:rPr>
          <w:rFonts w:ascii="Arial" w:hAnsi="Arial" w:cs="Arial"/>
          <w:b/>
          <w:bCs/>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El Municipio de Riosucio  ha venido trabajando intensamente en mejorar las condiciones de accesibilidad a los servicios de salud, así mismo con la búsqueda de gestantes mediante las visitas domiciliarias realizadas por las auxiliares de IPSI- Minga y las de PYP de la ESE HSJD.  </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Una de las principales causas de mortalidad infantil para este grupo de edad son las afecciones respiratorias, además cuando los niños son prematuros extremos   el Municipio  no cuenta con la capacidad resolutiva para la atención y por ende deben ser remitidos a un  nivel alta complejidad de complejidad.</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Se ha implementado diferentes estrategias que permitan disminuir la mortalidad en este grupo de edad como  la ejecución del Programa Ampliado de inmunizaciones, la implementación y ejecución de la Estrategia Atención integral de enfermedades prevalentes de la infancia, método canguro, se realiza seguimiento al cumplimiento de metas en lo relacionado con el programa de crecimiento y desarrollo y acciones a través de la red de seguridad alimentaría y nutricional, promoción de la lactancia materna entre otras acciones.</w:t>
      </w:r>
    </w:p>
    <w:p w:rsidR="00967F2B" w:rsidRPr="00E50B4A" w:rsidRDefault="00967F2B" w:rsidP="00967F2B">
      <w:pPr>
        <w:pStyle w:val="Prrafodelista"/>
        <w:autoSpaceDE w:val="0"/>
        <w:autoSpaceDN w:val="0"/>
        <w:adjustRightInd w:val="0"/>
        <w:ind w:left="360"/>
        <w:jc w:val="both"/>
        <w:rPr>
          <w:rFonts w:ascii="Arial" w:hAnsi="Arial" w:cs="Arial"/>
          <w:sz w:val="24"/>
          <w:szCs w:val="24"/>
        </w:rPr>
      </w:pPr>
    </w:p>
    <w:p w:rsidR="00967F2B" w:rsidRPr="00E50B4A" w:rsidRDefault="00967F2B" w:rsidP="00967F2B">
      <w:pPr>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3 TASA DE MORTALIDAD EN NIÑOS DE 0 - 5 AÑOS - NIÑEZ</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7953"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06"/>
        <w:gridCol w:w="1086"/>
        <w:gridCol w:w="1077"/>
        <w:gridCol w:w="1139"/>
        <w:gridCol w:w="1165"/>
        <w:gridCol w:w="1156"/>
        <w:gridCol w:w="1124"/>
      </w:tblGrid>
      <w:tr w:rsidR="00E50B4A" w:rsidRPr="00E50B4A" w:rsidTr="00967F2B">
        <w:trPr>
          <w:trHeight w:val="477"/>
        </w:trPr>
        <w:tc>
          <w:tcPr>
            <w:tcW w:w="2292"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3</w:t>
            </w:r>
          </w:p>
        </w:tc>
        <w:tc>
          <w:tcPr>
            <w:tcW w:w="4537"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TASA DE MORTALIDAD EN NIÑOS DE 0 - 5 AÑOS - NIÑEZ</w:t>
            </w:r>
          </w:p>
        </w:tc>
        <w:tc>
          <w:tcPr>
            <w:tcW w:w="1124"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rPr>
          <w:trHeight w:val="477"/>
        </w:trPr>
        <w:tc>
          <w:tcPr>
            <w:tcW w:w="2292"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4537"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124" w:type="dxa"/>
            <w:shd w:val="clear" w:color="auto" w:fill="D2EAF1"/>
          </w:tcPr>
          <w:p w:rsidR="00967F2B" w:rsidRPr="00E50B4A" w:rsidRDefault="00967F2B" w:rsidP="00967F2B">
            <w:pPr>
              <w:jc w:val="center"/>
              <w:rPr>
                <w:rFonts w:ascii="Arial" w:hAnsi="Arial" w:cs="Arial"/>
              </w:rPr>
            </w:pPr>
          </w:p>
        </w:tc>
      </w:tr>
      <w:tr w:rsidR="00E50B4A" w:rsidRPr="00E50B4A" w:rsidTr="00967F2B">
        <w:trPr>
          <w:trHeight w:val="231"/>
        </w:trPr>
        <w:tc>
          <w:tcPr>
            <w:tcW w:w="2292"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4537"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124"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rPr>
          <w:trHeight w:val="247"/>
        </w:trPr>
        <w:tc>
          <w:tcPr>
            <w:tcW w:w="1206"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086"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077"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2007</w:t>
            </w:r>
          </w:p>
        </w:tc>
        <w:tc>
          <w:tcPr>
            <w:tcW w:w="1139"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2008</w:t>
            </w:r>
          </w:p>
        </w:tc>
        <w:tc>
          <w:tcPr>
            <w:tcW w:w="1165"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156"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124"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rPr>
          <w:trHeight w:val="231"/>
        </w:trPr>
        <w:tc>
          <w:tcPr>
            <w:tcW w:w="1206"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15.3</w:t>
            </w:r>
          </w:p>
        </w:tc>
        <w:tc>
          <w:tcPr>
            <w:tcW w:w="108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16</w:t>
            </w:r>
          </w:p>
        </w:tc>
        <w:tc>
          <w:tcPr>
            <w:tcW w:w="107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21.6</w:t>
            </w:r>
          </w:p>
        </w:tc>
        <w:tc>
          <w:tcPr>
            <w:tcW w:w="113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13.3</w:t>
            </w:r>
          </w:p>
        </w:tc>
        <w:tc>
          <w:tcPr>
            <w:tcW w:w="116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22.7</w:t>
            </w:r>
          </w:p>
        </w:tc>
        <w:tc>
          <w:tcPr>
            <w:tcW w:w="115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27.2</w:t>
            </w:r>
          </w:p>
        </w:tc>
        <w:tc>
          <w:tcPr>
            <w:tcW w:w="1124"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4.9</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iCs/>
          <w:sz w:val="24"/>
          <w:szCs w:val="24"/>
        </w:rPr>
      </w:pPr>
      <w:r w:rsidRPr="00E50B4A">
        <w:rPr>
          <w:rFonts w:ascii="Arial" w:hAnsi="Arial" w:cs="Arial"/>
          <w:b/>
          <w:bCs/>
          <w:iCs/>
          <w:sz w:val="24"/>
          <w:szCs w:val="24"/>
        </w:rPr>
        <w:t xml:space="preserve">DEFINICION: </w:t>
      </w:r>
      <w:r w:rsidR="009F0761" w:rsidRPr="00E50B4A">
        <w:rPr>
          <w:rFonts w:ascii="Arial" w:hAnsi="Arial" w:cs="Arial"/>
          <w:iCs/>
          <w:sz w:val="24"/>
          <w:szCs w:val="24"/>
        </w:rPr>
        <w:t>Nú</w:t>
      </w:r>
      <w:r w:rsidRPr="00E50B4A">
        <w:rPr>
          <w:rFonts w:ascii="Arial" w:hAnsi="Arial" w:cs="Arial"/>
          <w:iCs/>
          <w:sz w:val="24"/>
          <w:szCs w:val="24"/>
        </w:rPr>
        <w:t xml:space="preserve">mero muertes por todas las causas en menores de 5 años, sobre el total de la población de 0-5 </w:t>
      </w:r>
      <w:r w:rsidR="00015B22" w:rsidRPr="00E50B4A">
        <w:rPr>
          <w:rFonts w:ascii="Arial" w:hAnsi="Arial" w:cs="Arial"/>
          <w:iCs/>
          <w:sz w:val="24"/>
          <w:szCs w:val="24"/>
        </w:rPr>
        <w:t>en el mismo perí</w:t>
      </w:r>
      <w:r w:rsidRPr="00E50B4A">
        <w:rPr>
          <w:rFonts w:ascii="Arial" w:hAnsi="Arial" w:cs="Arial"/>
          <w:iCs/>
          <w:sz w:val="24"/>
          <w:szCs w:val="24"/>
        </w:rPr>
        <w:t>odo, se debe entender como la probabilidad de muerte de niños menores de 5 años, por cada mil niños de 0-5 años en un periodo determinado.</w:t>
      </w:r>
    </w:p>
    <w:p w:rsidR="00967F2B" w:rsidRPr="00E50B4A" w:rsidRDefault="00015B22" w:rsidP="00967F2B">
      <w:pPr>
        <w:autoSpaceDE w:val="0"/>
        <w:autoSpaceDN w:val="0"/>
        <w:adjustRightInd w:val="0"/>
        <w:jc w:val="both"/>
        <w:rPr>
          <w:rFonts w:ascii="Arial" w:hAnsi="Arial" w:cs="Arial"/>
          <w:b/>
          <w:sz w:val="24"/>
          <w:szCs w:val="24"/>
        </w:rPr>
      </w:pPr>
      <w:r w:rsidRPr="00E50B4A">
        <w:rPr>
          <w:rFonts w:ascii="Arial" w:hAnsi="Arial" w:cs="Arial"/>
          <w:b/>
          <w:sz w:val="24"/>
          <w:szCs w:val="24"/>
        </w:rPr>
        <w:t>Grá</w:t>
      </w:r>
      <w:r w:rsidR="00967F2B" w:rsidRPr="00E50B4A">
        <w:rPr>
          <w:rFonts w:ascii="Arial" w:hAnsi="Arial" w:cs="Arial"/>
          <w:b/>
          <w:sz w:val="24"/>
          <w:szCs w:val="24"/>
        </w:rPr>
        <w:t xml:space="preserve">fica3. Tendencia de la tasa de mortalidad de niños de 0-5 (2005-2011)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noProof/>
          <w:lang w:eastAsia="es-CO"/>
        </w:rPr>
        <w:drawing>
          <wp:inline distT="0" distB="0" distL="0" distR="0">
            <wp:extent cx="3955415" cy="2065020"/>
            <wp:effectExtent l="0" t="0" r="26035" b="11430"/>
            <wp:docPr id="5" name="Gráfico 5" descr="Título: tasa de mortalidad en niños de 0-5 años"/>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67F2B" w:rsidRPr="00E50B4A" w:rsidRDefault="00967F2B" w:rsidP="00967F2B">
      <w:pPr>
        <w:autoSpaceDE w:val="0"/>
        <w:autoSpaceDN w:val="0"/>
        <w:adjustRightInd w:val="0"/>
        <w:jc w:val="both"/>
        <w:rPr>
          <w:rFonts w:ascii="Arial" w:hAnsi="Arial" w:cs="Arial"/>
          <w:sz w:val="18"/>
          <w:szCs w:val="18"/>
        </w:rPr>
      </w:pPr>
    </w:p>
    <w:p w:rsidR="00967F2B" w:rsidRPr="00E50B4A" w:rsidRDefault="00967F2B" w:rsidP="00967F2B">
      <w:pPr>
        <w:autoSpaceDE w:val="0"/>
        <w:autoSpaceDN w:val="0"/>
        <w:adjustRightInd w:val="0"/>
        <w:jc w:val="both"/>
        <w:rPr>
          <w:rFonts w:ascii="Arial" w:hAnsi="Arial" w:cs="Arial"/>
          <w:sz w:val="18"/>
          <w:szCs w:val="18"/>
        </w:rPr>
      </w:pPr>
    </w:p>
    <w:p w:rsidR="00967F2B" w:rsidRPr="00E50B4A" w:rsidRDefault="00967F2B" w:rsidP="00967F2B">
      <w:pPr>
        <w:autoSpaceDE w:val="0"/>
        <w:autoSpaceDN w:val="0"/>
        <w:adjustRightInd w:val="0"/>
        <w:jc w:val="both"/>
        <w:rPr>
          <w:rFonts w:ascii="Arial" w:hAnsi="Arial" w:cs="Arial"/>
          <w:sz w:val="18"/>
          <w:szCs w:val="18"/>
        </w:rPr>
      </w:pPr>
      <w:r w:rsidRPr="00E50B4A">
        <w:rPr>
          <w:rFonts w:ascii="Arial" w:hAnsi="Arial" w:cs="Arial"/>
          <w:sz w:val="24"/>
          <w:szCs w:val="24"/>
        </w:rPr>
        <w:t>En la gráfica 3 se puede observar que la tendencia de la mortalidad en la niñez (0-5 años) tenía una tendencia a aumentar hasta el año 2011, donde se tuvo una disminución muy notable en la tasa de 22.5 unidades. Un gran porcentaje de estas muertes fueron ocasionadas por la Infección Respiratoria Aguda y por la aparición del nuevo virus respiratorio el Virus pandémico H1N1/ en el año 2.009 en donde se presentó una muerte  en uno de los Resguardos Indígenas, aunque también están relacionadas con niños con parálisis cerebral.</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rPr>
          <w:rFonts w:ascii="Arial" w:hAnsi="Arial" w:cs="Arial"/>
          <w:b/>
          <w:bCs/>
          <w:sz w:val="23"/>
          <w:szCs w:val="23"/>
        </w:rPr>
      </w:pPr>
      <w:r w:rsidRPr="00E50B4A">
        <w:rPr>
          <w:rFonts w:ascii="Arial" w:hAnsi="Arial" w:cs="Arial"/>
          <w:b/>
          <w:bCs/>
          <w:sz w:val="23"/>
          <w:szCs w:val="23"/>
        </w:rPr>
        <w:t>ACTIVIDADES DESARROLLADAS EN PRO DE LA ATENCIÓN DE LA POBLACIÓN  DE 0-5 AÑOS</w:t>
      </w:r>
    </w:p>
    <w:p w:rsidR="00967F2B" w:rsidRPr="00E50B4A" w:rsidRDefault="00967F2B" w:rsidP="00967F2B">
      <w:pPr>
        <w:autoSpaceDE w:val="0"/>
        <w:autoSpaceDN w:val="0"/>
        <w:adjustRightInd w:val="0"/>
        <w:rPr>
          <w:rFonts w:ascii="Arial" w:hAnsi="Arial" w:cs="Arial"/>
          <w:sz w:val="23"/>
          <w:szCs w:val="23"/>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3"/>
          <w:szCs w:val="23"/>
        </w:rPr>
        <w:t xml:space="preserve">Se han implementado con el apoyo del departamento y de otras instituciones el funcionamiento del centro de Recuperación Nutricional, implementación de la estrategia AIEPI Atención integral de enfermedades prevalentes de la infancia, se tiene una gran fortaleza en trabajo intersectorial a favor de la infancia y la intervención de la desnutrición, así mismo se han dirigido cursos de capacitación teórico practico para cuidadores y padres de familia en temas como AIEPI, Seguridad Alimentaria y Nutricional y el desarrollo de cuidados desde la estrategia PASEA Infantil en temas tales como </w:t>
      </w:r>
      <w:r w:rsidRPr="00E50B4A">
        <w:rPr>
          <w:rFonts w:ascii="Arial" w:hAnsi="Arial" w:cs="Arial"/>
          <w:sz w:val="24"/>
          <w:szCs w:val="24"/>
        </w:rPr>
        <w:t xml:space="preserve">: Conceptos básicos de alimentación y nutrición. Percepciones  del consumo de frutas y verduras, Higiene, manipulación de alimentos, cuidado de los dientes, Clasificación de alimentos, Alimentación balanceada ajustada al presupuesto, Lactancia materna y la estimulación adecuada para la  edad.  </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4 CINCO PRIMERAS CAUSAS DE MORTALIDAD DE NIÑOS ENTRE LOS 0 Y 5 AÑOS.</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p w:rsidR="00967F2B" w:rsidRPr="00E50B4A" w:rsidRDefault="00967F2B" w:rsidP="00967F2B">
      <w:pPr>
        <w:autoSpaceDE w:val="0"/>
        <w:autoSpaceDN w:val="0"/>
        <w:adjustRightInd w:val="0"/>
        <w:rPr>
          <w:rFonts w:ascii="Arial" w:hAnsi="Arial" w:cs="Arial"/>
          <w:sz w:val="24"/>
          <w:szCs w:val="24"/>
        </w:rPr>
      </w:pPr>
      <w:r w:rsidRPr="00E50B4A">
        <w:rPr>
          <w:rFonts w:ascii="Arial" w:hAnsi="Arial" w:cs="Arial"/>
          <w:b/>
          <w:sz w:val="24"/>
          <w:szCs w:val="24"/>
        </w:rPr>
        <w:t>DEFINICION</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tasa de mortalidad de niños, niñas de 0 a 5 años, mide el número de muertes de niños menores de 5 años por cada 100.000 menores de 5 años existentes. Este indicador se calcula dividiendo el número total de muertes de menores de 5 años sobre el total de la población entre 0 y 5 años.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page" w:horzAnchor="margin" w:tblpXSpec="center" w:tblpY="4451"/>
        <w:tblW w:w="6977"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506"/>
        <w:gridCol w:w="5471"/>
      </w:tblGrid>
      <w:tr w:rsidR="00E50B4A" w:rsidRPr="00E50B4A" w:rsidTr="00967F2B">
        <w:trPr>
          <w:trHeight w:val="336"/>
        </w:trPr>
        <w:tc>
          <w:tcPr>
            <w:tcW w:w="1398" w:type="dxa"/>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sz w:val="18"/>
                <w:szCs w:val="18"/>
              </w:rPr>
            </w:pPr>
            <w:r w:rsidRPr="00E50B4A">
              <w:rPr>
                <w:rFonts w:ascii="Arial" w:hAnsi="Arial" w:cs="Arial"/>
                <w:b/>
                <w:bCs/>
                <w:sz w:val="18"/>
                <w:szCs w:val="18"/>
              </w:rPr>
              <w:t>INDICADOR No 4</w:t>
            </w:r>
          </w:p>
        </w:tc>
        <w:tc>
          <w:tcPr>
            <w:tcW w:w="557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sz w:val="18"/>
                <w:szCs w:val="18"/>
              </w:rPr>
            </w:pPr>
            <w:r w:rsidRPr="00E50B4A">
              <w:rPr>
                <w:rFonts w:ascii="Arial" w:hAnsi="Arial" w:cs="Arial"/>
                <w:b/>
                <w:bCs/>
                <w:sz w:val="18"/>
                <w:szCs w:val="18"/>
              </w:rPr>
              <w:t>CINCO PRIMERAS CAUSAS DE MORTALIDAD DE NIÑOS ENTRE LOS 0 Y 5 AÑOS</w:t>
            </w:r>
          </w:p>
        </w:tc>
      </w:tr>
      <w:tr w:rsidR="00E50B4A" w:rsidRPr="00E50B4A" w:rsidTr="00967F2B">
        <w:trPr>
          <w:trHeight w:val="347"/>
        </w:trPr>
        <w:tc>
          <w:tcPr>
            <w:tcW w:w="1398" w:type="dxa"/>
            <w:shd w:val="clear" w:color="auto" w:fill="D2EAF1"/>
          </w:tcPr>
          <w:p w:rsidR="00967F2B" w:rsidRPr="00E50B4A" w:rsidRDefault="00967F2B" w:rsidP="00967F2B">
            <w:pPr>
              <w:jc w:val="center"/>
              <w:rPr>
                <w:rFonts w:ascii="Arial" w:hAnsi="Arial" w:cs="Arial"/>
                <w:b/>
                <w:bCs/>
                <w:sz w:val="18"/>
                <w:szCs w:val="18"/>
              </w:rPr>
            </w:pPr>
            <w:r w:rsidRPr="00E50B4A">
              <w:rPr>
                <w:rFonts w:ascii="Arial" w:hAnsi="Arial" w:cs="Arial"/>
                <w:b/>
                <w:bCs/>
                <w:sz w:val="18"/>
                <w:szCs w:val="18"/>
              </w:rPr>
              <w:t>FUENTE DE INFORMACIÓN</w:t>
            </w:r>
          </w:p>
        </w:tc>
        <w:tc>
          <w:tcPr>
            <w:tcW w:w="5579" w:type="dxa"/>
            <w:shd w:val="clear" w:color="auto" w:fill="D2EAF1"/>
          </w:tcPr>
          <w:p w:rsidR="00967F2B" w:rsidRPr="00E50B4A" w:rsidRDefault="00967F2B" w:rsidP="00967F2B">
            <w:pPr>
              <w:jc w:val="center"/>
              <w:rPr>
                <w:rFonts w:ascii="Arial" w:hAnsi="Arial" w:cs="Arial"/>
                <w:sz w:val="18"/>
                <w:szCs w:val="18"/>
              </w:rPr>
            </w:pPr>
            <w:r w:rsidRPr="00E50B4A">
              <w:rPr>
                <w:rFonts w:ascii="Arial" w:hAnsi="Arial" w:cs="Arial"/>
                <w:sz w:val="18"/>
                <w:szCs w:val="18"/>
              </w:rPr>
              <w:t>DANE, SIVIGILA, ESTADISTICAS VITALES</w:t>
            </w:r>
          </w:p>
        </w:tc>
      </w:tr>
      <w:tr w:rsidR="00E50B4A" w:rsidRPr="00E50B4A" w:rsidTr="00967F2B">
        <w:trPr>
          <w:trHeight w:val="168"/>
        </w:trPr>
        <w:tc>
          <w:tcPr>
            <w:tcW w:w="1398" w:type="dxa"/>
            <w:tcBorders>
              <w:right w:val="nil"/>
            </w:tcBorders>
            <w:shd w:val="clear" w:color="auto" w:fill="auto"/>
          </w:tcPr>
          <w:p w:rsidR="00967F2B" w:rsidRPr="00E50B4A" w:rsidRDefault="00967F2B" w:rsidP="00967F2B">
            <w:pPr>
              <w:jc w:val="center"/>
              <w:rPr>
                <w:rFonts w:ascii="Arial" w:hAnsi="Arial" w:cs="Arial"/>
                <w:b/>
                <w:bCs/>
                <w:sz w:val="18"/>
                <w:szCs w:val="18"/>
              </w:rPr>
            </w:pPr>
            <w:r w:rsidRPr="00E50B4A">
              <w:rPr>
                <w:rFonts w:ascii="Arial" w:hAnsi="Arial" w:cs="Arial"/>
                <w:b/>
                <w:bCs/>
                <w:sz w:val="18"/>
                <w:szCs w:val="18"/>
              </w:rPr>
              <w:t xml:space="preserve">MUNICIPIO </w:t>
            </w:r>
          </w:p>
        </w:tc>
        <w:tc>
          <w:tcPr>
            <w:tcW w:w="5579" w:type="dxa"/>
            <w:tcBorders>
              <w:left w:val="nil"/>
            </w:tcBorders>
            <w:shd w:val="clear" w:color="auto" w:fill="auto"/>
          </w:tcPr>
          <w:p w:rsidR="00967F2B" w:rsidRPr="00E50B4A" w:rsidRDefault="00967F2B" w:rsidP="00967F2B">
            <w:pPr>
              <w:jc w:val="center"/>
              <w:rPr>
                <w:rFonts w:ascii="Arial" w:hAnsi="Arial" w:cs="Arial"/>
                <w:sz w:val="18"/>
                <w:szCs w:val="18"/>
              </w:rPr>
            </w:pPr>
            <w:r w:rsidRPr="00E50B4A">
              <w:rPr>
                <w:rFonts w:ascii="Arial" w:hAnsi="Arial" w:cs="Arial"/>
                <w:sz w:val="18"/>
                <w:szCs w:val="18"/>
              </w:rPr>
              <w:t>RIOSUCIO CALDAS</w:t>
            </w:r>
          </w:p>
        </w:tc>
      </w:tr>
    </w:tbl>
    <w:p w:rsidR="00967F2B" w:rsidRPr="00E50B4A" w:rsidRDefault="00967F2B" w:rsidP="00967F2B">
      <w:pPr>
        <w:pStyle w:val="Sinespaciado"/>
        <w:rPr>
          <w:rFonts w:ascii="Arial" w:hAnsi="Arial" w:cs="Arial"/>
          <w:b/>
          <w:sz w:val="24"/>
          <w:szCs w:val="24"/>
          <w:lang w:val="es-ES"/>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page" w:tblpX="2741" w:tblpY="33"/>
        <w:tblW w:w="3703"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56"/>
        <w:gridCol w:w="2346"/>
        <w:gridCol w:w="901"/>
      </w:tblGrid>
      <w:tr w:rsidR="00E50B4A" w:rsidRPr="00E50B4A" w:rsidTr="00967F2B">
        <w:trPr>
          <w:trHeight w:val="300"/>
        </w:trPr>
        <w:tc>
          <w:tcPr>
            <w:tcW w:w="3703"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Calibri" w:hAnsi="Calibri" w:cs="Calibri"/>
                <w:b/>
                <w:bCs/>
                <w:sz w:val="18"/>
                <w:szCs w:val="18"/>
                <w:lang w:eastAsia="es-CO"/>
              </w:rPr>
            </w:pPr>
            <w:r w:rsidRPr="00E50B4A">
              <w:rPr>
                <w:rFonts w:ascii="Calibri" w:hAnsi="Calibri" w:cs="Calibri"/>
                <w:b/>
                <w:bCs/>
                <w:sz w:val="18"/>
                <w:szCs w:val="18"/>
                <w:lang w:eastAsia="es-CO"/>
              </w:rPr>
              <w:t>AÑO 2005</w:t>
            </w:r>
          </w:p>
        </w:tc>
      </w:tr>
      <w:tr w:rsidR="00E50B4A" w:rsidRPr="00E50B4A" w:rsidTr="00967F2B">
        <w:trPr>
          <w:trHeight w:val="330"/>
        </w:trPr>
        <w:tc>
          <w:tcPr>
            <w:tcW w:w="456"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346"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901"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496"/>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Cs/>
                <w:sz w:val="18"/>
                <w:szCs w:val="18"/>
                <w:lang w:eastAsia="es-CO"/>
              </w:rPr>
              <w:t>1</w:t>
            </w:r>
          </w:p>
        </w:tc>
        <w:tc>
          <w:tcPr>
            <w:tcW w:w="2346" w:type="dxa"/>
            <w:tcBorders>
              <w:left w:val="nil"/>
              <w:right w:val="nil"/>
            </w:tcBorders>
            <w:shd w:val="clear" w:color="auto" w:fill="auto"/>
            <w:hideMark/>
          </w:tcPr>
          <w:p w:rsidR="00967F2B" w:rsidRPr="00E50B4A" w:rsidRDefault="00015B22" w:rsidP="00967F2B">
            <w:pPr>
              <w:jc w:val="center"/>
              <w:rPr>
                <w:rFonts w:ascii="Arial" w:hAnsi="Arial" w:cs="Arial"/>
                <w:sz w:val="18"/>
                <w:szCs w:val="18"/>
                <w:lang w:eastAsia="es-CO"/>
              </w:rPr>
            </w:pPr>
            <w:r w:rsidRPr="00E50B4A">
              <w:rPr>
                <w:rFonts w:ascii="Arial" w:hAnsi="Arial" w:cs="Arial"/>
                <w:sz w:val="18"/>
                <w:szCs w:val="18"/>
                <w:lang w:eastAsia="es-CO"/>
              </w:rPr>
              <w:t>enfermedad diarré</w:t>
            </w:r>
            <w:r w:rsidR="00967F2B" w:rsidRPr="00E50B4A">
              <w:rPr>
                <w:rFonts w:ascii="Arial" w:hAnsi="Arial" w:cs="Arial"/>
                <w:sz w:val="18"/>
                <w:szCs w:val="18"/>
                <w:lang w:eastAsia="es-CO"/>
              </w:rPr>
              <w:t>ica aguda</w:t>
            </w:r>
          </w:p>
        </w:tc>
        <w:tc>
          <w:tcPr>
            <w:tcW w:w="901"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3</w:t>
            </w:r>
          </w:p>
        </w:tc>
      </w:tr>
      <w:tr w:rsidR="00E50B4A" w:rsidRPr="00E50B4A" w:rsidTr="00967F2B">
        <w:trPr>
          <w:trHeight w:val="330"/>
        </w:trPr>
        <w:tc>
          <w:tcPr>
            <w:tcW w:w="456"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Cs/>
                <w:sz w:val="18"/>
                <w:szCs w:val="18"/>
                <w:lang w:eastAsia="es-CO"/>
              </w:rPr>
              <w:t>2</w:t>
            </w:r>
          </w:p>
        </w:tc>
        <w:tc>
          <w:tcPr>
            <w:tcW w:w="2346"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 xml:space="preserve">malformaciones congénita </w:t>
            </w:r>
          </w:p>
        </w:tc>
        <w:tc>
          <w:tcPr>
            <w:tcW w:w="901"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30"/>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Cs/>
                <w:sz w:val="18"/>
                <w:szCs w:val="18"/>
                <w:lang w:eastAsia="es-CO"/>
              </w:rPr>
              <w:t>3</w:t>
            </w:r>
          </w:p>
        </w:tc>
        <w:tc>
          <w:tcPr>
            <w:tcW w:w="2346"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hipoxia neonatal</w:t>
            </w:r>
          </w:p>
          <w:p w:rsidR="00967F2B" w:rsidRPr="00E50B4A" w:rsidRDefault="00967F2B" w:rsidP="00967F2B">
            <w:pPr>
              <w:jc w:val="center"/>
              <w:rPr>
                <w:rFonts w:ascii="Arial" w:hAnsi="Arial" w:cs="Arial"/>
                <w:sz w:val="18"/>
                <w:szCs w:val="18"/>
                <w:lang w:eastAsia="es-CO"/>
              </w:rPr>
            </w:pPr>
          </w:p>
        </w:tc>
        <w:tc>
          <w:tcPr>
            <w:tcW w:w="901"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30"/>
        </w:trPr>
        <w:tc>
          <w:tcPr>
            <w:tcW w:w="456"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Cs/>
                <w:sz w:val="18"/>
                <w:szCs w:val="18"/>
                <w:lang w:eastAsia="es-CO"/>
              </w:rPr>
              <w:t>4</w:t>
            </w:r>
          </w:p>
        </w:tc>
        <w:tc>
          <w:tcPr>
            <w:tcW w:w="2346"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sepsis neonatal</w:t>
            </w:r>
          </w:p>
        </w:tc>
        <w:tc>
          <w:tcPr>
            <w:tcW w:w="901"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30"/>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Cs/>
                <w:sz w:val="18"/>
                <w:szCs w:val="18"/>
                <w:lang w:eastAsia="es-CO"/>
              </w:rPr>
              <w:t>5</w:t>
            </w:r>
          </w:p>
        </w:tc>
        <w:tc>
          <w:tcPr>
            <w:tcW w:w="2346"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muerte súbita del lactante</w:t>
            </w:r>
          </w:p>
        </w:tc>
        <w:tc>
          <w:tcPr>
            <w:tcW w:w="901"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rPr>
          <w:vanish/>
        </w:rPr>
      </w:pPr>
    </w:p>
    <w:tbl>
      <w:tblPr>
        <w:tblpPr w:leftFromText="141" w:rightFromText="141" w:vertAnchor="text" w:horzAnchor="margin" w:tblpXSpec="right" w:tblpY="49"/>
        <w:tblW w:w="401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538"/>
        <w:gridCol w:w="2572"/>
        <w:gridCol w:w="904"/>
      </w:tblGrid>
      <w:tr w:rsidR="00E50B4A" w:rsidRPr="00E50B4A" w:rsidTr="00967F2B">
        <w:trPr>
          <w:trHeight w:val="328"/>
        </w:trPr>
        <w:tc>
          <w:tcPr>
            <w:tcW w:w="4014"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2006</w:t>
            </w:r>
          </w:p>
        </w:tc>
      </w:tr>
      <w:tr w:rsidR="00E50B4A" w:rsidRPr="00E50B4A" w:rsidTr="00967F2B">
        <w:trPr>
          <w:trHeight w:val="328"/>
        </w:trPr>
        <w:tc>
          <w:tcPr>
            <w:tcW w:w="538"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572"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903"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328"/>
        </w:trPr>
        <w:tc>
          <w:tcPr>
            <w:tcW w:w="538"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572"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DNT/  negligencia</w:t>
            </w:r>
          </w:p>
        </w:tc>
        <w:tc>
          <w:tcPr>
            <w:tcW w:w="903"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8"/>
        </w:trPr>
        <w:tc>
          <w:tcPr>
            <w:tcW w:w="538"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2</w:t>
            </w:r>
          </w:p>
        </w:tc>
        <w:tc>
          <w:tcPr>
            <w:tcW w:w="2572"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hepatopatía</w:t>
            </w:r>
          </w:p>
        </w:tc>
        <w:tc>
          <w:tcPr>
            <w:tcW w:w="903"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8"/>
        </w:trPr>
        <w:tc>
          <w:tcPr>
            <w:tcW w:w="538"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3</w:t>
            </w:r>
          </w:p>
        </w:tc>
        <w:tc>
          <w:tcPr>
            <w:tcW w:w="2572"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enfermedad diarreica aguda</w:t>
            </w:r>
          </w:p>
        </w:tc>
        <w:tc>
          <w:tcPr>
            <w:tcW w:w="903"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8"/>
        </w:trPr>
        <w:tc>
          <w:tcPr>
            <w:tcW w:w="538"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4</w:t>
            </w:r>
          </w:p>
        </w:tc>
        <w:tc>
          <w:tcPr>
            <w:tcW w:w="2572"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hipertensión pulmonar</w:t>
            </w:r>
          </w:p>
        </w:tc>
        <w:tc>
          <w:tcPr>
            <w:tcW w:w="903"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8"/>
        </w:trPr>
        <w:tc>
          <w:tcPr>
            <w:tcW w:w="538"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5</w:t>
            </w:r>
          </w:p>
        </w:tc>
        <w:tc>
          <w:tcPr>
            <w:tcW w:w="2572"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hipoxia neonatal</w:t>
            </w:r>
          </w:p>
        </w:tc>
        <w:tc>
          <w:tcPr>
            <w:tcW w:w="903"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jc w:val="right"/>
        <w:rPr>
          <w:rFonts w:ascii="Arial" w:hAnsi="Arial" w:cs="Arial"/>
          <w:sz w:val="24"/>
          <w:szCs w:val="24"/>
        </w:rPr>
      </w:pPr>
    </w:p>
    <w:tbl>
      <w:tblPr>
        <w:tblpPr w:leftFromText="141" w:rightFromText="141" w:vertAnchor="text" w:horzAnchor="page" w:tblpX="2693" w:tblpY="40"/>
        <w:tblW w:w="3843"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42"/>
        <w:gridCol w:w="2539"/>
        <w:gridCol w:w="862"/>
      </w:tblGrid>
      <w:tr w:rsidR="00E50B4A" w:rsidRPr="00E50B4A" w:rsidTr="00967F2B">
        <w:trPr>
          <w:trHeight w:val="269"/>
        </w:trPr>
        <w:tc>
          <w:tcPr>
            <w:tcW w:w="3842"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2007</w:t>
            </w:r>
          </w:p>
        </w:tc>
      </w:tr>
      <w:tr w:rsidR="00E50B4A" w:rsidRPr="00E50B4A" w:rsidTr="00967F2B">
        <w:trPr>
          <w:trHeight w:val="295"/>
        </w:trPr>
        <w:tc>
          <w:tcPr>
            <w:tcW w:w="442"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53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862"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295"/>
        </w:trPr>
        <w:tc>
          <w:tcPr>
            <w:tcW w:w="442"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53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trastornos respiratorios especifico del periodo perinatal</w:t>
            </w:r>
          </w:p>
        </w:tc>
        <w:tc>
          <w:tcPr>
            <w:tcW w:w="862"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5</w:t>
            </w:r>
          </w:p>
        </w:tc>
      </w:tr>
      <w:tr w:rsidR="00E50B4A" w:rsidRPr="00E50B4A" w:rsidTr="00967F2B">
        <w:trPr>
          <w:trHeight w:val="295"/>
        </w:trPr>
        <w:tc>
          <w:tcPr>
            <w:tcW w:w="442"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2</w:t>
            </w:r>
          </w:p>
        </w:tc>
        <w:tc>
          <w:tcPr>
            <w:tcW w:w="2539"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retraso del crecimiento fetal, DNT fetal</w:t>
            </w:r>
          </w:p>
        </w:tc>
        <w:tc>
          <w:tcPr>
            <w:tcW w:w="862"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2</w:t>
            </w:r>
          </w:p>
        </w:tc>
      </w:tr>
      <w:tr w:rsidR="00E50B4A" w:rsidRPr="00E50B4A" w:rsidTr="00967F2B">
        <w:trPr>
          <w:trHeight w:val="295"/>
        </w:trPr>
        <w:tc>
          <w:tcPr>
            <w:tcW w:w="442"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3</w:t>
            </w:r>
          </w:p>
        </w:tc>
        <w:tc>
          <w:tcPr>
            <w:tcW w:w="253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malformaciones congénita del sistema circulatorio</w:t>
            </w:r>
          </w:p>
        </w:tc>
        <w:tc>
          <w:tcPr>
            <w:tcW w:w="862"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2</w:t>
            </w:r>
          </w:p>
        </w:tc>
      </w:tr>
      <w:tr w:rsidR="00E50B4A" w:rsidRPr="00E50B4A" w:rsidTr="00967F2B">
        <w:trPr>
          <w:trHeight w:val="295"/>
        </w:trPr>
        <w:tc>
          <w:tcPr>
            <w:tcW w:w="442"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4</w:t>
            </w:r>
          </w:p>
        </w:tc>
        <w:tc>
          <w:tcPr>
            <w:tcW w:w="2539"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todas las demás enfermedades del sistema respiratorio</w:t>
            </w:r>
          </w:p>
        </w:tc>
        <w:tc>
          <w:tcPr>
            <w:tcW w:w="862"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295"/>
        </w:trPr>
        <w:tc>
          <w:tcPr>
            <w:tcW w:w="442"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5</w:t>
            </w:r>
          </w:p>
        </w:tc>
        <w:tc>
          <w:tcPr>
            <w:tcW w:w="253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las demás malformaciones congénitas deformidades y anomalías congénitas</w:t>
            </w:r>
          </w:p>
        </w:tc>
        <w:tc>
          <w:tcPr>
            <w:tcW w:w="862"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rPr>
          <w:vanish/>
        </w:rPr>
      </w:pPr>
    </w:p>
    <w:tbl>
      <w:tblPr>
        <w:tblpPr w:leftFromText="141" w:rightFromText="141" w:vertAnchor="text" w:horzAnchor="margin" w:tblpXSpec="right" w:tblpY="72"/>
        <w:tblW w:w="3948"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524"/>
        <w:gridCol w:w="2595"/>
        <w:gridCol w:w="829"/>
      </w:tblGrid>
      <w:tr w:rsidR="00E50B4A" w:rsidRPr="00E50B4A" w:rsidTr="00967F2B">
        <w:trPr>
          <w:trHeight w:val="325"/>
        </w:trPr>
        <w:tc>
          <w:tcPr>
            <w:tcW w:w="3948"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2008</w:t>
            </w:r>
          </w:p>
        </w:tc>
      </w:tr>
      <w:tr w:rsidR="00E50B4A" w:rsidRPr="00E50B4A" w:rsidTr="00967F2B">
        <w:trPr>
          <w:trHeight w:val="325"/>
        </w:trPr>
        <w:tc>
          <w:tcPr>
            <w:tcW w:w="524"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595"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82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325"/>
        </w:trPr>
        <w:tc>
          <w:tcPr>
            <w:tcW w:w="524" w:type="dxa"/>
            <w:tcBorders>
              <w:right w:val="nil"/>
            </w:tcBorders>
            <w:shd w:val="clear" w:color="auto" w:fill="auto"/>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1</w:t>
            </w:r>
          </w:p>
        </w:tc>
        <w:tc>
          <w:tcPr>
            <w:tcW w:w="2595"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otras malformaciones congénitas</w:t>
            </w:r>
          </w:p>
          <w:p w:rsidR="00967F2B" w:rsidRPr="00E50B4A" w:rsidRDefault="00967F2B" w:rsidP="00967F2B">
            <w:pPr>
              <w:jc w:val="center"/>
              <w:rPr>
                <w:rFonts w:ascii="Arial" w:hAnsi="Arial" w:cs="Arial"/>
                <w:sz w:val="18"/>
                <w:szCs w:val="18"/>
                <w:lang w:eastAsia="es-CO"/>
              </w:rPr>
            </w:pPr>
          </w:p>
        </w:tc>
        <w:tc>
          <w:tcPr>
            <w:tcW w:w="829"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2</w:t>
            </w:r>
          </w:p>
        </w:tc>
      </w:tr>
      <w:tr w:rsidR="00E50B4A" w:rsidRPr="00E50B4A" w:rsidTr="00967F2B">
        <w:trPr>
          <w:trHeight w:val="325"/>
        </w:trPr>
        <w:tc>
          <w:tcPr>
            <w:tcW w:w="524"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2</w:t>
            </w:r>
          </w:p>
        </w:tc>
        <w:tc>
          <w:tcPr>
            <w:tcW w:w="2595"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hidrocéfalo</w:t>
            </w:r>
          </w:p>
        </w:tc>
        <w:tc>
          <w:tcPr>
            <w:tcW w:w="82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5"/>
        </w:trPr>
        <w:tc>
          <w:tcPr>
            <w:tcW w:w="524" w:type="dxa"/>
            <w:tcBorders>
              <w:right w:val="nil"/>
            </w:tcBorders>
            <w:shd w:val="clear" w:color="auto" w:fill="auto"/>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3</w:t>
            </w:r>
          </w:p>
        </w:tc>
        <w:tc>
          <w:tcPr>
            <w:tcW w:w="2595"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otras malformaciones del corazón</w:t>
            </w:r>
          </w:p>
        </w:tc>
        <w:tc>
          <w:tcPr>
            <w:tcW w:w="829"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5"/>
        </w:trPr>
        <w:tc>
          <w:tcPr>
            <w:tcW w:w="524"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4</w:t>
            </w:r>
          </w:p>
        </w:tc>
        <w:tc>
          <w:tcPr>
            <w:tcW w:w="2595"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dificultad respiratoria del RN</w:t>
            </w:r>
          </w:p>
        </w:tc>
        <w:tc>
          <w:tcPr>
            <w:tcW w:w="82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25"/>
        </w:trPr>
        <w:tc>
          <w:tcPr>
            <w:tcW w:w="524" w:type="dxa"/>
            <w:tcBorders>
              <w:right w:val="nil"/>
            </w:tcBorders>
            <w:shd w:val="clear" w:color="auto" w:fill="auto"/>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5</w:t>
            </w:r>
          </w:p>
        </w:tc>
        <w:tc>
          <w:tcPr>
            <w:tcW w:w="2595"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neumonía, organismo no especifico</w:t>
            </w:r>
          </w:p>
        </w:tc>
        <w:tc>
          <w:tcPr>
            <w:tcW w:w="829"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margin" w:tblpXSpec="right" w:tblpY="-655"/>
        <w:tblW w:w="3840"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83"/>
        <w:gridCol w:w="2319"/>
        <w:gridCol w:w="1038"/>
      </w:tblGrid>
      <w:tr w:rsidR="00E50B4A" w:rsidRPr="00E50B4A" w:rsidTr="00967F2B">
        <w:trPr>
          <w:trHeight w:val="276"/>
        </w:trPr>
        <w:tc>
          <w:tcPr>
            <w:tcW w:w="3840"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2010</w:t>
            </w:r>
          </w:p>
        </w:tc>
      </w:tr>
      <w:tr w:rsidR="00E50B4A" w:rsidRPr="00E50B4A" w:rsidTr="00967F2B">
        <w:trPr>
          <w:trHeight w:val="276"/>
        </w:trPr>
        <w:tc>
          <w:tcPr>
            <w:tcW w:w="483"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31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1038"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276"/>
        </w:trPr>
        <w:tc>
          <w:tcPr>
            <w:tcW w:w="483"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31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muerte súbita del lactante</w:t>
            </w:r>
          </w:p>
        </w:tc>
        <w:tc>
          <w:tcPr>
            <w:tcW w:w="1038"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2</w:t>
            </w:r>
          </w:p>
        </w:tc>
      </w:tr>
      <w:tr w:rsidR="00E50B4A" w:rsidRPr="00E50B4A" w:rsidTr="00967F2B">
        <w:trPr>
          <w:trHeight w:val="276"/>
        </w:trPr>
        <w:tc>
          <w:tcPr>
            <w:tcW w:w="483"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2</w:t>
            </w:r>
          </w:p>
        </w:tc>
        <w:tc>
          <w:tcPr>
            <w:tcW w:w="2319"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neumonía, severa</w:t>
            </w:r>
          </w:p>
        </w:tc>
        <w:tc>
          <w:tcPr>
            <w:tcW w:w="1038"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2</w:t>
            </w:r>
          </w:p>
        </w:tc>
      </w:tr>
      <w:tr w:rsidR="00E50B4A" w:rsidRPr="00E50B4A" w:rsidTr="00967F2B">
        <w:trPr>
          <w:trHeight w:val="276"/>
        </w:trPr>
        <w:tc>
          <w:tcPr>
            <w:tcW w:w="483"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3</w:t>
            </w:r>
          </w:p>
        </w:tc>
        <w:tc>
          <w:tcPr>
            <w:tcW w:w="231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ahogamiento en agua dulce</w:t>
            </w:r>
          </w:p>
        </w:tc>
        <w:tc>
          <w:tcPr>
            <w:tcW w:w="1038"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276"/>
        </w:trPr>
        <w:tc>
          <w:tcPr>
            <w:tcW w:w="483"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4</w:t>
            </w:r>
          </w:p>
        </w:tc>
        <w:tc>
          <w:tcPr>
            <w:tcW w:w="2319"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hidrocéfalo</w:t>
            </w:r>
          </w:p>
        </w:tc>
        <w:tc>
          <w:tcPr>
            <w:tcW w:w="1038"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276"/>
        </w:trPr>
        <w:tc>
          <w:tcPr>
            <w:tcW w:w="483"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5</w:t>
            </w:r>
          </w:p>
        </w:tc>
        <w:tc>
          <w:tcPr>
            <w:tcW w:w="231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sepsis neonatal</w:t>
            </w:r>
          </w:p>
        </w:tc>
        <w:tc>
          <w:tcPr>
            <w:tcW w:w="1038"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tbl>
      <w:tblPr>
        <w:tblpPr w:leftFromText="141" w:rightFromText="141" w:vertAnchor="text" w:horzAnchor="page" w:tblpX="2611" w:tblpY="-590"/>
        <w:tblW w:w="3503"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56"/>
        <w:gridCol w:w="2271"/>
        <w:gridCol w:w="776"/>
      </w:tblGrid>
      <w:tr w:rsidR="00E50B4A" w:rsidRPr="00E50B4A" w:rsidTr="00967F2B">
        <w:trPr>
          <w:trHeight w:val="315"/>
        </w:trPr>
        <w:tc>
          <w:tcPr>
            <w:tcW w:w="3503"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2009</w:t>
            </w:r>
          </w:p>
        </w:tc>
      </w:tr>
      <w:tr w:rsidR="00E50B4A" w:rsidRPr="00E50B4A" w:rsidTr="00967F2B">
        <w:trPr>
          <w:trHeight w:val="315"/>
        </w:trPr>
        <w:tc>
          <w:tcPr>
            <w:tcW w:w="456"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271"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776"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315"/>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271" w:type="dxa"/>
            <w:tcBorders>
              <w:left w:val="nil"/>
              <w:righ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neumonía, severa</w:t>
            </w:r>
          </w:p>
        </w:tc>
        <w:tc>
          <w:tcPr>
            <w:tcW w:w="776"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4</w:t>
            </w:r>
          </w:p>
        </w:tc>
      </w:tr>
      <w:tr w:rsidR="00E50B4A" w:rsidRPr="00E50B4A" w:rsidTr="00967F2B">
        <w:trPr>
          <w:trHeight w:val="315"/>
        </w:trPr>
        <w:tc>
          <w:tcPr>
            <w:tcW w:w="456"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2</w:t>
            </w:r>
          </w:p>
        </w:tc>
        <w:tc>
          <w:tcPr>
            <w:tcW w:w="2271"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defecto del tubo neural</w:t>
            </w:r>
          </w:p>
        </w:tc>
        <w:tc>
          <w:tcPr>
            <w:tcW w:w="776"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15"/>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3</w:t>
            </w:r>
          </w:p>
        </w:tc>
        <w:tc>
          <w:tcPr>
            <w:tcW w:w="2271"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secuelas neurológicas</w:t>
            </w:r>
          </w:p>
        </w:tc>
        <w:tc>
          <w:tcPr>
            <w:tcW w:w="776"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15"/>
        </w:trPr>
        <w:tc>
          <w:tcPr>
            <w:tcW w:w="456"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4</w:t>
            </w:r>
          </w:p>
        </w:tc>
        <w:tc>
          <w:tcPr>
            <w:tcW w:w="2271"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hipoxia neonatal</w:t>
            </w:r>
          </w:p>
        </w:tc>
        <w:tc>
          <w:tcPr>
            <w:tcW w:w="776"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315"/>
        </w:trPr>
        <w:tc>
          <w:tcPr>
            <w:tcW w:w="456"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5</w:t>
            </w:r>
          </w:p>
        </w:tc>
        <w:tc>
          <w:tcPr>
            <w:tcW w:w="2271"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sepsis neonatal</w:t>
            </w:r>
          </w:p>
        </w:tc>
        <w:tc>
          <w:tcPr>
            <w:tcW w:w="776"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page" w:tblpX="2789" w:tblpY="17"/>
        <w:tblW w:w="3840"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83"/>
        <w:gridCol w:w="2319"/>
        <w:gridCol w:w="1038"/>
      </w:tblGrid>
      <w:tr w:rsidR="00E50B4A" w:rsidRPr="00E50B4A" w:rsidTr="00967F2B">
        <w:trPr>
          <w:trHeight w:val="271"/>
        </w:trPr>
        <w:tc>
          <w:tcPr>
            <w:tcW w:w="3840"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AÑO 2011</w:t>
            </w:r>
          </w:p>
        </w:tc>
      </w:tr>
      <w:tr w:rsidR="00E50B4A" w:rsidRPr="00E50B4A" w:rsidTr="00967F2B">
        <w:trPr>
          <w:trHeight w:val="271"/>
        </w:trPr>
        <w:tc>
          <w:tcPr>
            <w:tcW w:w="483" w:type="dxa"/>
            <w:shd w:val="clear" w:color="auto" w:fill="D2EAF1"/>
            <w:noWrap/>
            <w:hideMark/>
          </w:tcPr>
          <w:p w:rsidR="00967F2B" w:rsidRPr="00E50B4A" w:rsidRDefault="00967F2B" w:rsidP="00967F2B">
            <w:pPr>
              <w:jc w:val="center"/>
              <w:rPr>
                <w:rFonts w:ascii="Arial" w:hAnsi="Arial" w:cs="Arial"/>
                <w:b/>
                <w:bCs/>
                <w:sz w:val="18"/>
                <w:szCs w:val="18"/>
                <w:lang w:eastAsia="es-CO"/>
              </w:rPr>
            </w:pPr>
            <w:r w:rsidRPr="00E50B4A">
              <w:rPr>
                <w:rFonts w:ascii="Arial" w:hAnsi="Arial" w:cs="Arial"/>
                <w:b/>
                <w:bCs/>
                <w:sz w:val="18"/>
                <w:szCs w:val="18"/>
                <w:lang w:eastAsia="es-CO"/>
              </w:rPr>
              <w:t>No</w:t>
            </w:r>
          </w:p>
        </w:tc>
        <w:tc>
          <w:tcPr>
            <w:tcW w:w="2319"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CAUSA</w:t>
            </w:r>
          </w:p>
        </w:tc>
        <w:tc>
          <w:tcPr>
            <w:tcW w:w="1038"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No de Casos</w:t>
            </w:r>
          </w:p>
        </w:tc>
      </w:tr>
      <w:tr w:rsidR="00E50B4A" w:rsidRPr="00E50B4A" w:rsidTr="00967F2B">
        <w:trPr>
          <w:trHeight w:val="271"/>
        </w:trPr>
        <w:tc>
          <w:tcPr>
            <w:tcW w:w="483"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31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enfermedad diarreica aguda</w:t>
            </w:r>
          </w:p>
        </w:tc>
        <w:tc>
          <w:tcPr>
            <w:tcW w:w="1038"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271"/>
        </w:trPr>
        <w:tc>
          <w:tcPr>
            <w:tcW w:w="483" w:type="dxa"/>
            <w:shd w:val="clear" w:color="auto" w:fill="D2EAF1"/>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319" w:type="dxa"/>
            <w:shd w:val="clear" w:color="auto" w:fill="D2EAF1"/>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neumonía, severa</w:t>
            </w:r>
          </w:p>
        </w:tc>
        <w:tc>
          <w:tcPr>
            <w:tcW w:w="1038" w:type="dxa"/>
            <w:shd w:val="clear" w:color="auto" w:fill="D2EAF1"/>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r w:rsidR="00E50B4A" w:rsidRPr="00E50B4A" w:rsidTr="00967F2B">
        <w:trPr>
          <w:trHeight w:val="271"/>
        </w:trPr>
        <w:tc>
          <w:tcPr>
            <w:tcW w:w="483" w:type="dxa"/>
            <w:tcBorders>
              <w:right w:val="nil"/>
            </w:tcBorders>
            <w:shd w:val="clear" w:color="auto" w:fill="auto"/>
            <w:noWrap/>
            <w:hideMark/>
          </w:tcPr>
          <w:p w:rsidR="00967F2B" w:rsidRPr="00E50B4A" w:rsidRDefault="00967F2B" w:rsidP="00967F2B">
            <w:pPr>
              <w:jc w:val="right"/>
              <w:rPr>
                <w:rFonts w:ascii="Arial" w:hAnsi="Arial" w:cs="Arial"/>
                <w:b/>
                <w:bCs/>
                <w:sz w:val="18"/>
                <w:szCs w:val="18"/>
                <w:lang w:eastAsia="es-CO"/>
              </w:rPr>
            </w:pPr>
            <w:r w:rsidRPr="00E50B4A">
              <w:rPr>
                <w:rFonts w:ascii="Arial" w:hAnsi="Arial" w:cs="Arial"/>
                <w:b/>
                <w:bCs/>
                <w:sz w:val="18"/>
                <w:szCs w:val="18"/>
                <w:lang w:eastAsia="es-CO"/>
              </w:rPr>
              <w:t>1</w:t>
            </w:r>
          </w:p>
        </w:tc>
        <w:tc>
          <w:tcPr>
            <w:tcW w:w="2319" w:type="dxa"/>
            <w:tcBorders>
              <w:left w:val="nil"/>
              <w:right w:val="nil"/>
            </w:tcBorders>
            <w:shd w:val="clear" w:color="auto" w:fill="auto"/>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por asfixia mecánica por sepultamiento de   aluid de tierra</w:t>
            </w:r>
          </w:p>
        </w:tc>
        <w:tc>
          <w:tcPr>
            <w:tcW w:w="1038" w:type="dxa"/>
            <w:tcBorders>
              <w:left w:val="nil"/>
            </w:tcBorders>
            <w:shd w:val="clear" w:color="auto" w:fill="auto"/>
            <w:noWrap/>
            <w:hideMark/>
          </w:tcPr>
          <w:p w:rsidR="00967F2B" w:rsidRPr="00E50B4A" w:rsidRDefault="00967F2B" w:rsidP="00967F2B">
            <w:pPr>
              <w:jc w:val="center"/>
              <w:rPr>
                <w:rFonts w:ascii="Arial" w:hAnsi="Arial" w:cs="Arial"/>
                <w:sz w:val="18"/>
                <w:szCs w:val="18"/>
                <w:lang w:eastAsia="es-CO"/>
              </w:rPr>
            </w:pPr>
            <w:r w:rsidRPr="00E50B4A">
              <w:rPr>
                <w:rFonts w:ascii="Arial" w:hAnsi="Arial" w:cs="Arial"/>
                <w:sz w:val="18"/>
                <w:szCs w:val="18"/>
                <w:lang w:eastAsia="es-CO"/>
              </w:rPr>
              <w:t>1</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284" w:hanging="142"/>
        <w:jc w:val="both"/>
        <w:rPr>
          <w:rFonts w:ascii="Arial" w:hAnsi="Arial" w:cs="Arial"/>
          <w:sz w:val="24"/>
          <w:szCs w:val="24"/>
        </w:rPr>
      </w:pPr>
      <w:r w:rsidRPr="00E50B4A">
        <w:rPr>
          <w:rFonts w:ascii="Arial" w:hAnsi="Arial" w:cs="Arial"/>
          <w:sz w:val="24"/>
          <w:szCs w:val="24"/>
        </w:rPr>
        <w:t>Las tablas anteriores se puede observar que  la causa básica de la mortalidad en los niños menores de 5 años, prevalecen las muertes por EDA y por IRA,  a pesar de los esfuerzos para la implementación de la estrategia AIEPI y  Maternidad Segura para la reducción de la mortalidad materno perinatal, por lo tanto es de vital importancia continuar trabajando con las familias, comunidades indígenas y demás instituciones de manera muy articulada dentro del Municipio.</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5 TASA DE MORTALIDAD DE 0-17 AÑOS POR CAUSAS EXTERNAS HOMICIDIO, SUICIDIO, ACCIDENTES, VIOLENCIA INTRAFAMILIAR</w:t>
      </w:r>
    </w:p>
    <w:p w:rsidR="00967F2B" w:rsidRPr="00E50B4A" w:rsidRDefault="00967F2B" w:rsidP="00967F2B">
      <w:pPr>
        <w:pStyle w:val="Sinespaciado"/>
        <w:jc w:val="center"/>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39"/>
        <w:gridCol w:w="1233"/>
        <w:gridCol w:w="1222"/>
        <w:gridCol w:w="1351"/>
        <w:gridCol w:w="1356"/>
        <w:gridCol w:w="1346"/>
        <w:gridCol w:w="1307"/>
      </w:tblGrid>
      <w:tr w:rsidR="00E50B4A" w:rsidRPr="00E50B4A" w:rsidTr="00967F2B">
        <w:tc>
          <w:tcPr>
            <w:tcW w:w="2472"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5</w:t>
            </w:r>
          </w:p>
        </w:tc>
        <w:tc>
          <w:tcPr>
            <w:tcW w:w="527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center"/>
              <w:rPr>
                <w:rFonts w:ascii="Arial" w:hAnsi="Arial" w:cs="Arial"/>
                <w:b/>
                <w:bCs/>
              </w:rPr>
            </w:pPr>
            <w:r w:rsidRPr="00E50B4A">
              <w:rPr>
                <w:rFonts w:ascii="Arial" w:hAnsi="Arial" w:cs="Arial"/>
                <w:b/>
                <w:bCs/>
              </w:rPr>
              <w:t>TASA DE MORTALIDAD DE 0-17  AÑOS POR CAUSAS EXTERNAS HOMICIDIO, SUICIDIO, ACCIDENTES, VIOLENCIA INTRAFAMILIAR</w:t>
            </w:r>
          </w:p>
        </w:tc>
        <w:tc>
          <w:tcPr>
            <w:tcW w:w="1307"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center"/>
              <w:rPr>
                <w:rFonts w:ascii="Arial" w:hAnsi="Arial" w:cs="Arial"/>
                <w:b/>
                <w:bCs/>
              </w:rPr>
            </w:pPr>
          </w:p>
        </w:tc>
      </w:tr>
      <w:tr w:rsidR="00E50B4A" w:rsidRPr="00E50B4A" w:rsidTr="00967F2B">
        <w:tc>
          <w:tcPr>
            <w:tcW w:w="2472"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7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307"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72"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7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307"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39"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33"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22"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351"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56"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346"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307"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c>
          <w:tcPr>
            <w:tcW w:w="1239"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 xml:space="preserve">     1,06</w:t>
            </w:r>
          </w:p>
        </w:tc>
        <w:tc>
          <w:tcPr>
            <w:tcW w:w="123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0,53</w:t>
            </w:r>
          </w:p>
        </w:tc>
        <w:tc>
          <w:tcPr>
            <w:tcW w:w="122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2,68</w:t>
            </w:r>
          </w:p>
        </w:tc>
        <w:tc>
          <w:tcPr>
            <w:tcW w:w="135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2,07</w:t>
            </w:r>
          </w:p>
        </w:tc>
        <w:tc>
          <w:tcPr>
            <w:tcW w:w="135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1,09</w:t>
            </w:r>
          </w:p>
        </w:tc>
        <w:tc>
          <w:tcPr>
            <w:tcW w:w="134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3,83</w:t>
            </w:r>
          </w:p>
        </w:tc>
        <w:tc>
          <w:tcPr>
            <w:tcW w:w="1307"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2,75</w:t>
            </w:r>
          </w:p>
        </w:tc>
      </w:tr>
    </w:tbl>
    <w:p w:rsidR="00967F2B" w:rsidRPr="00E50B4A" w:rsidRDefault="00967F2B" w:rsidP="00967F2B">
      <w:pPr>
        <w:autoSpaceDE w:val="0"/>
        <w:autoSpaceDN w:val="0"/>
        <w:adjustRightInd w:val="0"/>
        <w:jc w:val="both"/>
        <w:rPr>
          <w:rFonts w:ascii="Arial" w:hAnsi="Arial" w:cs="Arial"/>
          <w:b/>
          <w:bCs/>
          <w:i/>
          <w:iCs/>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bCs/>
          <w:iCs/>
          <w:sz w:val="24"/>
          <w:szCs w:val="24"/>
        </w:rPr>
        <w:t>DEFINICIÒN</w:t>
      </w:r>
      <w:r w:rsidRPr="00E50B4A">
        <w:rPr>
          <w:rFonts w:ascii="Arial" w:hAnsi="Arial" w:cs="Arial"/>
          <w:b/>
          <w:bCs/>
          <w:i/>
          <w:iCs/>
          <w:sz w:val="24"/>
          <w:szCs w:val="24"/>
        </w:rPr>
        <w:t xml:space="preserve"> </w:t>
      </w:r>
      <w:r w:rsidRPr="00E50B4A">
        <w:rPr>
          <w:rFonts w:ascii="Arial" w:hAnsi="Arial" w:cs="Arial"/>
          <w:sz w:val="24"/>
          <w:szCs w:val="24"/>
        </w:rPr>
        <w:t>es el número de casos de muerte de  0 a 17 años por causas externas (homicidio, suicidio, accidentes, violencia intrafamiliar, sobre el total de población de 0 a 17 años en el mismo periodo, representa el riesgo de morir en la edad 0 a 17 años por cada 10.000 habitantes de este grupo de Edad.</w:t>
      </w: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015B22" w:rsidP="00967F2B">
      <w:pPr>
        <w:autoSpaceDE w:val="0"/>
        <w:autoSpaceDN w:val="0"/>
        <w:adjustRightInd w:val="0"/>
        <w:jc w:val="both"/>
        <w:rPr>
          <w:rFonts w:ascii="Arial" w:hAnsi="Arial" w:cs="Arial"/>
          <w:sz w:val="24"/>
          <w:szCs w:val="24"/>
        </w:rPr>
      </w:pPr>
      <w:r w:rsidRPr="00E50B4A">
        <w:rPr>
          <w:rFonts w:ascii="Arial" w:hAnsi="Arial" w:cs="Arial"/>
          <w:b/>
          <w:sz w:val="24"/>
          <w:szCs w:val="24"/>
        </w:rPr>
        <w:t>Grá</w:t>
      </w:r>
      <w:r w:rsidR="00967F2B" w:rsidRPr="00E50B4A">
        <w:rPr>
          <w:rFonts w:ascii="Arial" w:hAnsi="Arial" w:cs="Arial"/>
          <w:b/>
          <w:sz w:val="24"/>
          <w:szCs w:val="24"/>
        </w:rPr>
        <w:t xml:space="preserve">fica </w:t>
      </w:r>
      <w:r w:rsidRPr="00E50B4A">
        <w:rPr>
          <w:rFonts w:ascii="Arial" w:hAnsi="Arial" w:cs="Arial"/>
          <w:b/>
          <w:sz w:val="24"/>
          <w:szCs w:val="24"/>
        </w:rPr>
        <w:t>5 Tasa de mortalidad en població</w:t>
      </w:r>
      <w:r w:rsidR="00967F2B" w:rsidRPr="00E50B4A">
        <w:rPr>
          <w:rFonts w:ascii="Arial" w:hAnsi="Arial" w:cs="Arial"/>
          <w:b/>
          <w:sz w:val="24"/>
          <w:szCs w:val="24"/>
        </w:rPr>
        <w:t>n de 0- 17 años por causas externas</w:t>
      </w:r>
      <w:r w:rsidR="00967F2B" w:rsidRPr="00E50B4A">
        <w:rPr>
          <w:rFonts w:ascii="Arial" w:hAnsi="Arial" w:cs="Arial"/>
          <w:sz w:val="24"/>
          <w:szCs w:val="24"/>
        </w:rPr>
        <w:t>.</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noProof/>
          <w:lang w:eastAsia="es-CO"/>
        </w:rPr>
        <w:drawing>
          <wp:inline distT="0" distB="0" distL="0" distR="0">
            <wp:extent cx="4345940" cy="1981835"/>
            <wp:effectExtent l="0" t="0" r="16510" b="18415"/>
            <wp:docPr id="4" name="Grá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gráfica anterior, se observa una marcada disminución en la tasa de mortalidad por causas externas para la población de 0-17 añas hasta el año 2010 donde hay nuevamente un incremento generado por la ola invernal que se presentó en el país, otra causa importante son los accidentes de tránsito para la población de 6-11 años. De otro lado,  para la población de 12 a 17 dentro de las causas externas  están las agresiones con armas de fuego y las corto punzantes, este comportamiento expresa diferentes factores sociales que hacen a éste, un grupo vulnerable a la violencia y se incrementa cuando hay un inadecuado control de armas, consumo de alcohol y otras drogas.</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rPr>
          <w:rFonts w:ascii="Arial" w:hAnsi="Arial" w:cs="Arial"/>
          <w:b/>
          <w:sz w:val="28"/>
          <w:szCs w:val="28"/>
        </w:rPr>
      </w:pPr>
      <w:r w:rsidRPr="00E50B4A">
        <w:rPr>
          <w:rFonts w:ascii="Arial" w:hAnsi="Arial" w:cs="Arial"/>
          <w:b/>
          <w:sz w:val="28"/>
          <w:szCs w:val="28"/>
        </w:rPr>
        <w:t>NINGUNO DESNUTRIDO</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6 PORCENTAJE DE NIÑOS, NIÑAS Y ADOLESCENTES VALORADOS CON DESNUTRICIÓN CRÓNICA</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74"/>
        <w:gridCol w:w="1273"/>
        <w:gridCol w:w="1420"/>
        <w:gridCol w:w="1273"/>
        <w:gridCol w:w="1273"/>
        <w:gridCol w:w="1272"/>
        <w:gridCol w:w="1269"/>
      </w:tblGrid>
      <w:tr w:rsidR="00E50B4A" w:rsidRPr="00E50B4A" w:rsidTr="00967F2B">
        <w:tc>
          <w:tcPr>
            <w:tcW w:w="2547"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6</w:t>
            </w:r>
          </w:p>
        </w:tc>
        <w:tc>
          <w:tcPr>
            <w:tcW w:w="5238"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center"/>
              <w:rPr>
                <w:rFonts w:ascii="Arial" w:hAnsi="Arial" w:cs="Arial"/>
                <w:b/>
                <w:bCs/>
              </w:rPr>
            </w:pPr>
            <w:r w:rsidRPr="00E50B4A">
              <w:rPr>
                <w:rFonts w:ascii="Arial" w:hAnsi="Arial" w:cs="Arial"/>
                <w:b/>
                <w:bCs/>
              </w:rPr>
              <w:t>PORCENTAJE DE NIÑOS, NIÑAS Y ADOLESCENTES VALORADOS CON DESNUTRICIÓN CRÓNICA</w:t>
            </w:r>
          </w:p>
        </w:tc>
        <w:tc>
          <w:tcPr>
            <w:tcW w:w="126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center"/>
              <w:rPr>
                <w:rFonts w:ascii="Arial" w:hAnsi="Arial" w:cs="Arial"/>
                <w:b/>
                <w:bCs/>
              </w:rPr>
            </w:pPr>
          </w:p>
        </w:tc>
      </w:tr>
      <w:tr w:rsidR="00E50B4A" w:rsidRPr="00E50B4A" w:rsidTr="00967F2B">
        <w:tc>
          <w:tcPr>
            <w:tcW w:w="2547"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38"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ICBF, ESE HSJD</w:t>
            </w:r>
          </w:p>
        </w:tc>
        <w:tc>
          <w:tcPr>
            <w:tcW w:w="126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547"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38"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6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74"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2005</w:t>
            </w:r>
          </w:p>
        </w:tc>
        <w:tc>
          <w:tcPr>
            <w:tcW w:w="1273"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420"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273"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273"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272" w:type="dxa"/>
            <w:shd w:val="clear" w:color="auto" w:fill="D2EAF1"/>
          </w:tcPr>
          <w:p w:rsidR="00967F2B" w:rsidRPr="00E50B4A" w:rsidRDefault="00967F2B" w:rsidP="00967F2B">
            <w:pPr>
              <w:rPr>
                <w:rFonts w:ascii="Arial" w:hAnsi="Arial" w:cs="Arial"/>
              </w:rPr>
            </w:pPr>
            <w:r w:rsidRPr="00E50B4A">
              <w:rPr>
                <w:rFonts w:ascii="Arial" w:hAnsi="Arial" w:cs="Arial"/>
              </w:rPr>
              <w:t>2010</w:t>
            </w:r>
          </w:p>
        </w:tc>
        <w:tc>
          <w:tcPr>
            <w:tcW w:w="1269"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274"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ND</w:t>
            </w:r>
          </w:p>
        </w:tc>
        <w:tc>
          <w:tcPr>
            <w:tcW w:w="127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42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7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73"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 xml:space="preserve"> ND</w:t>
            </w:r>
          </w:p>
        </w:tc>
        <w:tc>
          <w:tcPr>
            <w:tcW w:w="1272"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ND</w:t>
            </w:r>
          </w:p>
        </w:tc>
        <w:tc>
          <w:tcPr>
            <w:tcW w:w="1269"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0,53</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r w:rsidRPr="00E50B4A">
        <w:rPr>
          <w:rFonts w:ascii="Arial" w:hAnsi="Arial" w:cs="Arial"/>
          <w:b/>
          <w:sz w:val="24"/>
          <w:szCs w:val="24"/>
        </w:rPr>
        <w:t>DEFINICIÓN:</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Número de niños y niñas y adolescentes con desnutrición crónica sobre el total de la población de 0-19 años, este indicador representa la relación entre la talla y la edad de cada individuo, refleja el hambre y obedece a causas estructurales del país y la región.</w:t>
      </w:r>
    </w:p>
    <w:p w:rsidR="00967F2B" w:rsidRPr="00E50B4A" w:rsidRDefault="00967F2B" w:rsidP="00967F2B">
      <w:pPr>
        <w:autoSpaceDE w:val="0"/>
        <w:autoSpaceDN w:val="0"/>
        <w:adjustRightInd w:val="0"/>
        <w:ind w:left="1416"/>
        <w:jc w:val="both"/>
        <w:rPr>
          <w:rFonts w:ascii="Arial" w:hAnsi="Arial" w:cs="Arial"/>
          <w:b/>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7 PORCENTAJE DE NIÑOS, NIÑAS Y ADOLESCENTES VALORADOS CON DESNUTRICIÓN GLOBAL</w:t>
      </w:r>
    </w:p>
    <w:p w:rsidR="00967F2B" w:rsidRPr="00E50B4A" w:rsidRDefault="00967F2B" w:rsidP="00967F2B">
      <w:pPr>
        <w:pStyle w:val="Sinespaciado"/>
        <w:ind w:left="2124"/>
        <w:jc w:val="center"/>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383"/>
        <w:gridCol w:w="1245"/>
        <w:gridCol w:w="1503"/>
        <w:gridCol w:w="1238"/>
        <w:gridCol w:w="1238"/>
        <w:gridCol w:w="1237"/>
        <w:gridCol w:w="1210"/>
      </w:tblGrid>
      <w:tr w:rsidR="00E50B4A" w:rsidRPr="00E50B4A" w:rsidTr="00967F2B">
        <w:tc>
          <w:tcPr>
            <w:tcW w:w="2628"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7</w:t>
            </w:r>
          </w:p>
        </w:tc>
        <w:tc>
          <w:tcPr>
            <w:tcW w:w="5216"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center"/>
              <w:rPr>
                <w:rFonts w:ascii="Arial" w:hAnsi="Arial" w:cs="Arial"/>
                <w:b/>
                <w:bCs/>
              </w:rPr>
            </w:pPr>
            <w:r w:rsidRPr="00E50B4A">
              <w:rPr>
                <w:rFonts w:ascii="Arial" w:hAnsi="Arial" w:cs="Arial"/>
                <w:b/>
                <w:bCs/>
              </w:rPr>
              <w:t>PORCENTAJE DE NIÑOS, NIÑAS Y ADOLESCENTES VALORADOS CON DESNUTRICIÓN GLOBAL</w:t>
            </w:r>
          </w:p>
        </w:tc>
        <w:tc>
          <w:tcPr>
            <w:tcW w:w="1210"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center"/>
              <w:rPr>
                <w:rFonts w:ascii="Arial" w:hAnsi="Arial" w:cs="Arial"/>
                <w:b/>
                <w:bCs/>
              </w:rPr>
            </w:pPr>
          </w:p>
        </w:tc>
      </w:tr>
      <w:tr w:rsidR="00E50B4A" w:rsidRPr="00E50B4A" w:rsidTr="00967F2B">
        <w:tc>
          <w:tcPr>
            <w:tcW w:w="2628"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16"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ICBF, ESE HSJD</w:t>
            </w:r>
          </w:p>
        </w:tc>
        <w:tc>
          <w:tcPr>
            <w:tcW w:w="1210"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28"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16"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10"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383"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45"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503"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238"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23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237"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10"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383"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ND</w:t>
            </w:r>
          </w:p>
        </w:tc>
        <w:tc>
          <w:tcPr>
            <w:tcW w:w="124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50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3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3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3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ND</w:t>
            </w:r>
          </w:p>
        </w:tc>
        <w:tc>
          <w:tcPr>
            <w:tcW w:w="1210"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0,58</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DEFINICIÓN DEL INDICADOR</w:t>
      </w:r>
      <w:r w:rsidRPr="00E50B4A">
        <w:rPr>
          <w:rFonts w:ascii="Arial" w:hAnsi="Arial" w:cs="Arial"/>
          <w:sz w:val="24"/>
          <w:szCs w:val="24"/>
        </w:rPr>
        <w:t>: número de niños, niñas y adolescentes con desnutrición global sobre el total de población de 0-19 años, este indicador representa la relación entre el peso y la edad de cada individuo.</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015B22" w:rsidP="00967F2B">
      <w:pPr>
        <w:autoSpaceDE w:val="0"/>
        <w:autoSpaceDN w:val="0"/>
        <w:adjustRightInd w:val="0"/>
        <w:jc w:val="both"/>
        <w:rPr>
          <w:rFonts w:ascii="Arial" w:hAnsi="Arial" w:cs="Arial"/>
          <w:b/>
          <w:sz w:val="24"/>
          <w:szCs w:val="24"/>
        </w:rPr>
      </w:pPr>
      <w:r w:rsidRPr="00E50B4A">
        <w:rPr>
          <w:rFonts w:ascii="Arial" w:hAnsi="Arial" w:cs="Arial"/>
          <w:b/>
          <w:sz w:val="24"/>
          <w:szCs w:val="24"/>
        </w:rPr>
        <w:t>ANÁ</w:t>
      </w:r>
      <w:r w:rsidR="00967F2B" w:rsidRPr="00E50B4A">
        <w:rPr>
          <w:rFonts w:ascii="Arial" w:hAnsi="Arial" w:cs="Arial"/>
          <w:b/>
          <w:sz w:val="24"/>
          <w:szCs w:val="24"/>
        </w:rPr>
        <w:t>LISIS</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Estos indicadores se analizan de datos disponibles que corresponden a la información sobre el porcentaje  de niños, niñas, adolescentes con desnutrición crónica y global  en el Municipio, para el año 2011 se cuenta con algunos datos  obtenidos del ICBF y Sistemas de la ESE HSJD, la información existente es insuficiente para hacer un buen análisis e intervención de este indicador. </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b/>
          <w:sz w:val="24"/>
          <w:szCs w:val="24"/>
        </w:rPr>
      </w:pPr>
      <w:r w:rsidRPr="00E50B4A">
        <w:rPr>
          <w:rFonts w:ascii="Arial" w:hAnsi="Arial" w:cs="Arial"/>
          <w:b/>
          <w:sz w:val="24"/>
          <w:szCs w:val="24"/>
        </w:rPr>
        <w:t>OPORTUNIDADES DE MEJORAMIENTO</w:t>
      </w:r>
    </w:p>
    <w:p w:rsidR="00967F2B" w:rsidRPr="00E50B4A" w:rsidRDefault="00967F2B" w:rsidP="00967F2B">
      <w:pPr>
        <w:autoSpaceDE w:val="0"/>
        <w:autoSpaceDN w:val="0"/>
        <w:adjustRightInd w:val="0"/>
        <w:ind w:left="1416"/>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Dentro del Municipio de Riosucio se encuentra consolidada la Red de Seguridad Alimentaria y Nutricional (SAN) la cual está realizando un trabajo articulado con las diferentes instituciones del Municipio  como ICBF, COBIENESTAR, Comfamiliares y los cuatro resguardos indígenas, lo que permite una coordinación interinstitucional y la optimización de los recursos para intervenir la Desnutrición.</w:t>
      </w:r>
    </w:p>
    <w:p w:rsidR="00967F2B" w:rsidRPr="00E50B4A" w:rsidRDefault="00967F2B" w:rsidP="00967F2B">
      <w:pPr>
        <w:autoSpaceDE w:val="0"/>
        <w:autoSpaceDN w:val="0"/>
        <w:adjustRightInd w:val="0"/>
        <w:jc w:val="both"/>
        <w:rPr>
          <w:rFonts w:ascii="Arial" w:hAnsi="Arial" w:cs="Arial"/>
          <w:sz w:val="32"/>
          <w:szCs w:val="32"/>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8 PORCENTAJE DE NIÑOS, NIÑAS DE 0 -6 MESES QUE ASISTEN A CONTROLES DE CRECIMIENTO Y DESARROLLO Y QUE RECIBIERON LACTANCIA MATERNA EXCLUSIVA</w:t>
      </w:r>
    </w:p>
    <w:p w:rsidR="00967F2B" w:rsidRPr="00E50B4A" w:rsidRDefault="00967F2B" w:rsidP="00967F2B">
      <w:pPr>
        <w:pStyle w:val="Sinespaciado"/>
        <w:jc w:val="center"/>
        <w:rPr>
          <w:rFonts w:ascii="Arial" w:hAnsi="Arial" w:cs="Arial"/>
          <w:b/>
          <w:sz w:val="24"/>
          <w:szCs w:val="24"/>
        </w:rPr>
      </w:pPr>
    </w:p>
    <w:tbl>
      <w:tblPr>
        <w:tblpPr w:leftFromText="141" w:rightFromText="141" w:vertAnchor="text" w:horzAnchor="margin" w:tblpXSpec="center" w:tblpY="-69"/>
        <w:tblW w:w="8503"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60"/>
        <w:gridCol w:w="1143"/>
        <w:gridCol w:w="1256"/>
        <w:gridCol w:w="1138"/>
        <w:gridCol w:w="1259"/>
        <w:gridCol w:w="1265"/>
        <w:gridCol w:w="1182"/>
      </w:tblGrid>
      <w:tr w:rsidR="00E50B4A" w:rsidRPr="00E50B4A" w:rsidTr="00967F2B">
        <w:trPr>
          <w:trHeight w:val="926"/>
        </w:trPr>
        <w:tc>
          <w:tcPr>
            <w:tcW w:w="2403"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8</w:t>
            </w:r>
          </w:p>
        </w:tc>
        <w:tc>
          <w:tcPr>
            <w:tcW w:w="4918"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center"/>
              <w:rPr>
                <w:rFonts w:ascii="Arial" w:hAnsi="Arial" w:cs="Arial"/>
                <w:b/>
                <w:bCs/>
              </w:rPr>
            </w:pPr>
            <w:r w:rsidRPr="00E50B4A">
              <w:rPr>
                <w:rFonts w:ascii="Arial" w:hAnsi="Arial" w:cs="Arial"/>
                <w:b/>
                <w:bCs/>
              </w:rPr>
              <w:t>PORCENTAJE DE NIÑOS, NIÑAS DE 0 -6 MESES QUE ASISTEN A CONTROLES DE CRECIMIENTO Y DESARROLLO Y QUE RECIBIERON LACTANCIA MATERNA EXCLUSIVA</w:t>
            </w:r>
          </w:p>
        </w:tc>
        <w:tc>
          <w:tcPr>
            <w:tcW w:w="1182"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center"/>
              <w:rPr>
                <w:rFonts w:ascii="Arial" w:hAnsi="Arial" w:cs="Arial"/>
                <w:b/>
                <w:bCs/>
              </w:rPr>
            </w:pPr>
          </w:p>
        </w:tc>
      </w:tr>
      <w:tr w:rsidR="00E50B4A" w:rsidRPr="00E50B4A" w:rsidTr="00967F2B">
        <w:trPr>
          <w:trHeight w:val="447"/>
        </w:trPr>
        <w:tc>
          <w:tcPr>
            <w:tcW w:w="2403"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4918"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PYP ESE HSJD</w:t>
            </w:r>
          </w:p>
        </w:tc>
        <w:tc>
          <w:tcPr>
            <w:tcW w:w="1182" w:type="dxa"/>
            <w:shd w:val="clear" w:color="auto" w:fill="D2EAF1"/>
          </w:tcPr>
          <w:p w:rsidR="00967F2B" w:rsidRPr="00E50B4A" w:rsidRDefault="00967F2B" w:rsidP="00967F2B">
            <w:pPr>
              <w:jc w:val="center"/>
              <w:rPr>
                <w:rFonts w:ascii="Arial" w:hAnsi="Arial" w:cs="Arial"/>
              </w:rPr>
            </w:pPr>
          </w:p>
        </w:tc>
      </w:tr>
      <w:tr w:rsidR="00E50B4A" w:rsidRPr="00E50B4A" w:rsidTr="00967F2B">
        <w:trPr>
          <w:trHeight w:val="240"/>
        </w:trPr>
        <w:tc>
          <w:tcPr>
            <w:tcW w:w="2403"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4918"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182"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rPr>
          <w:trHeight w:val="224"/>
        </w:trPr>
        <w:tc>
          <w:tcPr>
            <w:tcW w:w="1260"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143"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256"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138"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259" w:type="dxa"/>
            <w:shd w:val="clear" w:color="auto" w:fill="D2EAF1"/>
          </w:tcPr>
          <w:p w:rsidR="00967F2B" w:rsidRPr="00E50B4A" w:rsidRDefault="00967F2B" w:rsidP="00967F2B">
            <w:pPr>
              <w:rPr>
                <w:rFonts w:ascii="Arial" w:hAnsi="Arial" w:cs="Arial"/>
                <w:b/>
              </w:rPr>
            </w:pPr>
            <w:r w:rsidRPr="00E50B4A">
              <w:rPr>
                <w:rFonts w:ascii="Arial" w:hAnsi="Arial" w:cs="Arial"/>
                <w:b/>
              </w:rPr>
              <w:t>2009</w:t>
            </w:r>
          </w:p>
        </w:tc>
        <w:tc>
          <w:tcPr>
            <w:tcW w:w="1265"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182"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E50B4A" w:rsidRPr="00E50B4A" w:rsidTr="00967F2B">
        <w:trPr>
          <w:trHeight w:val="314"/>
        </w:trPr>
        <w:tc>
          <w:tcPr>
            <w:tcW w:w="1260"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85,8%</w:t>
            </w:r>
          </w:p>
        </w:tc>
        <w:tc>
          <w:tcPr>
            <w:tcW w:w="114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86,3%</w:t>
            </w:r>
          </w:p>
        </w:tc>
        <w:tc>
          <w:tcPr>
            <w:tcW w:w="1256" w:type="dxa"/>
            <w:tcBorders>
              <w:left w:val="nil"/>
              <w:right w:val="nil"/>
            </w:tcBorders>
            <w:shd w:val="clear" w:color="auto" w:fill="auto"/>
          </w:tcPr>
          <w:p w:rsidR="00967F2B" w:rsidRPr="00E50B4A" w:rsidRDefault="00967F2B" w:rsidP="00967F2B">
            <w:pPr>
              <w:spacing w:line="480" w:lineRule="auto"/>
              <w:jc w:val="center"/>
              <w:rPr>
                <w:rFonts w:ascii="Arial" w:hAnsi="Arial" w:cs="Arial"/>
              </w:rPr>
            </w:pPr>
            <w:r w:rsidRPr="00E50B4A">
              <w:rPr>
                <w:rFonts w:ascii="Arial" w:hAnsi="Arial" w:cs="Arial"/>
              </w:rPr>
              <w:t>91,2%</w:t>
            </w:r>
          </w:p>
        </w:tc>
        <w:tc>
          <w:tcPr>
            <w:tcW w:w="113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78,1%</w:t>
            </w:r>
          </w:p>
        </w:tc>
        <w:tc>
          <w:tcPr>
            <w:tcW w:w="125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89.6%</w:t>
            </w:r>
          </w:p>
        </w:tc>
        <w:tc>
          <w:tcPr>
            <w:tcW w:w="126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79,03%</w:t>
            </w:r>
          </w:p>
        </w:tc>
        <w:tc>
          <w:tcPr>
            <w:tcW w:w="1182"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80%</w:t>
            </w:r>
          </w:p>
        </w:tc>
      </w:tr>
    </w:tbl>
    <w:p w:rsidR="00967F2B" w:rsidRPr="00E50B4A" w:rsidRDefault="00967F2B" w:rsidP="00967F2B">
      <w:pPr>
        <w:autoSpaceDE w:val="0"/>
        <w:autoSpaceDN w:val="0"/>
        <w:adjustRightInd w:val="0"/>
        <w:jc w:val="both"/>
        <w:rPr>
          <w:rFonts w:ascii="ArialNarrow,BoldItalic" w:hAnsi="ArialNarrow,BoldItalic" w:cs="ArialNarrow,BoldItalic"/>
          <w:b/>
          <w:bCs/>
          <w:iCs/>
          <w:sz w:val="24"/>
          <w:szCs w:val="24"/>
        </w:rPr>
      </w:pPr>
    </w:p>
    <w:p w:rsidR="00967F2B" w:rsidRPr="00E50B4A" w:rsidRDefault="00967F2B" w:rsidP="00967F2B">
      <w:pPr>
        <w:autoSpaceDE w:val="0"/>
        <w:autoSpaceDN w:val="0"/>
        <w:adjustRightInd w:val="0"/>
        <w:jc w:val="both"/>
        <w:rPr>
          <w:rFonts w:ascii="ArialNarrow,BoldItalic" w:hAnsi="ArialNarrow,BoldItalic" w:cs="ArialNarrow,BoldItalic"/>
          <w:b/>
          <w:bCs/>
          <w:iCs/>
          <w:sz w:val="24"/>
          <w:szCs w:val="24"/>
        </w:rPr>
      </w:pPr>
    </w:p>
    <w:p w:rsidR="00967F2B" w:rsidRPr="00E50B4A" w:rsidRDefault="00967F2B" w:rsidP="00967F2B">
      <w:pPr>
        <w:autoSpaceDE w:val="0"/>
        <w:autoSpaceDN w:val="0"/>
        <w:adjustRightInd w:val="0"/>
        <w:jc w:val="both"/>
        <w:rPr>
          <w:rFonts w:ascii="ArialNarrow" w:hAnsi="ArialNarrow" w:cs="ArialNarrow"/>
          <w:sz w:val="24"/>
          <w:szCs w:val="24"/>
        </w:rPr>
      </w:pPr>
      <w:r w:rsidRPr="00E50B4A">
        <w:rPr>
          <w:rFonts w:ascii="ArialNarrow,BoldItalic" w:hAnsi="ArialNarrow,BoldItalic" w:cs="ArialNarrow,BoldItalic"/>
          <w:b/>
          <w:bCs/>
          <w:iCs/>
          <w:sz w:val="24"/>
          <w:szCs w:val="24"/>
        </w:rPr>
        <w:t>DEFINICION</w:t>
      </w:r>
      <w:r w:rsidRPr="00E50B4A">
        <w:rPr>
          <w:rFonts w:ascii="ArialNarrow,BoldItalic" w:hAnsi="ArialNarrow,BoldItalic" w:cs="ArialNarrow,BoldItalic"/>
          <w:bCs/>
          <w:iCs/>
          <w:sz w:val="24"/>
          <w:szCs w:val="24"/>
        </w:rPr>
        <w:t xml:space="preserve"> </w:t>
      </w:r>
      <w:r w:rsidRPr="00E50B4A">
        <w:rPr>
          <w:rFonts w:ascii="ArialNarrow,Italic" w:hAnsi="ArialNarrow,Italic" w:cs="ArialNarrow,Italic"/>
          <w:iCs/>
          <w:sz w:val="24"/>
          <w:szCs w:val="24"/>
        </w:rPr>
        <w:t xml:space="preserve">Número de niños de </w:t>
      </w:r>
      <w:r w:rsidRPr="00E50B4A">
        <w:rPr>
          <w:rFonts w:ascii="ArialNarrow" w:hAnsi="ArialNarrow" w:cs="ArialNarrow"/>
          <w:sz w:val="24"/>
          <w:szCs w:val="24"/>
        </w:rPr>
        <w:t xml:space="preserve">e 0 a 6 meses que asisten a crecimiento y desarrollo y que reciben lactancia materna, sobre total de niños que asisten a crecimiento y desarrollo en un momento dado.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015B22" w:rsidP="00967F2B">
      <w:pPr>
        <w:autoSpaceDE w:val="0"/>
        <w:autoSpaceDN w:val="0"/>
        <w:adjustRightInd w:val="0"/>
        <w:jc w:val="both"/>
        <w:rPr>
          <w:rFonts w:ascii="Arial" w:hAnsi="Arial" w:cs="Arial"/>
          <w:b/>
          <w:noProof/>
          <w:sz w:val="24"/>
          <w:szCs w:val="24"/>
          <w:lang w:eastAsia="es-CO"/>
        </w:rPr>
      </w:pPr>
      <w:r w:rsidRPr="00E50B4A">
        <w:rPr>
          <w:rFonts w:ascii="Arial" w:hAnsi="Arial" w:cs="Arial"/>
          <w:b/>
          <w:noProof/>
          <w:sz w:val="24"/>
          <w:szCs w:val="24"/>
          <w:lang w:eastAsia="es-CO"/>
        </w:rPr>
        <w:t>Grá</w:t>
      </w:r>
      <w:r w:rsidR="00967F2B" w:rsidRPr="00E50B4A">
        <w:rPr>
          <w:rFonts w:ascii="Arial" w:hAnsi="Arial" w:cs="Arial"/>
          <w:b/>
          <w:noProof/>
          <w:sz w:val="24"/>
          <w:szCs w:val="24"/>
          <w:lang w:eastAsia="es-CO"/>
        </w:rPr>
        <w:t xml:space="preserve">fica 6 Porcentaje de niños, niñas  de 0-6 meses que asisten a controles de CYD que reciben lactancia materna exclusiva </w:t>
      </w:r>
    </w:p>
    <w:p w:rsidR="00967F2B" w:rsidRPr="00E50B4A" w:rsidRDefault="00967F2B" w:rsidP="00967F2B">
      <w:pPr>
        <w:autoSpaceDE w:val="0"/>
        <w:autoSpaceDN w:val="0"/>
        <w:adjustRightInd w:val="0"/>
        <w:jc w:val="both"/>
        <w:rPr>
          <w:rFonts w:ascii="Arial" w:hAnsi="Arial" w:cs="Arial"/>
          <w:b/>
          <w:noProof/>
          <w:sz w:val="24"/>
          <w:szCs w:val="24"/>
          <w:lang w:eastAsia="es-CO"/>
        </w:rPr>
      </w:pPr>
    </w:p>
    <w:p w:rsidR="00967F2B" w:rsidRPr="00E50B4A" w:rsidRDefault="00967F2B" w:rsidP="00967F2B">
      <w:pPr>
        <w:autoSpaceDE w:val="0"/>
        <w:autoSpaceDN w:val="0"/>
        <w:adjustRightInd w:val="0"/>
        <w:jc w:val="both"/>
        <w:rPr>
          <w:noProof/>
          <w:lang w:eastAsia="es-CO"/>
        </w:rPr>
      </w:pPr>
      <w:r w:rsidRPr="00E50B4A">
        <w:rPr>
          <w:noProof/>
          <w:lang w:eastAsia="es-CO"/>
        </w:rPr>
        <w:drawing>
          <wp:inline distT="0" distB="0" distL="0" distR="0">
            <wp:extent cx="4469130" cy="2043430"/>
            <wp:effectExtent l="0" t="0" r="26670" b="13970"/>
            <wp:docPr id="3" name="Gráfic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 En la gráfica anterior se observa un comportamiento muy estable en el uso de la lactancia materna en los primeros 6 meses de vida, presentándose un porcentaje importante alrededor del 84%. La lactancia materna en el Municipio de Riosucio se promociona a través del proyecto de seguridad alimentaria y nutricional, durante los últimos años  se ha venido fortaleciendo con el  grupo de abuelas amigas de la lactancia,  de igual manera se está capacitando al personal del área de la salud en la estrategia de Instituciones Amigas de la Mujer y la Infancia IAMI que permite un trabajo articulado entre las disciplinas y los programas y proyectos de atención materno  infantil.</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center"/>
        <w:rPr>
          <w:rFonts w:ascii="Arial" w:hAnsi="Arial" w:cs="Arial"/>
          <w:sz w:val="32"/>
          <w:szCs w:val="32"/>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r w:rsidRPr="00E50B4A">
        <w:rPr>
          <w:rFonts w:ascii="Arial" w:hAnsi="Arial" w:cs="Arial"/>
          <w:b/>
          <w:sz w:val="24"/>
          <w:szCs w:val="24"/>
        </w:rPr>
        <w:t>TABLA INDICADOR No 9 PORCENTAJE DE MUJERES GESTANTES CON DIAGNOSTICO DE ANEMIA NUTRICIONAL</w:t>
      </w:r>
    </w:p>
    <w:p w:rsidR="00967F2B" w:rsidRPr="00E50B4A" w:rsidRDefault="00967F2B" w:rsidP="00967F2B">
      <w:pPr>
        <w:pStyle w:val="Sinespaciado"/>
        <w:rPr>
          <w:rFonts w:ascii="Arial" w:hAnsi="Arial" w:cs="Arial"/>
          <w:b/>
          <w:sz w:val="24"/>
          <w:szCs w:val="24"/>
        </w:rPr>
      </w:pPr>
    </w:p>
    <w:tbl>
      <w:tblPr>
        <w:tblW w:w="8310" w:type="dxa"/>
        <w:tblInd w:w="269"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155"/>
        <w:gridCol w:w="1280"/>
        <w:gridCol w:w="1278"/>
        <w:gridCol w:w="1153"/>
        <w:gridCol w:w="1153"/>
        <w:gridCol w:w="1152"/>
        <w:gridCol w:w="1139"/>
      </w:tblGrid>
      <w:tr w:rsidR="00E50B4A" w:rsidRPr="00E50B4A" w:rsidTr="00967F2B">
        <w:trPr>
          <w:trHeight w:val="500"/>
        </w:trPr>
        <w:tc>
          <w:tcPr>
            <w:tcW w:w="2435"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9</w:t>
            </w:r>
          </w:p>
        </w:tc>
        <w:tc>
          <w:tcPr>
            <w:tcW w:w="4736"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center"/>
              <w:rPr>
                <w:rFonts w:ascii="Arial" w:hAnsi="Arial" w:cs="Arial"/>
                <w:b/>
                <w:bCs/>
              </w:rPr>
            </w:pPr>
            <w:r w:rsidRPr="00E50B4A">
              <w:rPr>
                <w:rFonts w:ascii="Arial" w:hAnsi="Arial" w:cs="Arial"/>
                <w:b/>
                <w:bCs/>
              </w:rPr>
              <w:t>PORCENTAJE DE MUJERES GESTANTES CON DIAGNOSTICO DE ANEMIA NUTRICIONAL</w:t>
            </w:r>
          </w:p>
        </w:tc>
        <w:tc>
          <w:tcPr>
            <w:tcW w:w="113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center"/>
              <w:rPr>
                <w:rFonts w:ascii="Arial" w:hAnsi="Arial" w:cs="Arial"/>
                <w:b/>
                <w:bCs/>
              </w:rPr>
            </w:pPr>
          </w:p>
        </w:tc>
      </w:tr>
      <w:tr w:rsidR="00E50B4A" w:rsidRPr="00E50B4A" w:rsidTr="00967F2B">
        <w:trPr>
          <w:trHeight w:val="242"/>
        </w:trPr>
        <w:tc>
          <w:tcPr>
            <w:tcW w:w="2435"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4736"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RIOSUCIO CALDAS</w:t>
            </w:r>
          </w:p>
        </w:tc>
        <w:tc>
          <w:tcPr>
            <w:tcW w:w="1139" w:type="dxa"/>
            <w:shd w:val="clear" w:color="auto" w:fill="D2EAF1"/>
          </w:tcPr>
          <w:p w:rsidR="00967F2B" w:rsidRPr="00E50B4A" w:rsidRDefault="00967F2B" w:rsidP="00967F2B">
            <w:pPr>
              <w:jc w:val="center"/>
              <w:rPr>
                <w:rFonts w:ascii="Arial" w:hAnsi="Arial" w:cs="Arial"/>
              </w:rPr>
            </w:pPr>
          </w:p>
        </w:tc>
      </w:tr>
      <w:tr w:rsidR="00E50B4A" w:rsidRPr="00E50B4A" w:rsidTr="00967F2B">
        <w:trPr>
          <w:trHeight w:val="259"/>
        </w:trPr>
        <w:tc>
          <w:tcPr>
            <w:tcW w:w="1155"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8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2006</w:t>
            </w:r>
          </w:p>
        </w:tc>
        <w:tc>
          <w:tcPr>
            <w:tcW w:w="127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2007</w:t>
            </w:r>
          </w:p>
        </w:tc>
        <w:tc>
          <w:tcPr>
            <w:tcW w:w="115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 xml:space="preserve"> 2008</w:t>
            </w:r>
          </w:p>
        </w:tc>
        <w:tc>
          <w:tcPr>
            <w:tcW w:w="1153"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 xml:space="preserve">    2009</w:t>
            </w:r>
          </w:p>
        </w:tc>
        <w:tc>
          <w:tcPr>
            <w:tcW w:w="1152"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 xml:space="preserve">     2010</w:t>
            </w:r>
          </w:p>
        </w:tc>
        <w:tc>
          <w:tcPr>
            <w:tcW w:w="1139"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 xml:space="preserve">  2011</w:t>
            </w:r>
          </w:p>
        </w:tc>
      </w:tr>
      <w:tr w:rsidR="00E50B4A" w:rsidRPr="00E50B4A" w:rsidTr="00967F2B">
        <w:trPr>
          <w:trHeight w:val="242"/>
        </w:trPr>
        <w:tc>
          <w:tcPr>
            <w:tcW w:w="1155"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ND</w:t>
            </w:r>
          </w:p>
        </w:tc>
        <w:tc>
          <w:tcPr>
            <w:tcW w:w="1280"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c>
          <w:tcPr>
            <w:tcW w:w="1278"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c>
          <w:tcPr>
            <w:tcW w:w="1153"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c>
          <w:tcPr>
            <w:tcW w:w="1153"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c>
          <w:tcPr>
            <w:tcW w:w="1152"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c>
          <w:tcPr>
            <w:tcW w:w="1139" w:type="dxa"/>
            <w:shd w:val="clear" w:color="auto" w:fill="D2EAF1"/>
          </w:tcPr>
          <w:p w:rsidR="00967F2B" w:rsidRPr="00E50B4A" w:rsidRDefault="00967F2B" w:rsidP="00967F2B">
            <w:pPr>
              <w:jc w:val="center"/>
              <w:rPr>
                <w:rFonts w:ascii="Arial" w:hAnsi="Arial" w:cs="Arial"/>
              </w:rPr>
            </w:pPr>
            <w:r w:rsidRPr="00E50B4A">
              <w:rPr>
                <w:rFonts w:ascii="Arial" w:hAnsi="Arial" w:cs="Arial"/>
              </w:rPr>
              <w:t>ND</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32"/>
          <w:szCs w:val="32"/>
        </w:rPr>
      </w:pPr>
      <w:r w:rsidRPr="00E50B4A">
        <w:rPr>
          <w:rFonts w:ascii="Arial" w:hAnsi="Arial" w:cs="Arial"/>
          <w:sz w:val="32"/>
          <w:szCs w:val="32"/>
        </w:rPr>
        <w:tab/>
      </w:r>
      <w:r w:rsidRPr="00E50B4A">
        <w:rPr>
          <w:rFonts w:ascii="Arial" w:hAnsi="Arial" w:cs="Arial"/>
          <w:sz w:val="32"/>
          <w:szCs w:val="32"/>
        </w:rPr>
        <w:tab/>
        <w:t xml:space="preserve"> </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DEFINICION</w:t>
      </w:r>
      <w:r w:rsidRPr="00E50B4A">
        <w:rPr>
          <w:rFonts w:ascii="Arial" w:hAnsi="Arial" w:cs="Arial"/>
          <w:sz w:val="24"/>
          <w:szCs w:val="24"/>
        </w:rPr>
        <w:t xml:space="preserve"> corresponde al número de gestantes diagnosticadas  con anemia sobre el total de gestantes valoradas nutricionalmente.</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r w:rsidRPr="00E50B4A">
        <w:rPr>
          <w:rFonts w:ascii="Arial" w:hAnsi="Arial" w:cs="Arial"/>
          <w:b/>
          <w:sz w:val="24"/>
          <w:szCs w:val="24"/>
        </w:rPr>
        <w:t>Análisis:</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El origen más frecuente de la anemia es por la deficiencia de hierro y la carencia de ácido fólico, lo cual puede conllevar a consecuencias para el feto. De no ser tratada oportunamente ésta posible que tenga relación con los factores de bebes prematuros, recién nacidos con bajo peso y mortalidad perinatal.</w:t>
      </w:r>
    </w:p>
    <w:p w:rsidR="00967F2B" w:rsidRPr="00E50B4A" w:rsidRDefault="00967F2B" w:rsidP="00967F2B">
      <w:pPr>
        <w:autoSpaceDE w:val="0"/>
        <w:autoSpaceDN w:val="0"/>
        <w:adjustRightInd w:val="0"/>
        <w:jc w:val="both"/>
        <w:rPr>
          <w:rFonts w:ascii="Arial" w:hAnsi="Arial" w:cs="Arial"/>
          <w:sz w:val="32"/>
          <w:szCs w:val="32"/>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A la fecha no se cuenta con información disponible para el análisis de este indicador lo que dificulta conocer el estado nutricional de nuestras gestantes aún más cuando conocemos que en nuestras comunidades indígenas hay dificultades en la alimentación por la situación económica que se presenta.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10 PORCENTAJE DE  NIÑOS, NIÑAS CON BAJO PESO AL NACER</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39"/>
        <w:gridCol w:w="1233"/>
        <w:gridCol w:w="1222"/>
        <w:gridCol w:w="1351"/>
        <w:gridCol w:w="1356"/>
        <w:gridCol w:w="1346"/>
        <w:gridCol w:w="1307"/>
      </w:tblGrid>
      <w:tr w:rsidR="00E50B4A" w:rsidRPr="00E50B4A" w:rsidTr="00967F2B">
        <w:tc>
          <w:tcPr>
            <w:tcW w:w="2472"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10</w:t>
            </w:r>
          </w:p>
        </w:tc>
        <w:tc>
          <w:tcPr>
            <w:tcW w:w="527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PORCENTAJE DE  NIÑOS, NIÑAS CON BAJO PESO AL NACER</w:t>
            </w:r>
          </w:p>
        </w:tc>
        <w:tc>
          <w:tcPr>
            <w:tcW w:w="1307"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472"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7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307"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72"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7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307"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39"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33"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22"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351"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2008</w:t>
            </w:r>
          </w:p>
        </w:tc>
        <w:tc>
          <w:tcPr>
            <w:tcW w:w="1356"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346"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307"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239"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5</w:t>
            </w:r>
          </w:p>
        </w:tc>
        <w:tc>
          <w:tcPr>
            <w:tcW w:w="123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5.2</w:t>
            </w:r>
          </w:p>
        </w:tc>
        <w:tc>
          <w:tcPr>
            <w:tcW w:w="122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6.8</w:t>
            </w:r>
          </w:p>
        </w:tc>
        <w:tc>
          <w:tcPr>
            <w:tcW w:w="135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7.4</w:t>
            </w:r>
          </w:p>
        </w:tc>
        <w:tc>
          <w:tcPr>
            <w:tcW w:w="135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6.5</w:t>
            </w:r>
          </w:p>
        </w:tc>
        <w:tc>
          <w:tcPr>
            <w:tcW w:w="134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6.3</w:t>
            </w:r>
          </w:p>
        </w:tc>
        <w:tc>
          <w:tcPr>
            <w:tcW w:w="1307"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2,41</w:t>
            </w:r>
          </w:p>
        </w:tc>
      </w:tr>
    </w:tbl>
    <w:p w:rsidR="00967F2B" w:rsidRPr="00E50B4A" w:rsidRDefault="00967F2B" w:rsidP="00967F2B">
      <w:pPr>
        <w:autoSpaceDE w:val="0"/>
        <w:autoSpaceDN w:val="0"/>
        <w:adjustRightInd w:val="0"/>
        <w:ind w:left="708" w:firstLine="708"/>
        <w:rPr>
          <w:rFonts w:ascii="ArialNarrow,BoldItalic" w:eastAsia="Calibri" w:hAnsi="ArialNarrow,BoldItalic" w:cs="ArialNarrow,BoldItalic"/>
          <w:b/>
          <w:bCs/>
          <w:iCs/>
          <w:sz w:val="23"/>
          <w:szCs w:val="23"/>
        </w:rPr>
      </w:pPr>
    </w:p>
    <w:p w:rsidR="00967F2B" w:rsidRPr="00E50B4A" w:rsidRDefault="00967F2B" w:rsidP="00967F2B">
      <w:pPr>
        <w:autoSpaceDE w:val="0"/>
        <w:autoSpaceDN w:val="0"/>
        <w:adjustRightInd w:val="0"/>
        <w:rPr>
          <w:rFonts w:ascii="ArialNarrow,BoldItalic" w:eastAsia="Calibri" w:hAnsi="ArialNarrow,BoldItalic" w:cs="ArialNarrow,BoldItalic"/>
          <w:b/>
          <w:bCs/>
          <w:iCs/>
          <w:sz w:val="23"/>
          <w:szCs w:val="23"/>
        </w:rPr>
      </w:pPr>
      <w:r w:rsidRPr="00E50B4A">
        <w:rPr>
          <w:rFonts w:ascii="ArialNarrow,BoldItalic" w:eastAsia="Calibri" w:hAnsi="ArialNarrow,BoldItalic" w:cs="ArialNarrow,BoldItalic"/>
          <w:b/>
          <w:bCs/>
          <w:iCs/>
          <w:sz w:val="23"/>
          <w:szCs w:val="23"/>
        </w:rPr>
        <w:t xml:space="preserve">DEFINICION </w:t>
      </w:r>
    </w:p>
    <w:p w:rsidR="00967F2B" w:rsidRPr="00E50B4A" w:rsidRDefault="00967F2B" w:rsidP="00967F2B">
      <w:pPr>
        <w:autoSpaceDE w:val="0"/>
        <w:autoSpaceDN w:val="0"/>
        <w:adjustRightInd w:val="0"/>
        <w:rPr>
          <w:rFonts w:ascii="Arial" w:eastAsia="Calibri" w:hAnsi="Arial" w:cs="Arial"/>
          <w:sz w:val="24"/>
          <w:szCs w:val="24"/>
        </w:rPr>
      </w:pPr>
      <w:r w:rsidRPr="00E50B4A">
        <w:rPr>
          <w:rFonts w:ascii="Arial" w:eastAsia="Calibri" w:hAnsi="Arial" w:cs="Arial"/>
          <w:sz w:val="24"/>
          <w:szCs w:val="24"/>
        </w:rPr>
        <w:t>Corresponde al número de niños, niñas con peso al nacer inferior a 2.500 gramos sobre los nacidos vivos en ese mismo periodo.</w:t>
      </w:r>
    </w:p>
    <w:p w:rsidR="00967F2B" w:rsidRPr="00E50B4A" w:rsidRDefault="00967F2B" w:rsidP="00967F2B">
      <w:pPr>
        <w:autoSpaceDE w:val="0"/>
        <w:autoSpaceDN w:val="0"/>
        <w:adjustRightInd w:val="0"/>
        <w:ind w:left="708" w:firstLine="708"/>
        <w:rPr>
          <w:rFonts w:ascii="Arial" w:eastAsia="Calibri" w:hAnsi="Arial" w:cs="Arial"/>
          <w:sz w:val="24"/>
          <w:szCs w:val="24"/>
        </w:rPr>
      </w:pPr>
    </w:p>
    <w:p w:rsidR="00967F2B" w:rsidRPr="00E50B4A" w:rsidRDefault="00967F2B" w:rsidP="00967F2B">
      <w:pPr>
        <w:autoSpaceDE w:val="0"/>
        <w:autoSpaceDN w:val="0"/>
        <w:adjustRightInd w:val="0"/>
        <w:rPr>
          <w:rFonts w:ascii="Arial" w:eastAsia="Calibri" w:hAnsi="Arial" w:cs="Arial"/>
          <w:b/>
          <w:sz w:val="24"/>
          <w:szCs w:val="24"/>
        </w:rPr>
      </w:pPr>
      <w:r w:rsidRPr="00E50B4A">
        <w:rPr>
          <w:rFonts w:ascii="Arial" w:eastAsia="Calibri" w:hAnsi="Arial" w:cs="Arial"/>
          <w:b/>
          <w:sz w:val="24"/>
          <w:szCs w:val="24"/>
        </w:rPr>
        <w:t>ANALISIS</w:t>
      </w:r>
    </w:p>
    <w:p w:rsidR="00967F2B" w:rsidRPr="00E50B4A" w:rsidRDefault="00967F2B" w:rsidP="00967F2B">
      <w:pPr>
        <w:autoSpaceDE w:val="0"/>
        <w:autoSpaceDN w:val="0"/>
        <w:adjustRightInd w:val="0"/>
        <w:jc w:val="both"/>
        <w:rPr>
          <w:rFonts w:ascii="Arial" w:eastAsia="Calibri" w:hAnsi="Arial" w:cs="Arial"/>
          <w:sz w:val="24"/>
          <w:szCs w:val="24"/>
        </w:rPr>
      </w:pPr>
      <w:r w:rsidRPr="00E50B4A">
        <w:rPr>
          <w:rFonts w:ascii="Arial" w:eastAsia="Calibri" w:hAnsi="Arial" w:cs="Arial"/>
          <w:sz w:val="24"/>
          <w:szCs w:val="24"/>
        </w:rPr>
        <w:t>El peso al nacer es una variable usada para evaluar las posibilidades de supervivencia de un recién nacido en sus primeros años  de vida, así como para valorar las condiciones de la mujer en una sociedad determinada.</w:t>
      </w:r>
    </w:p>
    <w:p w:rsidR="00967F2B" w:rsidRPr="00E50B4A" w:rsidRDefault="00967F2B" w:rsidP="00967F2B">
      <w:pPr>
        <w:autoSpaceDE w:val="0"/>
        <w:autoSpaceDN w:val="0"/>
        <w:adjustRightInd w:val="0"/>
        <w:jc w:val="both"/>
        <w:rPr>
          <w:rFonts w:ascii="Arial" w:eastAsia="Calibri" w:hAnsi="Arial" w:cs="Arial"/>
          <w:sz w:val="24"/>
          <w:szCs w:val="24"/>
        </w:rPr>
      </w:pPr>
      <w:r w:rsidRPr="00E50B4A">
        <w:rPr>
          <w:rFonts w:ascii="Arial" w:eastAsia="Calibri" w:hAnsi="Arial" w:cs="Arial"/>
          <w:sz w:val="24"/>
          <w:szCs w:val="24"/>
        </w:rPr>
        <w:t>Explica entonces, la importancia que otorga la sociedad al recién nacido en términos de: a) condiciones socioeconómicas, incluyendo la situación nutricional, b) del acceso a los servicios de salud, y c) los cuidados del embarazo.</w:t>
      </w:r>
    </w:p>
    <w:p w:rsidR="00967F2B" w:rsidRPr="00E50B4A" w:rsidRDefault="00967F2B" w:rsidP="00967F2B">
      <w:pPr>
        <w:autoSpaceDE w:val="0"/>
        <w:autoSpaceDN w:val="0"/>
        <w:adjustRightInd w:val="0"/>
        <w:jc w:val="both"/>
        <w:rPr>
          <w:rFonts w:ascii="Arial" w:eastAsia="Calibri" w:hAnsi="Arial" w:cs="Arial"/>
          <w:b/>
          <w:sz w:val="24"/>
          <w:szCs w:val="24"/>
        </w:rPr>
      </w:pPr>
      <w:r w:rsidRPr="00E50B4A">
        <w:rPr>
          <w:rFonts w:ascii="Arial" w:eastAsia="Calibri" w:hAnsi="Arial" w:cs="Arial"/>
          <w:b/>
          <w:sz w:val="24"/>
          <w:szCs w:val="24"/>
        </w:rPr>
        <w:t>Grafica 7 Porcentaje de niños y niñas con bajo peso al nacer 2005- 2011.</w:t>
      </w:r>
    </w:p>
    <w:p w:rsidR="00967F2B" w:rsidRPr="00E50B4A" w:rsidRDefault="00967F2B" w:rsidP="00967F2B">
      <w:pPr>
        <w:autoSpaceDE w:val="0"/>
        <w:autoSpaceDN w:val="0"/>
        <w:adjustRightInd w:val="0"/>
        <w:ind w:left="1416"/>
        <w:jc w:val="both"/>
        <w:rPr>
          <w:rFonts w:ascii="Arial" w:eastAsia="Calibri" w:hAnsi="Arial" w:cs="Arial"/>
          <w:sz w:val="24"/>
          <w:szCs w:val="24"/>
        </w:rPr>
      </w:pPr>
    </w:p>
    <w:p w:rsidR="00967F2B" w:rsidRPr="00E50B4A" w:rsidRDefault="00967F2B" w:rsidP="00967F2B">
      <w:pPr>
        <w:autoSpaceDE w:val="0"/>
        <w:autoSpaceDN w:val="0"/>
        <w:adjustRightInd w:val="0"/>
        <w:ind w:left="1416"/>
        <w:jc w:val="both"/>
        <w:rPr>
          <w:rFonts w:ascii="Arial" w:eastAsia="Calibri" w:hAnsi="Arial" w:cs="Arial"/>
          <w:sz w:val="24"/>
          <w:szCs w:val="24"/>
        </w:rPr>
      </w:pPr>
      <w:r w:rsidRPr="00E50B4A">
        <w:rPr>
          <w:noProof/>
          <w:lang w:eastAsia="es-CO"/>
        </w:rPr>
        <w:drawing>
          <wp:inline distT="0" distB="0" distL="0" distR="0">
            <wp:extent cx="4345940" cy="2465705"/>
            <wp:effectExtent l="0" t="0" r="16510" b="10795"/>
            <wp:docPr id="2" name="Gráfic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967F2B" w:rsidRPr="00E50B4A" w:rsidRDefault="00967F2B" w:rsidP="00967F2B">
      <w:pPr>
        <w:autoSpaceDE w:val="0"/>
        <w:autoSpaceDN w:val="0"/>
        <w:adjustRightInd w:val="0"/>
        <w:ind w:left="1416"/>
        <w:jc w:val="both"/>
        <w:rPr>
          <w:rFonts w:ascii="Arial" w:eastAsia="Calibri"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gráfica anterior se puede observar una leve disminución desde el año 2009 del porcentaje de niños con bajo peso al nacer, cabe resaltar que en el año 2011 se obtiene el menor porcentaje (2,4) en relación a los años anteriores especialmente en el año 2008 con un (7,4), presentado en los últimos 6 años lo que se podría  explicar debido a las acciones implementadas en la Red de seguridad Alimentaria y Nutricional del Municipio para la protección de los menores y madres gestantes, pero  todavía hay trabajo por hacer.</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32"/>
          <w:szCs w:val="32"/>
        </w:rPr>
      </w:pPr>
    </w:p>
    <w:p w:rsidR="00967F2B" w:rsidRPr="00E50B4A" w:rsidRDefault="00967F2B" w:rsidP="00967F2B">
      <w:pPr>
        <w:autoSpaceDE w:val="0"/>
        <w:autoSpaceDN w:val="0"/>
        <w:adjustRightInd w:val="0"/>
        <w:rPr>
          <w:rFonts w:ascii="Arial" w:hAnsi="Arial" w:cs="Arial"/>
          <w:b/>
          <w:sz w:val="28"/>
          <w:szCs w:val="28"/>
        </w:rPr>
      </w:pPr>
      <w:r w:rsidRPr="00E50B4A">
        <w:rPr>
          <w:rFonts w:ascii="Arial" w:hAnsi="Arial" w:cs="Arial"/>
          <w:b/>
          <w:sz w:val="28"/>
          <w:szCs w:val="28"/>
        </w:rPr>
        <w:t>TODOS SALUDABLES</w:t>
      </w:r>
    </w:p>
    <w:p w:rsidR="00967F2B" w:rsidRPr="00E50B4A" w:rsidRDefault="00967F2B" w:rsidP="00967F2B">
      <w:pPr>
        <w:autoSpaceDE w:val="0"/>
        <w:autoSpaceDN w:val="0"/>
        <w:adjustRightInd w:val="0"/>
        <w:ind w:left="708" w:firstLine="708"/>
        <w:jc w:val="center"/>
        <w:rPr>
          <w:rFonts w:ascii="Arial" w:hAnsi="Arial" w:cs="Arial"/>
          <w:b/>
          <w:sz w:val="24"/>
          <w:szCs w:val="24"/>
        </w:rPr>
      </w:pPr>
    </w:p>
    <w:p w:rsidR="00967F2B" w:rsidRPr="00E50B4A" w:rsidRDefault="00967F2B" w:rsidP="00967F2B">
      <w:pPr>
        <w:ind w:left="1276"/>
        <w:rPr>
          <w:rFonts w:ascii="Arial" w:hAnsi="Arial" w:cs="Arial"/>
          <w:noProof/>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11  COBERTURA DE INMUNIZACIÓN CONTRA EL BCG EN NIÑOS, NIÑAS MENORES DE 1 AÑO</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15"/>
        <w:gridCol w:w="1208"/>
        <w:gridCol w:w="1325"/>
        <w:gridCol w:w="1439"/>
        <w:gridCol w:w="1313"/>
        <w:gridCol w:w="1313"/>
        <w:gridCol w:w="1241"/>
      </w:tblGrid>
      <w:tr w:rsidR="00E50B4A" w:rsidRPr="00E50B4A" w:rsidTr="00967F2B">
        <w:tc>
          <w:tcPr>
            <w:tcW w:w="2423"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11</w:t>
            </w:r>
          </w:p>
          <w:p w:rsidR="00967F2B" w:rsidRPr="00E50B4A" w:rsidRDefault="00967F2B" w:rsidP="00967F2B">
            <w:pPr>
              <w:jc w:val="center"/>
              <w:rPr>
                <w:rFonts w:ascii="Arial" w:hAnsi="Arial" w:cs="Arial"/>
                <w:b/>
                <w:bCs/>
              </w:rPr>
            </w:pPr>
          </w:p>
        </w:tc>
        <w:tc>
          <w:tcPr>
            <w:tcW w:w="5390"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EL BCG EN NIÑOS, NIÑAS MENORES DE 1 AÑO</w:t>
            </w:r>
          </w:p>
        </w:tc>
        <w:tc>
          <w:tcPr>
            <w:tcW w:w="1241"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423"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90"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 / Censo DANE y Censo de Canalización</w:t>
            </w:r>
          </w:p>
        </w:tc>
        <w:tc>
          <w:tcPr>
            <w:tcW w:w="1241"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23"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90"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41"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15"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08"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325"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2007</w:t>
            </w:r>
          </w:p>
        </w:tc>
        <w:tc>
          <w:tcPr>
            <w:tcW w:w="1439"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13"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313"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41"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215"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118%</w:t>
            </w:r>
          </w:p>
        </w:tc>
        <w:tc>
          <w:tcPr>
            <w:tcW w:w="120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111%</w:t>
            </w:r>
          </w:p>
        </w:tc>
        <w:tc>
          <w:tcPr>
            <w:tcW w:w="132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104%</w:t>
            </w:r>
          </w:p>
        </w:tc>
        <w:tc>
          <w:tcPr>
            <w:tcW w:w="143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111%</w:t>
            </w:r>
          </w:p>
        </w:tc>
        <w:tc>
          <w:tcPr>
            <w:tcW w:w="131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97%</w:t>
            </w:r>
          </w:p>
        </w:tc>
        <w:tc>
          <w:tcPr>
            <w:tcW w:w="131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110%</w:t>
            </w:r>
          </w:p>
        </w:tc>
        <w:tc>
          <w:tcPr>
            <w:tcW w:w="1241"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108,15</w:t>
            </w:r>
          </w:p>
        </w:tc>
      </w:tr>
    </w:tbl>
    <w:p w:rsidR="00967F2B" w:rsidRPr="00E50B4A" w:rsidRDefault="00967F2B" w:rsidP="00967F2B">
      <w:pPr>
        <w:autoSpaceDE w:val="0"/>
        <w:autoSpaceDN w:val="0"/>
        <w:adjustRightInd w:val="0"/>
        <w:jc w:val="center"/>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menores de 1 año que han sido vacunados contra la tuberculosis. Esta vacuna protege a los bebés contra las enfermedades pulmonares. Esta vacuna se aplica una sola vez por vía  intradérmica a los recién nacidos.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Como se puede observar en la tabla 11. El Municipio de Riosucio ha logrado coberturas óptimas de vacunación para la BCG estando por encima de las coberturas Departamentales (60%) y Nacionales (80%), recordemos que una cobertura útil en vacunación es aquella que está por encima del 95%.</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12  COBERTURA DE INMUNIZACIÓN CONTRA EL POLIO EN NIÑOS, NIÑAS MENORES DE 1 AÑO</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175"/>
        <w:gridCol w:w="1147"/>
        <w:gridCol w:w="1528"/>
        <w:gridCol w:w="1412"/>
        <w:gridCol w:w="1300"/>
        <w:gridCol w:w="1291"/>
        <w:gridCol w:w="1201"/>
      </w:tblGrid>
      <w:tr w:rsidR="00E50B4A" w:rsidRPr="00E50B4A" w:rsidTr="00967F2B">
        <w:tc>
          <w:tcPr>
            <w:tcW w:w="2322"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12</w:t>
            </w:r>
          </w:p>
          <w:p w:rsidR="00967F2B" w:rsidRPr="00E50B4A" w:rsidRDefault="00967F2B" w:rsidP="00967F2B">
            <w:pPr>
              <w:jc w:val="center"/>
              <w:rPr>
                <w:rFonts w:ascii="Arial" w:hAnsi="Arial" w:cs="Arial"/>
                <w:b/>
                <w:bCs/>
              </w:rPr>
            </w:pPr>
          </w:p>
        </w:tc>
        <w:tc>
          <w:tcPr>
            <w:tcW w:w="5531"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EL POLIO EN NIÑOS, NIÑAS MENORES DE 1 AÑO</w:t>
            </w:r>
          </w:p>
        </w:tc>
        <w:tc>
          <w:tcPr>
            <w:tcW w:w="1201"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322"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531"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w:t>
            </w:r>
          </w:p>
          <w:p w:rsidR="00967F2B" w:rsidRPr="00E50B4A" w:rsidRDefault="00967F2B" w:rsidP="00967F2B">
            <w:pPr>
              <w:jc w:val="center"/>
              <w:rPr>
                <w:rFonts w:ascii="Arial" w:hAnsi="Arial" w:cs="Arial"/>
              </w:rPr>
            </w:pPr>
            <w:r w:rsidRPr="00E50B4A">
              <w:rPr>
                <w:rFonts w:ascii="Arial" w:hAnsi="Arial" w:cs="Arial"/>
              </w:rPr>
              <w:t>CENSO DANE Y CANALIZACIÓN</w:t>
            </w:r>
          </w:p>
        </w:tc>
        <w:tc>
          <w:tcPr>
            <w:tcW w:w="1201"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322"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531"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01"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175"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147"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52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2007</w:t>
            </w:r>
          </w:p>
        </w:tc>
        <w:tc>
          <w:tcPr>
            <w:tcW w:w="1412"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00"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291"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01"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175"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94%</w:t>
            </w:r>
          </w:p>
        </w:tc>
        <w:tc>
          <w:tcPr>
            <w:tcW w:w="114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116.8%</w:t>
            </w:r>
          </w:p>
        </w:tc>
        <w:tc>
          <w:tcPr>
            <w:tcW w:w="152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w:t>
            </w:r>
          </w:p>
        </w:tc>
        <w:tc>
          <w:tcPr>
            <w:tcW w:w="141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101%</w:t>
            </w:r>
          </w:p>
        </w:tc>
        <w:tc>
          <w:tcPr>
            <w:tcW w:w="130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110%</w:t>
            </w:r>
          </w:p>
        </w:tc>
        <w:tc>
          <w:tcPr>
            <w:tcW w:w="129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119%</w:t>
            </w:r>
          </w:p>
        </w:tc>
        <w:tc>
          <w:tcPr>
            <w:tcW w:w="1201"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98,2</w:t>
            </w:r>
          </w:p>
        </w:tc>
      </w:tr>
    </w:tbl>
    <w:p w:rsidR="00967F2B" w:rsidRPr="00E50B4A" w:rsidRDefault="00967F2B" w:rsidP="00967F2B">
      <w:pPr>
        <w:autoSpaceDE w:val="0"/>
        <w:autoSpaceDN w:val="0"/>
        <w:adjustRightInd w:val="0"/>
        <w:jc w:val="center"/>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menores de 1 año que han sido vacunados con 3 dosis contra la Poliomielitis. Esta es una enfermedad grave que puede provocar parálisis en una persona y puede causar la muerte.</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tabla  anterior se presenta la cobertura alcanzada en menores de un año para la vacuna contra la poliomielitis, la que muestra  durante los últimos años se ha logrado coberturas útiles para este biológico cumplimento con las metas esperadas.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 importante resaltar que este biológico ha logrado el control de esta enfermedad en el Mundo, en especial en las Américas caso específico para Colombia que no se reportan casos desde 1991.</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13  COBERTURA DE INMUNIZACIÓN CONTRA EL DPT EN NIÑOS, NIÑAS MENORES DE 1 AÑO</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41"/>
        <w:gridCol w:w="1255"/>
        <w:gridCol w:w="1242"/>
        <w:gridCol w:w="1263"/>
        <w:gridCol w:w="1368"/>
        <w:gridCol w:w="1358"/>
        <w:gridCol w:w="1327"/>
      </w:tblGrid>
      <w:tr w:rsidR="00E50B4A" w:rsidRPr="00E50B4A" w:rsidTr="00967F2B">
        <w:tc>
          <w:tcPr>
            <w:tcW w:w="2496"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13</w:t>
            </w:r>
          </w:p>
          <w:p w:rsidR="00967F2B" w:rsidRPr="00E50B4A" w:rsidRDefault="00967F2B" w:rsidP="00967F2B">
            <w:pPr>
              <w:jc w:val="center"/>
              <w:rPr>
                <w:rFonts w:ascii="Arial" w:hAnsi="Arial" w:cs="Arial"/>
                <w:b/>
                <w:bCs/>
              </w:rPr>
            </w:pPr>
          </w:p>
        </w:tc>
        <w:tc>
          <w:tcPr>
            <w:tcW w:w="5231"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DPT  EN NIÑOS, NIÑAS MENORES DE 1 AÑO</w:t>
            </w:r>
          </w:p>
        </w:tc>
        <w:tc>
          <w:tcPr>
            <w:tcW w:w="1327"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496"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31"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w:t>
            </w:r>
          </w:p>
        </w:tc>
        <w:tc>
          <w:tcPr>
            <w:tcW w:w="1327"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96"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31"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327"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41"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55"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42"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2007</w:t>
            </w:r>
          </w:p>
        </w:tc>
        <w:tc>
          <w:tcPr>
            <w:tcW w:w="1263"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2008</w:t>
            </w:r>
          </w:p>
        </w:tc>
        <w:tc>
          <w:tcPr>
            <w:tcW w:w="136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358"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327"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c>
          <w:tcPr>
            <w:tcW w:w="1241"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94%</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116.8%</w:t>
            </w:r>
          </w:p>
        </w:tc>
        <w:tc>
          <w:tcPr>
            <w:tcW w:w="124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w:t>
            </w:r>
          </w:p>
        </w:tc>
        <w:tc>
          <w:tcPr>
            <w:tcW w:w="126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101%</w:t>
            </w:r>
          </w:p>
        </w:tc>
        <w:tc>
          <w:tcPr>
            <w:tcW w:w="136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110%</w:t>
            </w:r>
          </w:p>
        </w:tc>
        <w:tc>
          <w:tcPr>
            <w:tcW w:w="135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119%</w:t>
            </w:r>
          </w:p>
        </w:tc>
        <w:tc>
          <w:tcPr>
            <w:tcW w:w="1327"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98,2%</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niñas y niños que han recibido las tres dosis de vacuna contra DPT. Esta vacuna protege contra la difteria, el tétano y la tos ferina.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tabla anterior se puede observar la evolución de este indicador en el tiempo, para el Municipio de Riosucio en donde las coberturas alcanzadas son útiles.</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14  COBERTURA DE INMUNIZACIÓN CONTRA DE LA HEPATITIS B EN NIÑOS, NIÑAS MENORES DE 1 AÑO</w:t>
      </w:r>
    </w:p>
    <w:p w:rsidR="00967F2B" w:rsidRPr="00E50B4A" w:rsidRDefault="00967F2B" w:rsidP="00967F2B">
      <w:pPr>
        <w:pStyle w:val="Sinespaciado"/>
        <w:ind w:left="1416"/>
        <w:jc w:val="center"/>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8221"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76"/>
        <w:gridCol w:w="1417"/>
        <w:gridCol w:w="1172"/>
        <w:gridCol w:w="1545"/>
        <w:gridCol w:w="1411"/>
        <w:gridCol w:w="1400"/>
      </w:tblGrid>
      <w:tr w:rsidR="00E50B4A" w:rsidRPr="00E50B4A" w:rsidTr="00967F2B">
        <w:tc>
          <w:tcPr>
            <w:tcW w:w="2693"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14</w:t>
            </w:r>
          </w:p>
          <w:p w:rsidR="00967F2B" w:rsidRPr="00E50B4A" w:rsidRDefault="00967F2B" w:rsidP="00967F2B">
            <w:pPr>
              <w:jc w:val="center"/>
              <w:rPr>
                <w:rFonts w:ascii="Arial" w:hAnsi="Arial" w:cs="Arial"/>
                <w:b/>
                <w:bCs/>
              </w:rPr>
            </w:pPr>
          </w:p>
        </w:tc>
        <w:tc>
          <w:tcPr>
            <w:tcW w:w="5528" w:type="dxa"/>
            <w:gridSpan w:val="4"/>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LA HEPATIS B  EN NIÑOS, NIÑAS MENORES DE 1 AÑO</w:t>
            </w:r>
          </w:p>
        </w:tc>
      </w:tr>
      <w:tr w:rsidR="00E50B4A" w:rsidRPr="00E50B4A" w:rsidTr="00967F2B">
        <w:tc>
          <w:tcPr>
            <w:tcW w:w="2693"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528"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w:t>
            </w:r>
          </w:p>
        </w:tc>
      </w:tr>
      <w:tr w:rsidR="00E50B4A" w:rsidRPr="00E50B4A" w:rsidTr="00967F2B">
        <w:tc>
          <w:tcPr>
            <w:tcW w:w="2693"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528" w:type="dxa"/>
            <w:gridSpan w:val="4"/>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r>
      <w:tr w:rsidR="00E50B4A" w:rsidRPr="00E50B4A" w:rsidTr="00967F2B">
        <w:tc>
          <w:tcPr>
            <w:tcW w:w="1276"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417"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172"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545"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411"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400"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r>
      <w:tr w:rsidR="00967F2B" w:rsidRPr="00E50B4A" w:rsidTr="00967F2B">
        <w:tc>
          <w:tcPr>
            <w:tcW w:w="1276"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94%</w:t>
            </w:r>
          </w:p>
        </w:tc>
        <w:tc>
          <w:tcPr>
            <w:tcW w:w="141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116.8%</w:t>
            </w:r>
          </w:p>
        </w:tc>
        <w:tc>
          <w:tcPr>
            <w:tcW w:w="117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116%</w:t>
            </w:r>
          </w:p>
        </w:tc>
        <w:tc>
          <w:tcPr>
            <w:tcW w:w="154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101%</w:t>
            </w:r>
          </w:p>
        </w:tc>
        <w:tc>
          <w:tcPr>
            <w:tcW w:w="141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110%</w:t>
            </w:r>
          </w:p>
        </w:tc>
        <w:tc>
          <w:tcPr>
            <w:tcW w:w="1400"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119%</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Este indicador mide el número de niños y niñas menores de 1 años que han recibido las tres dosis de vacunas contra la hepatitis B. Esta vacuna protege contra la Hepatitis B, una enfermedad viral grave que causa daño al hígado.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b/>
          <w:sz w:val="24"/>
          <w:szCs w:val="24"/>
        </w:rPr>
      </w:pPr>
      <w:r w:rsidRPr="00E50B4A">
        <w:rPr>
          <w:rFonts w:ascii="Arial" w:hAnsi="Arial" w:cs="Arial"/>
          <w:sz w:val="24"/>
          <w:szCs w:val="24"/>
        </w:rPr>
        <w:t>En la tabla 14 se presentan los resultados alcanzados en menores de un año para la vacuna contra la hepatitis B, que muestra de manera satisfactoria la evolución de las coberturas  alcanzadas  para este biológico.</w:t>
      </w:r>
    </w:p>
    <w:p w:rsidR="00967F2B" w:rsidRPr="00E50B4A" w:rsidRDefault="00967F2B" w:rsidP="00967F2B">
      <w:pPr>
        <w:pStyle w:val="Sinespaciado"/>
        <w:ind w:left="2124"/>
        <w:jc w:val="center"/>
        <w:rPr>
          <w:rFonts w:ascii="Arial" w:hAnsi="Arial" w:cs="Arial"/>
          <w:b/>
          <w:sz w:val="24"/>
          <w:szCs w:val="24"/>
        </w:rPr>
      </w:pPr>
    </w:p>
    <w:p w:rsidR="00967F2B" w:rsidRPr="00E50B4A" w:rsidRDefault="00967F2B" w:rsidP="00967F2B">
      <w:pPr>
        <w:pStyle w:val="Sinespaciado"/>
        <w:ind w:left="2124"/>
        <w:jc w:val="center"/>
        <w:rPr>
          <w:rFonts w:ascii="Arial" w:hAnsi="Arial" w:cs="Arial"/>
          <w:b/>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15  COBERTURA DE INMUNIZACIÓN CONTRA  EL ROTAVIRUS EN NIÑOS, NIÑAS MENORES DE 1 AÑO</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28"/>
        <w:gridCol w:w="1217"/>
        <w:gridCol w:w="1225"/>
        <w:gridCol w:w="1452"/>
        <w:gridCol w:w="1340"/>
        <w:gridCol w:w="1322"/>
        <w:gridCol w:w="1270"/>
      </w:tblGrid>
      <w:tr w:rsidR="00E50B4A" w:rsidRPr="00E50B4A" w:rsidTr="00967F2B">
        <w:tc>
          <w:tcPr>
            <w:tcW w:w="2445"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15</w:t>
            </w:r>
          </w:p>
          <w:p w:rsidR="00967F2B" w:rsidRPr="00E50B4A" w:rsidRDefault="00967F2B" w:rsidP="00967F2B">
            <w:pPr>
              <w:jc w:val="center"/>
              <w:rPr>
                <w:rFonts w:ascii="Arial" w:hAnsi="Arial" w:cs="Arial"/>
                <w:b/>
                <w:bCs/>
              </w:rPr>
            </w:pPr>
          </w:p>
        </w:tc>
        <w:tc>
          <w:tcPr>
            <w:tcW w:w="5339"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EL ROTAVIRUS EN NIÑOS, NIÑAS MENORES DE 1 AÑO</w:t>
            </w:r>
          </w:p>
        </w:tc>
        <w:tc>
          <w:tcPr>
            <w:tcW w:w="1270"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445"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39"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w:t>
            </w:r>
          </w:p>
        </w:tc>
        <w:tc>
          <w:tcPr>
            <w:tcW w:w="1270"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45"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39"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70"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28"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17"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225"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452"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340"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322"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270"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967F2B" w:rsidRPr="00E50B4A" w:rsidTr="00967F2B">
        <w:tc>
          <w:tcPr>
            <w:tcW w:w="5122" w:type="dxa"/>
            <w:gridSpan w:val="4"/>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NO ESTABA DENTRO DEL PAI</w:t>
            </w:r>
          </w:p>
        </w:tc>
        <w:tc>
          <w:tcPr>
            <w:tcW w:w="134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125%</w:t>
            </w:r>
          </w:p>
        </w:tc>
        <w:tc>
          <w:tcPr>
            <w:tcW w:w="132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96%</w:t>
            </w:r>
          </w:p>
        </w:tc>
        <w:tc>
          <w:tcPr>
            <w:tcW w:w="1270"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96%</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de 1 año vacunados contra el Rotavirus. Un Rotavirus es un virus que causa diarrea grave, sobre todo en  recién nacidos y niños pequeños, con frecuencia es acompañado por vómito y fiebre. El rotavirus no es la única causa de diarrea grave pero si una de las más serias.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Con base a los efectos devastadores ocasionados por este tipo de virus en la población infantil y en base a los estudios científicos de que se podía disminuir sus efectos con la administración de la vacuna, en Colombia se incorpora dentro del Programa Ampliado de inmunizaciones a finales del año 2.008, por ende solamente se tienen datos de coberturas de los años 2.009, 2.010 y 2011, en donde el Municipio de Riosucio alcanzo coberturas utilices superando el promedio Nacional y Departamental.</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16  COBERTURA DE INMUNIZACIÓN CONTRA  EL NEUMOCOCO EN NIÑOS, NIÑAS MENORES DE 1 AÑO</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25"/>
        <w:gridCol w:w="1226"/>
        <w:gridCol w:w="1241"/>
        <w:gridCol w:w="1447"/>
        <w:gridCol w:w="1328"/>
        <w:gridCol w:w="1318"/>
        <w:gridCol w:w="1269"/>
      </w:tblGrid>
      <w:tr w:rsidR="00E50B4A" w:rsidRPr="00E50B4A" w:rsidTr="00967F2B">
        <w:tc>
          <w:tcPr>
            <w:tcW w:w="2451"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16</w:t>
            </w:r>
          </w:p>
          <w:p w:rsidR="00967F2B" w:rsidRPr="00E50B4A" w:rsidRDefault="00967F2B" w:rsidP="00967F2B">
            <w:pPr>
              <w:jc w:val="center"/>
              <w:rPr>
                <w:rFonts w:ascii="Arial" w:hAnsi="Arial" w:cs="Arial"/>
                <w:b/>
                <w:bCs/>
              </w:rPr>
            </w:pPr>
          </w:p>
        </w:tc>
        <w:tc>
          <w:tcPr>
            <w:tcW w:w="5334"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EL NEUMOCOCO EN NIÑOS, NIÑAS MENORES DE 1 AÑO</w:t>
            </w:r>
          </w:p>
        </w:tc>
        <w:tc>
          <w:tcPr>
            <w:tcW w:w="126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451"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34"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AMPLIADO DE INMUNIZACIONES</w:t>
            </w:r>
          </w:p>
        </w:tc>
        <w:tc>
          <w:tcPr>
            <w:tcW w:w="126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51"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34"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6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25"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26"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 xml:space="preserve"> 2006</w:t>
            </w:r>
          </w:p>
        </w:tc>
        <w:tc>
          <w:tcPr>
            <w:tcW w:w="1241"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447"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2008</w:t>
            </w:r>
          </w:p>
        </w:tc>
        <w:tc>
          <w:tcPr>
            <w:tcW w:w="1328"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318"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269"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967F2B" w:rsidRPr="00E50B4A" w:rsidTr="00967F2B">
        <w:tc>
          <w:tcPr>
            <w:tcW w:w="7785" w:type="dxa"/>
            <w:gridSpan w:val="6"/>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NO ESTABA DENTRO DEL PAI</w:t>
            </w:r>
          </w:p>
        </w:tc>
        <w:tc>
          <w:tcPr>
            <w:tcW w:w="1269"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90.4</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de 1 año que han recibido las tres dosis de la vacuna contra el neumococo. El neumococo es una bacteria que puede causar infecciones graves en los pulmones (neumonía), en la sangre (sepsis) y en las membranas que recubren el cerebro (meningitis) que tienen una importante  prevalencia en esta población.</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vacuna de neumococo se ha venido administrando en niños con bajo peso al nacer, pero para el Municipio de Riosucio  a mediados del año 2.010 gracias a la gestión de las diferentes instituciones, se logró que se asignaran dosis para la administración de la población indígena, con base a la experiencia exitosa en otros Departamentos el Ministerio de la Protección Social incorpora a partir del 1 de Noviembre del 2.010 para todos los niños que nacieron después de esa fecha.</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17  COBERTURA DE INMUNIZACIÓN CONTRA DE LA TRIPLE VIRAL EN NIÑOS, NIÑAS DE 1 AÑO</w:t>
      </w:r>
    </w:p>
    <w:tbl>
      <w:tblPr>
        <w:tblpPr w:leftFromText="141" w:rightFromText="141" w:vertAnchor="text" w:horzAnchor="margin" w:tblpXSpec="right" w:tblpY="348"/>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03"/>
        <w:gridCol w:w="1127"/>
        <w:gridCol w:w="1598"/>
        <w:gridCol w:w="1464"/>
        <w:gridCol w:w="1349"/>
        <w:gridCol w:w="1183"/>
        <w:gridCol w:w="1130"/>
      </w:tblGrid>
      <w:tr w:rsidR="00E50B4A" w:rsidRPr="00E50B4A" w:rsidTr="00967F2B">
        <w:tc>
          <w:tcPr>
            <w:tcW w:w="2330"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17</w:t>
            </w:r>
          </w:p>
          <w:p w:rsidR="00967F2B" w:rsidRPr="00E50B4A" w:rsidRDefault="00967F2B" w:rsidP="00967F2B">
            <w:pPr>
              <w:jc w:val="center"/>
              <w:rPr>
                <w:rFonts w:ascii="Arial" w:hAnsi="Arial" w:cs="Arial"/>
                <w:b/>
                <w:bCs/>
              </w:rPr>
            </w:pPr>
          </w:p>
        </w:tc>
        <w:tc>
          <w:tcPr>
            <w:tcW w:w="5594"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DE LA TRIPLE VIRAL NIÑOS, NIÑAS DE 1 AÑO</w:t>
            </w:r>
          </w:p>
        </w:tc>
        <w:tc>
          <w:tcPr>
            <w:tcW w:w="1130"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330"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594"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w:t>
            </w:r>
          </w:p>
        </w:tc>
        <w:tc>
          <w:tcPr>
            <w:tcW w:w="1130"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330"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594"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130"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03"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127"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598"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2007</w:t>
            </w:r>
          </w:p>
        </w:tc>
        <w:tc>
          <w:tcPr>
            <w:tcW w:w="1464"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349"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183"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130" w:type="dxa"/>
            <w:shd w:val="clear" w:color="auto" w:fill="D2EAF1"/>
          </w:tcPr>
          <w:p w:rsidR="00967F2B" w:rsidRPr="00E50B4A" w:rsidRDefault="00967F2B" w:rsidP="00967F2B">
            <w:pPr>
              <w:rPr>
                <w:rFonts w:ascii="Arial" w:hAnsi="Arial" w:cs="Arial"/>
                <w:b/>
              </w:rPr>
            </w:pPr>
            <w:r w:rsidRPr="00E50B4A">
              <w:rPr>
                <w:rFonts w:ascii="Arial" w:hAnsi="Arial" w:cs="Arial"/>
                <w:b/>
              </w:rPr>
              <w:t>2011</w:t>
            </w:r>
          </w:p>
        </w:tc>
      </w:tr>
      <w:tr w:rsidR="00E50B4A" w:rsidRPr="00E50B4A" w:rsidTr="00967F2B">
        <w:tc>
          <w:tcPr>
            <w:tcW w:w="1203"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74%</w:t>
            </w:r>
          </w:p>
        </w:tc>
        <w:tc>
          <w:tcPr>
            <w:tcW w:w="112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73%</w:t>
            </w:r>
          </w:p>
        </w:tc>
        <w:tc>
          <w:tcPr>
            <w:tcW w:w="159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129%</w:t>
            </w:r>
          </w:p>
        </w:tc>
        <w:tc>
          <w:tcPr>
            <w:tcW w:w="146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82%</w:t>
            </w:r>
          </w:p>
        </w:tc>
        <w:tc>
          <w:tcPr>
            <w:tcW w:w="134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100%</w:t>
            </w:r>
          </w:p>
        </w:tc>
        <w:tc>
          <w:tcPr>
            <w:tcW w:w="1183"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 xml:space="preserve"> 121%</w:t>
            </w:r>
          </w:p>
        </w:tc>
        <w:tc>
          <w:tcPr>
            <w:tcW w:w="1130"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98,9</w:t>
            </w:r>
          </w:p>
        </w:tc>
      </w:tr>
    </w:tbl>
    <w:p w:rsidR="00967F2B" w:rsidRPr="00E50B4A" w:rsidRDefault="00967F2B" w:rsidP="00967F2B">
      <w:pPr>
        <w:pStyle w:val="Sinespaciado"/>
        <w:ind w:left="1416" w:firstLine="708"/>
        <w:jc w:val="center"/>
        <w:rPr>
          <w:rFonts w:ascii="Arial" w:hAnsi="Arial" w:cs="Arial"/>
          <w:b/>
          <w:sz w:val="24"/>
          <w:szCs w:val="24"/>
        </w:rPr>
      </w:pPr>
    </w:p>
    <w:p w:rsidR="00967F2B" w:rsidRPr="00E50B4A" w:rsidRDefault="00967F2B" w:rsidP="00967F2B">
      <w:pPr>
        <w:pStyle w:val="Sinespaciado"/>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menores de 1 año vacunados contra la Triple Viral. Esta vacuna son tres biológicos en uno y protege contra el  sarampión la rubéola y las paperas, todas estas enfermedades potencialmente graves para la infancia.</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el municipio de Riosucio se han alcanzado coberturas óptimas para esta vacuna ver tabla17.</w:t>
      </w:r>
    </w:p>
    <w:p w:rsidR="00967F2B" w:rsidRPr="00E50B4A" w:rsidRDefault="00967F2B" w:rsidP="00967F2B">
      <w:pPr>
        <w:autoSpaceDE w:val="0"/>
        <w:autoSpaceDN w:val="0"/>
        <w:adjustRightInd w:val="0"/>
        <w:jc w:val="both"/>
        <w:rPr>
          <w:rFonts w:ascii="Arial" w:hAnsi="Arial" w:cs="Arial"/>
          <w:b/>
          <w:bCs/>
          <w:i/>
          <w:iCs/>
          <w:sz w:val="24"/>
          <w:szCs w:val="24"/>
        </w:rPr>
      </w:pPr>
    </w:p>
    <w:p w:rsidR="00967F2B" w:rsidRPr="00E50B4A" w:rsidRDefault="00967F2B" w:rsidP="00967F2B">
      <w:pPr>
        <w:autoSpaceDE w:val="0"/>
        <w:autoSpaceDN w:val="0"/>
        <w:adjustRightInd w:val="0"/>
        <w:jc w:val="both"/>
        <w:rPr>
          <w:rFonts w:ascii="Arial" w:hAnsi="Arial" w:cs="Arial"/>
          <w:b/>
          <w:bCs/>
          <w:i/>
          <w:iCs/>
          <w:sz w:val="24"/>
          <w:szCs w:val="24"/>
        </w:rPr>
      </w:pPr>
    </w:p>
    <w:p w:rsidR="00967F2B" w:rsidRPr="00E50B4A" w:rsidRDefault="00967F2B" w:rsidP="00967F2B">
      <w:pPr>
        <w:autoSpaceDE w:val="0"/>
        <w:autoSpaceDN w:val="0"/>
        <w:adjustRightInd w:val="0"/>
        <w:jc w:val="both"/>
        <w:rPr>
          <w:rFonts w:ascii="Arial" w:hAnsi="Arial" w:cs="Arial"/>
          <w:b/>
          <w:bCs/>
          <w:i/>
          <w:iCs/>
          <w:sz w:val="24"/>
          <w:szCs w:val="24"/>
        </w:rPr>
      </w:pPr>
    </w:p>
    <w:p w:rsidR="00967F2B" w:rsidRPr="00E50B4A" w:rsidRDefault="00967F2B" w:rsidP="00967F2B">
      <w:pPr>
        <w:autoSpaceDE w:val="0"/>
        <w:autoSpaceDN w:val="0"/>
        <w:adjustRightInd w:val="0"/>
        <w:jc w:val="both"/>
        <w:rPr>
          <w:rFonts w:ascii="Arial" w:hAnsi="Arial" w:cs="Arial"/>
          <w:b/>
          <w:bCs/>
          <w:i/>
          <w:iCs/>
          <w:sz w:val="24"/>
          <w:szCs w:val="24"/>
        </w:rPr>
      </w:pPr>
      <w:r w:rsidRPr="00E50B4A">
        <w:rPr>
          <w:rFonts w:ascii="Arial" w:hAnsi="Arial" w:cs="Arial"/>
          <w:b/>
          <w:bCs/>
          <w:i/>
          <w:iCs/>
          <w:sz w:val="24"/>
          <w:szCs w:val="24"/>
        </w:rPr>
        <w:t>DIFICULTADES:</w:t>
      </w:r>
    </w:p>
    <w:p w:rsidR="00967F2B" w:rsidRPr="00E50B4A" w:rsidRDefault="00967F2B" w:rsidP="00967F2B">
      <w:pPr>
        <w:autoSpaceDE w:val="0"/>
        <w:autoSpaceDN w:val="0"/>
        <w:adjustRightInd w:val="0"/>
        <w:jc w:val="both"/>
        <w:rPr>
          <w:rFonts w:ascii="Arial" w:hAnsi="Arial" w:cs="Arial"/>
          <w:b/>
          <w:bCs/>
          <w:i/>
          <w:iCs/>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El programa de vacunación del Municipio de Caldas, se ejecuta siguiendo las directrices del Ministerio de la Protección social, a pesar que se cuenta con talento humano calificado, este es insuficiente para cumplir con todas las tareas que este programa requiere en el área urbana y rural, Nos afecta el denominador poblacional, estimado por el DANE, quien proyecta para el Municipio de Caldas unos nacimientos muy superiores a la realidad del Municipio.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18  COBERTURA DE INMUNIZACIÓN CONTRA DE LA INFLUENZA EN NIÑOS, NIÑAS MENORES DE 1 AÑO</w:t>
      </w: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74"/>
        <w:gridCol w:w="1274"/>
        <w:gridCol w:w="1273"/>
        <w:gridCol w:w="1415"/>
        <w:gridCol w:w="1274"/>
        <w:gridCol w:w="1273"/>
        <w:gridCol w:w="1271"/>
      </w:tblGrid>
      <w:tr w:rsidR="00E50B4A" w:rsidRPr="00E50B4A" w:rsidTr="00967F2B">
        <w:tc>
          <w:tcPr>
            <w:tcW w:w="2548"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18</w:t>
            </w:r>
          </w:p>
          <w:p w:rsidR="00967F2B" w:rsidRPr="00E50B4A" w:rsidRDefault="00967F2B" w:rsidP="00967F2B">
            <w:pPr>
              <w:jc w:val="center"/>
              <w:rPr>
                <w:rFonts w:ascii="Arial" w:hAnsi="Arial" w:cs="Arial"/>
                <w:b/>
                <w:bCs/>
              </w:rPr>
            </w:pPr>
          </w:p>
        </w:tc>
        <w:tc>
          <w:tcPr>
            <w:tcW w:w="523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rPr>
                <w:rFonts w:ascii="Arial" w:hAnsi="Arial" w:cs="Arial"/>
                <w:b/>
                <w:bCs/>
              </w:rPr>
            </w:pPr>
            <w:r w:rsidRPr="00E50B4A">
              <w:rPr>
                <w:rFonts w:ascii="Arial" w:hAnsi="Arial" w:cs="Arial"/>
                <w:b/>
                <w:bCs/>
              </w:rPr>
              <w:t>COBERTURA DE INMUNIZACIÓN CONTRA  LA INFLUENZA EN NIÑOS, NIÑAS MENORES DE 1 AÑO</w:t>
            </w:r>
          </w:p>
        </w:tc>
        <w:tc>
          <w:tcPr>
            <w:tcW w:w="1271"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rPr>
                <w:rFonts w:ascii="Arial" w:hAnsi="Arial" w:cs="Arial"/>
                <w:b/>
                <w:bCs/>
              </w:rPr>
            </w:pPr>
          </w:p>
        </w:tc>
      </w:tr>
      <w:tr w:rsidR="00E50B4A" w:rsidRPr="00E50B4A" w:rsidTr="00967F2B">
        <w:tc>
          <w:tcPr>
            <w:tcW w:w="2548"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3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DTSC PROGRAMA PAI- NACIDOS VIVOS</w:t>
            </w:r>
          </w:p>
        </w:tc>
        <w:tc>
          <w:tcPr>
            <w:tcW w:w="1271"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548"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3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71"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74"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74"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73"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415"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274"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273" w:type="dxa"/>
            <w:shd w:val="clear" w:color="auto" w:fill="D2EAF1"/>
          </w:tcPr>
          <w:p w:rsidR="00967F2B" w:rsidRPr="00E50B4A" w:rsidRDefault="00967F2B" w:rsidP="00967F2B">
            <w:pPr>
              <w:rPr>
                <w:rFonts w:ascii="Arial" w:hAnsi="Arial" w:cs="Arial"/>
              </w:rPr>
            </w:pPr>
            <w:r w:rsidRPr="00E50B4A">
              <w:rPr>
                <w:rFonts w:ascii="Arial" w:hAnsi="Arial" w:cs="Arial"/>
              </w:rPr>
              <w:t>2010</w:t>
            </w:r>
          </w:p>
        </w:tc>
        <w:tc>
          <w:tcPr>
            <w:tcW w:w="1271"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2548"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No estaba dentro de PAI</w:t>
            </w:r>
          </w:p>
        </w:tc>
        <w:tc>
          <w:tcPr>
            <w:tcW w:w="127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60%</w:t>
            </w:r>
          </w:p>
        </w:tc>
        <w:tc>
          <w:tcPr>
            <w:tcW w:w="141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88%</w:t>
            </w:r>
          </w:p>
        </w:tc>
        <w:tc>
          <w:tcPr>
            <w:tcW w:w="1274"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79%</w:t>
            </w:r>
          </w:p>
        </w:tc>
        <w:tc>
          <w:tcPr>
            <w:tcW w:w="1273"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83%</w:t>
            </w:r>
          </w:p>
        </w:tc>
        <w:tc>
          <w:tcPr>
            <w:tcW w:w="1271"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109%</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Este indicador mide el número de niños y niñas menores de 1 año que han recibido las tres dosis de vacunas contra la influenza. Esta vacuna protege a los niños y en general a todas las personas contra la gripa. La gripa es una enfermedad respiratoria causada por un virus de la influenza.</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Como se ve reflejado en la tabla 18 también en esta vacuna el municipio de Riosucio tiene buenas coberturas.</w:t>
      </w:r>
    </w:p>
    <w:p w:rsidR="00967F2B" w:rsidRPr="00E50B4A" w:rsidRDefault="00967F2B" w:rsidP="00967F2B">
      <w:pPr>
        <w:autoSpaceDE w:val="0"/>
        <w:autoSpaceDN w:val="0"/>
        <w:adjustRightInd w:val="0"/>
        <w:ind w:left="1416"/>
        <w:jc w:val="center"/>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19  PORCENTAJE DE MUJERES GESTANTES QUE ASISTIERON A CONTROL PRENATAL Y QUE SE LES PRACTICARON LA PRUEBA DE VIH (Elisa).</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62"/>
        <w:gridCol w:w="1396"/>
        <w:gridCol w:w="1392"/>
        <w:gridCol w:w="1256"/>
        <w:gridCol w:w="1256"/>
        <w:gridCol w:w="1255"/>
        <w:gridCol w:w="1237"/>
      </w:tblGrid>
      <w:tr w:rsidR="00E50B4A" w:rsidRPr="00E50B4A" w:rsidTr="00967F2B">
        <w:tc>
          <w:tcPr>
            <w:tcW w:w="2658"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19</w:t>
            </w:r>
          </w:p>
          <w:p w:rsidR="00967F2B" w:rsidRPr="00E50B4A" w:rsidRDefault="00967F2B" w:rsidP="00967F2B">
            <w:pPr>
              <w:jc w:val="center"/>
              <w:rPr>
                <w:rFonts w:ascii="Arial" w:hAnsi="Arial" w:cs="Arial"/>
                <w:b/>
                <w:bCs/>
              </w:rPr>
            </w:pPr>
          </w:p>
        </w:tc>
        <w:tc>
          <w:tcPr>
            <w:tcW w:w="5159"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PORCENTAJE DE MUJERES GESTANTES QUE ASISTIERON A CONTROL PRENATAL Y QUE SE LES PRACTICARON LA PRUEBA DE VIH (Elisa).</w:t>
            </w:r>
          </w:p>
        </w:tc>
        <w:tc>
          <w:tcPr>
            <w:tcW w:w="1237"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58"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159"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SIVIGILA, PYP ESE HSJD</w:t>
            </w:r>
          </w:p>
        </w:tc>
        <w:tc>
          <w:tcPr>
            <w:tcW w:w="1237"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58"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159"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37"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62"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396"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392"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256"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256"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255"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237"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967F2B" w:rsidRPr="00E50B4A" w:rsidTr="00967F2B">
        <w:tc>
          <w:tcPr>
            <w:tcW w:w="1262"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100%</w:t>
            </w:r>
          </w:p>
        </w:tc>
        <w:tc>
          <w:tcPr>
            <w:tcW w:w="1396" w:type="dxa"/>
            <w:tcBorders>
              <w:left w:val="nil"/>
              <w:right w:val="nil"/>
            </w:tcBorders>
            <w:shd w:val="clear" w:color="auto" w:fill="auto"/>
          </w:tcPr>
          <w:p w:rsidR="00967F2B" w:rsidRPr="00E50B4A" w:rsidRDefault="00967F2B" w:rsidP="00967F2B">
            <w:pPr>
              <w:jc w:val="center"/>
            </w:pPr>
            <w:r w:rsidRPr="00E50B4A">
              <w:rPr>
                <w:rFonts w:ascii="Arial" w:hAnsi="Arial" w:cs="Arial"/>
              </w:rPr>
              <w:t>100%</w:t>
            </w:r>
          </w:p>
        </w:tc>
        <w:tc>
          <w:tcPr>
            <w:tcW w:w="1392" w:type="dxa"/>
            <w:tcBorders>
              <w:left w:val="nil"/>
              <w:right w:val="nil"/>
            </w:tcBorders>
            <w:shd w:val="clear" w:color="auto" w:fill="auto"/>
          </w:tcPr>
          <w:p w:rsidR="00967F2B" w:rsidRPr="00E50B4A" w:rsidRDefault="00967F2B" w:rsidP="00967F2B">
            <w:pPr>
              <w:jc w:val="center"/>
            </w:pPr>
            <w:r w:rsidRPr="00E50B4A">
              <w:rPr>
                <w:rFonts w:ascii="Arial" w:hAnsi="Arial" w:cs="Arial"/>
              </w:rPr>
              <w:t>100%</w:t>
            </w:r>
          </w:p>
        </w:tc>
        <w:tc>
          <w:tcPr>
            <w:tcW w:w="1256" w:type="dxa"/>
            <w:tcBorders>
              <w:left w:val="nil"/>
              <w:right w:val="nil"/>
            </w:tcBorders>
            <w:shd w:val="clear" w:color="auto" w:fill="auto"/>
          </w:tcPr>
          <w:p w:rsidR="00967F2B" w:rsidRPr="00E50B4A" w:rsidRDefault="00967F2B" w:rsidP="00967F2B">
            <w:pPr>
              <w:jc w:val="center"/>
            </w:pPr>
            <w:r w:rsidRPr="00E50B4A">
              <w:rPr>
                <w:rFonts w:ascii="Arial" w:hAnsi="Arial" w:cs="Arial"/>
              </w:rPr>
              <w:t>100%</w:t>
            </w:r>
          </w:p>
        </w:tc>
        <w:tc>
          <w:tcPr>
            <w:tcW w:w="1256" w:type="dxa"/>
            <w:tcBorders>
              <w:left w:val="nil"/>
              <w:right w:val="nil"/>
            </w:tcBorders>
            <w:shd w:val="clear" w:color="auto" w:fill="auto"/>
          </w:tcPr>
          <w:p w:rsidR="00967F2B" w:rsidRPr="00E50B4A" w:rsidRDefault="00967F2B" w:rsidP="00967F2B">
            <w:pPr>
              <w:jc w:val="center"/>
            </w:pPr>
            <w:r w:rsidRPr="00E50B4A">
              <w:rPr>
                <w:rFonts w:ascii="Arial" w:hAnsi="Arial" w:cs="Arial"/>
              </w:rPr>
              <w:t>100%</w:t>
            </w:r>
          </w:p>
        </w:tc>
        <w:tc>
          <w:tcPr>
            <w:tcW w:w="1255" w:type="dxa"/>
            <w:tcBorders>
              <w:left w:val="nil"/>
              <w:right w:val="nil"/>
            </w:tcBorders>
            <w:shd w:val="clear" w:color="auto" w:fill="auto"/>
          </w:tcPr>
          <w:p w:rsidR="00967F2B" w:rsidRPr="00E50B4A" w:rsidRDefault="00967F2B" w:rsidP="00967F2B">
            <w:pPr>
              <w:jc w:val="center"/>
            </w:pPr>
            <w:r w:rsidRPr="00E50B4A">
              <w:rPr>
                <w:rFonts w:ascii="Arial" w:hAnsi="Arial" w:cs="Arial"/>
              </w:rPr>
              <w:t>100%</w:t>
            </w:r>
          </w:p>
        </w:tc>
        <w:tc>
          <w:tcPr>
            <w:tcW w:w="1237"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100%</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eastAsia="Calibri" w:hAnsi="Arial" w:cs="Arial"/>
          <w:sz w:val="24"/>
          <w:szCs w:val="24"/>
        </w:rPr>
        <w:t xml:space="preserve"> Indicador: Indica del total de mujeres gestantes que asistieron a control prenatal, que porcentaje de ellas se practicaron la prueba Elisa para la detección del VIH.</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Default"/>
        <w:jc w:val="both"/>
        <w:rPr>
          <w:color w:val="auto"/>
        </w:rPr>
      </w:pPr>
      <w:r w:rsidRPr="00E50B4A">
        <w:rPr>
          <w:color w:val="auto"/>
        </w:rPr>
        <w:t>La captación temprana de una gestante al control prenatal, permite realizar el tamizaje para VIH en las gestantes y en caso de tener un resultado positivo, completar el proceso de  diagnóstico y en caso de confirmarse el caso como VIH, cumplir con un protocolo que disminuye el riesgo de transmisión vertical de la madre al hijo.</w:t>
      </w:r>
    </w:p>
    <w:p w:rsidR="00967F2B" w:rsidRPr="00E50B4A" w:rsidRDefault="00967F2B" w:rsidP="00967F2B">
      <w:pPr>
        <w:pStyle w:val="Default"/>
        <w:jc w:val="both"/>
        <w:rPr>
          <w:color w:val="auto"/>
        </w:rPr>
      </w:pPr>
      <w:r w:rsidRPr="00E50B4A">
        <w:rPr>
          <w:color w:val="auto"/>
        </w:rPr>
        <w:t xml:space="preserve"> </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En el Municipio de Riosucio se viene implementando la Estrategia para la Reducción de la Transmisión Perinatal del VIH desde los últimos años, Se ha logrado un importante compromiso de los diferentes actores del Sistema General de Seguridad Social en Salud, como, EPS e instituciones prestadoras. Se observa </w:t>
      </w:r>
      <w:r w:rsidR="007C30B6" w:rsidRPr="00E50B4A">
        <w:rPr>
          <w:rFonts w:ascii="Arial" w:hAnsi="Arial" w:cs="Arial"/>
          <w:sz w:val="24"/>
          <w:szCs w:val="24"/>
        </w:rPr>
        <w:t>en el perí</w:t>
      </w:r>
      <w:r w:rsidRPr="00E50B4A">
        <w:rPr>
          <w:rFonts w:ascii="Arial" w:hAnsi="Arial" w:cs="Arial"/>
          <w:sz w:val="24"/>
          <w:szCs w:val="24"/>
        </w:rPr>
        <w:t>odo 2005 a 2011, que la cobertura de tamizaje para VIH es del 100% en gestantes captadas en control.</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20 TASA DE TRANSMISIÓN MATERNO INFANTIL DE VIH</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63"/>
        <w:gridCol w:w="1397"/>
        <w:gridCol w:w="1254"/>
        <w:gridCol w:w="1255"/>
        <w:gridCol w:w="1392"/>
        <w:gridCol w:w="1254"/>
        <w:gridCol w:w="1239"/>
      </w:tblGrid>
      <w:tr w:rsidR="00E50B4A" w:rsidRPr="00E50B4A" w:rsidTr="00967F2B">
        <w:tc>
          <w:tcPr>
            <w:tcW w:w="2660"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20</w:t>
            </w:r>
          </w:p>
          <w:p w:rsidR="00967F2B" w:rsidRPr="00E50B4A" w:rsidRDefault="00967F2B" w:rsidP="00967F2B">
            <w:pPr>
              <w:jc w:val="center"/>
              <w:rPr>
                <w:rFonts w:ascii="Arial" w:hAnsi="Arial" w:cs="Arial"/>
                <w:b/>
                <w:bCs/>
              </w:rPr>
            </w:pPr>
          </w:p>
        </w:tc>
        <w:tc>
          <w:tcPr>
            <w:tcW w:w="515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TASA DE TRANSMISIÓN MATERNO INFANTIL DE VIH</w:t>
            </w:r>
          </w:p>
        </w:tc>
        <w:tc>
          <w:tcPr>
            <w:tcW w:w="123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60"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15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23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60"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15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3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63"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397"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2006</w:t>
            </w:r>
          </w:p>
        </w:tc>
        <w:tc>
          <w:tcPr>
            <w:tcW w:w="1254"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255"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92"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254" w:type="dxa"/>
            <w:shd w:val="clear" w:color="auto" w:fill="D2EAF1"/>
          </w:tcPr>
          <w:p w:rsidR="00967F2B" w:rsidRPr="00E50B4A" w:rsidRDefault="00967F2B" w:rsidP="00967F2B">
            <w:pPr>
              <w:rPr>
                <w:rFonts w:ascii="Arial" w:hAnsi="Arial" w:cs="Arial"/>
              </w:rPr>
            </w:pPr>
            <w:r w:rsidRPr="00E50B4A">
              <w:rPr>
                <w:rFonts w:ascii="Arial" w:hAnsi="Arial" w:cs="Arial"/>
              </w:rPr>
              <w:t>2010</w:t>
            </w:r>
          </w:p>
        </w:tc>
        <w:tc>
          <w:tcPr>
            <w:tcW w:w="1239"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967F2B" w:rsidRPr="00E50B4A" w:rsidTr="00967F2B">
        <w:tc>
          <w:tcPr>
            <w:tcW w:w="1263"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0</w:t>
            </w:r>
          </w:p>
        </w:tc>
        <w:tc>
          <w:tcPr>
            <w:tcW w:w="139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5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392"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0</w:t>
            </w:r>
          </w:p>
        </w:tc>
        <w:tc>
          <w:tcPr>
            <w:tcW w:w="1254" w:type="dxa"/>
            <w:tcBorders>
              <w:left w:val="nil"/>
              <w:right w:val="nil"/>
            </w:tcBorders>
            <w:shd w:val="clear" w:color="auto" w:fill="auto"/>
          </w:tcPr>
          <w:p w:rsidR="00967F2B" w:rsidRPr="00E50B4A" w:rsidRDefault="00967F2B" w:rsidP="00967F2B">
            <w:pPr>
              <w:rPr>
                <w:rFonts w:ascii="Arial" w:hAnsi="Arial" w:cs="Arial"/>
              </w:rPr>
            </w:pPr>
            <w:r w:rsidRPr="00E50B4A">
              <w:rPr>
                <w:rFonts w:ascii="Arial" w:hAnsi="Arial" w:cs="Arial"/>
              </w:rPr>
              <w:t>0</w:t>
            </w:r>
          </w:p>
        </w:tc>
        <w:tc>
          <w:tcPr>
            <w:tcW w:w="1239" w:type="dxa"/>
            <w:tcBorders>
              <w:left w:val="nil"/>
            </w:tcBorders>
            <w:shd w:val="clear" w:color="auto" w:fill="auto"/>
          </w:tcPr>
          <w:p w:rsidR="00967F2B" w:rsidRPr="00E50B4A" w:rsidRDefault="00967F2B" w:rsidP="00967F2B">
            <w:pPr>
              <w:rPr>
                <w:rFonts w:ascii="Arial" w:hAnsi="Arial" w:cs="Arial"/>
              </w:rPr>
            </w:pPr>
            <w:r w:rsidRPr="00E50B4A">
              <w:rPr>
                <w:rFonts w:ascii="Arial" w:hAnsi="Arial" w:cs="Arial"/>
              </w:rPr>
              <w:t>0</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bCs/>
          <w:sz w:val="24"/>
          <w:szCs w:val="24"/>
        </w:rPr>
        <w:t xml:space="preserve">Definición: </w:t>
      </w:r>
      <w:r w:rsidRPr="00E50B4A">
        <w:rPr>
          <w:rFonts w:ascii="Arial" w:hAnsi="Arial" w:cs="Arial"/>
          <w:sz w:val="24"/>
          <w:szCs w:val="24"/>
        </w:rPr>
        <w:t xml:space="preserve">Para un período de tiempo específico, señala la proporción de niños, niñas nacidos vivos infectados con VIH en relación con los niños, niñas nacidos de madres infectadas con VIH </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bCs/>
          <w:sz w:val="24"/>
          <w:szCs w:val="24"/>
        </w:rPr>
        <w:t xml:space="preserve">Interpretación: </w:t>
      </w:r>
      <w:r w:rsidRPr="00E50B4A">
        <w:rPr>
          <w:rFonts w:ascii="Arial" w:hAnsi="Arial" w:cs="Arial"/>
          <w:sz w:val="24"/>
          <w:szCs w:val="24"/>
        </w:rPr>
        <w:t>Indica el riesgo que tiene los niños y niñas nacidos de madres infectadas con VIH que sean positivos para el VIH.</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rPr>
          <w:rFonts w:ascii="Arial" w:hAnsi="Arial" w:cs="Arial"/>
          <w:b/>
          <w:sz w:val="24"/>
          <w:szCs w:val="24"/>
        </w:rPr>
      </w:pPr>
      <w:r w:rsidRPr="00E50B4A">
        <w:rPr>
          <w:rFonts w:ascii="Arial" w:hAnsi="Arial" w:cs="Arial"/>
          <w:b/>
          <w:sz w:val="24"/>
          <w:szCs w:val="24"/>
        </w:rPr>
        <w:t>TABLA GESTANTES VIH POSITIVOS  VS RN VIH POSITIVOS</w:t>
      </w:r>
    </w:p>
    <w:tbl>
      <w:tblPr>
        <w:tblpPr w:leftFromText="141" w:rightFromText="141" w:vertAnchor="text" w:horzAnchor="page" w:tblpX="5281" w:tblpY="203"/>
        <w:tblW w:w="360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4A0" w:firstRow="1" w:lastRow="0" w:firstColumn="1" w:lastColumn="0" w:noHBand="0" w:noVBand="1"/>
      </w:tblPr>
      <w:tblGrid>
        <w:gridCol w:w="1200"/>
        <w:gridCol w:w="1200"/>
        <w:gridCol w:w="1200"/>
      </w:tblGrid>
      <w:tr w:rsidR="00E50B4A" w:rsidRPr="00E50B4A" w:rsidTr="00967F2B">
        <w:trPr>
          <w:trHeight w:val="300"/>
        </w:trPr>
        <w:tc>
          <w:tcPr>
            <w:tcW w:w="1200" w:type="dxa"/>
            <w:tcBorders>
              <w:top w:val="single" w:sz="8" w:space="0" w:color="8064A2"/>
              <w:left w:val="single" w:sz="8" w:space="0" w:color="8064A2"/>
              <w:bottom w:val="single" w:sz="18" w:space="0" w:color="8064A2"/>
              <w:right w:val="single" w:sz="8" w:space="0" w:color="8064A2"/>
            </w:tcBorders>
            <w:shd w:val="clear" w:color="auto" w:fill="auto"/>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AÑO</w:t>
            </w:r>
          </w:p>
        </w:tc>
        <w:tc>
          <w:tcPr>
            <w:tcW w:w="1200" w:type="dxa"/>
            <w:tcBorders>
              <w:top w:val="single" w:sz="8" w:space="0" w:color="8064A2"/>
              <w:left w:val="single" w:sz="8" w:space="0" w:color="8064A2"/>
              <w:bottom w:val="single" w:sz="1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b/>
                <w:bCs/>
                <w:lang w:eastAsia="es-CO"/>
              </w:rPr>
            </w:pPr>
            <w:r w:rsidRPr="00E50B4A">
              <w:rPr>
                <w:rFonts w:ascii="Calibri" w:hAnsi="Calibri" w:cs="Calibri"/>
                <w:b/>
                <w:bCs/>
                <w:lang w:eastAsia="es-CO"/>
              </w:rPr>
              <w:t>RN VIH +</w:t>
            </w:r>
          </w:p>
        </w:tc>
        <w:tc>
          <w:tcPr>
            <w:tcW w:w="1200" w:type="dxa"/>
            <w:tcBorders>
              <w:top w:val="single" w:sz="8" w:space="0" w:color="8064A2"/>
              <w:left w:val="single" w:sz="8" w:space="0" w:color="8064A2"/>
              <w:bottom w:val="single" w:sz="1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b/>
                <w:bCs/>
                <w:lang w:eastAsia="es-CO"/>
              </w:rPr>
            </w:pPr>
            <w:r w:rsidRPr="00E50B4A">
              <w:rPr>
                <w:rFonts w:ascii="Calibri" w:hAnsi="Calibri" w:cs="Calibri"/>
                <w:b/>
                <w:bCs/>
                <w:lang w:eastAsia="es-CO"/>
              </w:rPr>
              <w:t>MADRES VIH+</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2005</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2006</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1</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2007</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2008</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1</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2009</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1</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2010</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auto"/>
            <w:noWrap/>
            <w:hideMark/>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1</w:t>
            </w:r>
          </w:p>
        </w:tc>
      </w:tr>
      <w:tr w:rsidR="00E50B4A" w:rsidRPr="00E50B4A" w:rsidTr="00967F2B">
        <w:trPr>
          <w:trHeight w:val="300"/>
        </w:trPr>
        <w:tc>
          <w:tcPr>
            <w:tcW w:w="1200" w:type="dxa"/>
            <w:tcBorders>
              <w:top w:val="single" w:sz="8" w:space="0" w:color="8064A2"/>
              <w:left w:val="single" w:sz="8" w:space="0" w:color="8064A2"/>
              <w:bottom w:val="single" w:sz="8" w:space="0" w:color="8064A2"/>
              <w:right w:val="single" w:sz="8" w:space="0" w:color="8064A2"/>
            </w:tcBorders>
            <w:shd w:val="clear" w:color="auto" w:fill="DFD8E8"/>
            <w:noWrap/>
          </w:tcPr>
          <w:p w:rsidR="00967F2B" w:rsidRPr="00E50B4A" w:rsidRDefault="00967F2B" w:rsidP="00967F2B">
            <w:pPr>
              <w:rPr>
                <w:rFonts w:ascii="Calibri" w:hAnsi="Calibri" w:cs="Calibri"/>
                <w:b/>
                <w:bCs/>
                <w:lang w:eastAsia="es-CO"/>
              </w:rPr>
            </w:pPr>
            <w:r w:rsidRPr="00E50B4A">
              <w:rPr>
                <w:rFonts w:ascii="Calibri" w:hAnsi="Calibri" w:cs="Calibri"/>
                <w:b/>
                <w:bCs/>
                <w:lang w:eastAsia="es-CO"/>
              </w:rPr>
              <w:t>2011</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0</w:t>
            </w:r>
          </w:p>
        </w:tc>
        <w:tc>
          <w:tcPr>
            <w:tcW w:w="1200" w:type="dxa"/>
            <w:tcBorders>
              <w:top w:val="single" w:sz="8" w:space="0" w:color="8064A2"/>
              <w:left w:val="single" w:sz="8" w:space="0" w:color="8064A2"/>
              <w:bottom w:val="single" w:sz="8" w:space="0" w:color="8064A2"/>
              <w:right w:val="single" w:sz="8" w:space="0" w:color="8064A2"/>
            </w:tcBorders>
            <w:shd w:val="clear" w:color="auto" w:fill="DFD8E8"/>
            <w:noWrap/>
          </w:tcPr>
          <w:p w:rsidR="00967F2B" w:rsidRPr="00E50B4A" w:rsidRDefault="00967F2B" w:rsidP="00967F2B">
            <w:pPr>
              <w:jc w:val="center"/>
              <w:rPr>
                <w:rFonts w:ascii="Calibri" w:hAnsi="Calibri" w:cs="Calibri"/>
                <w:lang w:eastAsia="es-CO"/>
              </w:rPr>
            </w:pPr>
            <w:r w:rsidRPr="00E50B4A">
              <w:rPr>
                <w:rFonts w:ascii="Calibri" w:hAnsi="Calibri" w:cs="Calibri"/>
                <w:lang w:eastAsia="es-CO"/>
              </w:rPr>
              <w:t>2</w:t>
            </w:r>
          </w:p>
        </w:tc>
      </w:tr>
    </w:tbl>
    <w:p w:rsidR="00967F2B" w:rsidRPr="00E50B4A" w:rsidRDefault="00967F2B" w:rsidP="00967F2B">
      <w:pPr>
        <w:autoSpaceDE w:val="0"/>
        <w:autoSpaceDN w:val="0"/>
        <w:adjustRightInd w:val="0"/>
        <w:jc w:val="center"/>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A través del programa de transmisión vertical del VIH y la captación temprana del control prenatal ha permitido una  detección precoz de la infección por VIH tener una mayor efectividad en el logro del objetivo de reducir la transmisión materno- infantil del VIH.</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 Durante los últimos 6 años se ha logrado mantener en 0 la tasa de transmisión materna infantil del VIH, para lo cual se ha cumplido con las siguientes acciones:</w:t>
      </w:r>
    </w:p>
    <w:p w:rsidR="00967F2B" w:rsidRPr="00E50B4A" w:rsidRDefault="00967F2B" w:rsidP="00967F2B">
      <w:pPr>
        <w:autoSpaceDE w:val="0"/>
        <w:autoSpaceDN w:val="0"/>
        <w:adjustRightInd w:val="0"/>
        <w:ind w:left="1416"/>
        <w:jc w:val="both"/>
        <w:rPr>
          <w:rFonts w:ascii="Arial" w:hAnsi="Arial" w:cs="Arial"/>
          <w:sz w:val="24"/>
          <w:szCs w:val="24"/>
        </w:rPr>
      </w:pPr>
    </w:p>
    <w:p w:rsidR="00967F2B" w:rsidRPr="00E50B4A" w:rsidRDefault="00967F2B" w:rsidP="00133AB9">
      <w:pPr>
        <w:pStyle w:val="Prrafodelista"/>
        <w:autoSpaceDE w:val="0"/>
        <w:autoSpaceDN w:val="0"/>
        <w:adjustRightInd w:val="0"/>
        <w:spacing w:after="0" w:line="240" w:lineRule="auto"/>
        <w:rPr>
          <w:rFonts w:ascii="Arial" w:hAnsi="Arial" w:cs="Arial"/>
          <w:sz w:val="24"/>
          <w:szCs w:val="24"/>
        </w:rPr>
      </w:pPr>
      <w:r w:rsidRPr="00E50B4A">
        <w:rPr>
          <w:rFonts w:ascii="Symbol" w:hAnsi="Symbol" w:cs="Symbol"/>
          <w:sz w:val="24"/>
          <w:szCs w:val="24"/>
        </w:rPr>
        <w:t></w:t>
      </w:r>
      <w:r w:rsidRPr="00E50B4A">
        <w:rPr>
          <w:rFonts w:ascii="Arial" w:hAnsi="Arial" w:cs="Arial"/>
          <w:sz w:val="24"/>
          <w:szCs w:val="24"/>
        </w:rPr>
        <w:t>Tratamiento antirretroviral a partir de la semana 14 de gestación.</w:t>
      </w:r>
    </w:p>
    <w:p w:rsidR="00967F2B" w:rsidRPr="00E50B4A" w:rsidRDefault="00967F2B" w:rsidP="00967F2B">
      <w:pPr>
        <w:pStyle w:val="Prrafodelista"/>
        <w:numPr>
          <w:ilvl w:val="0"/>
          <w:numId w:val="31"/>
        </w:numPr>
        <w:autoSpaceDE w:val="0"/>
        <w:autoSpaceDN w:val="0"/>
        <w:adjustRightInd w:val="0"/>
        <w:spacing w:after="0" w:line="240" w:lineRule="auto"/>
        <w:rPr>
          <w:rFonts w:ascii="Arial" w:hAnsi="Arial" w:cs="Arial"/>
          <w:sz w:val="24"/>
          <w:szCs w:val="24"/>
        </w:rPr>
      </w:pPr>
      <w:r w:rsidRPr="00E50B4A">
        <w:rPr>
          <w:rFonts w:ascii="Arial" w:hAnsi="Arial" w:cs="Arial"/>
          <w:sz w:val="24"/>
          <w:szCs w:val="24"/>
        </w:rPr>
        <w:t>Exámenes complementarios como carga viral y recuento linfocitario en el primer trimestre y en la semana 34 de gestación y al recién nacido al mes y a los seis meses de edad.</w:t>
      </w:r>
    </w:p>
    <w:p w:rsidR="00967F2B" w:rsidRPr="00E50B4A" w:rsidRDefault="00967F2B" w:rsidP="00967F2B">
      <w:pPr>
        <w:pStyle w:val="Prrafodelista"/>
        <w:numPr>
          <w:ilvl w:val="0"/>
          <w:numId w:val="31"/>
        </w:numPr>
        <w:autoSpaceDE w:val="0"/>
        <w:autoSpaceDN w:val="0"/>
        <w:adjustRightInd w:val="0"/>
        <w:spacing w:after="0" w:line="240" w:lineRule="auto"/>
        <w:rPr>
          <w:rFonts w:ascii="Arial" w:hAnsi="Arial" w:cs="Arial"/>
          <w:sz w:val="24"/>
          <w:szCs w:val="24"/>
        </w:rPr>
      </w:pPr>
      <w:r w:rsidRPr="00E50B4A">
        <w:rPr>
          <w:rFonts w:ascii="Arial" w:hAnsi="Arial" w:cs="Arial"/>
          <w:sz w:val="24"/>
          <w:szCs w:val="24"/>
        </w:rPr>
        <w:t>Atención de ginecólogo y cesárea como electiva terapéutica en la semana 38 o 39 semanas de gestación.</w:t>
      </w:r>
    </w:p>
    <w:p w:rsidR="00967F2B" w:rsidRPr="00E50B4A" w:rsidRDefault="00967F2B" w:rsidP="00967F2B">
      <w:pPr>
        <w:pStyle w:val="Prrafodelista"/>
        <w:numPr>
          <w:ilvl w:val="0"/>
          <w:numId w:val="31"/>
        </w:numPr>
        <w:autoSpaceDE w:val="0"/>
        <w:autoSpaceDN w:val="0"/>
        <w:adjustRightInd w:val="0"/>
        <w:spacing w:after="0" w:line="240" w:lineRule="auto"/>
        <w:rPr>
          <w:rFonts w:ascii="Arial" w:hAnsi="Arial" w:cs="Arial"/>
          <w:sz w:val="24"/>
          <w:szCs w:val="24"/>
        </w:rPr>
      </w:pPr>
      <w:r w:rsidRPr="00E50B4A">
        <w:rPr>
          <w:rFonts w:ascii="Arial" w:hAnsi="Arial" w:cs="Arial"/>
          <w:sz w:val="24"/>
          <w:szCs w:val="24"/>
        </w:rPr>
        <w:t>Tratamiento profiláctico para el recién nacido de madre positiva para VIH.</w:t>
      </w:r>
    </w:p>
    <w:p w:rsidR="00967F2B" w:rsidRPr="00E50B4A" w:rsidRDefault="00967F2B" w:rsidP="00967F2B">
      <w:pPr>
        <w:pStyle w:val="Prrafodelista"/>
        <w:numPr>
          <w:ilvl w:val="0"/>
          <w:numId w:val="31"/>
        </w:numPr>
        <w:autoSpaceDE w:val="0"/>
        <w:autoSpaceDN w:val="0"/>
        <w:adjustRightInd w:val="0"/>
        <w:spacing w:after="0" w:line="240" w:lineRule="auto"/>
        <w:rPr>
          <w:rFonts w:ascii="Arial" w:hAnsi="Arial" w:cs="Arial"/>
          <w:sz w:val="24"/>
          <w:szCs w:val="24"/>
        </w:rPr>
      </w:pPr>
      <w:r w:rsidRPr="00E50B4A">
        <w:rPr>
          <w:rFonts w:ascii="Arial" w:hAnsi="Arial" w:cs="Arial"/>
          <w:sz w:val="24"/>
          <w:szCs w:val="24"/>
        </w:rPr>
        <w:t>Suministro de formula láctea al recién nacido de gestante positiva por 6 meses.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ind w:left="1276"/>
        <w:rPr>
          <w:rFonts w:ascii="Arial" w:hAnsi="Arial" w:cs="Arial"/>
          <w:noProof/>
        </w:rPr>
      </w:pPr>
    </w:p>
    <w:p w:rsidR="00967F2B" w:rsidRPr="00E50B4A" w:rsidRDefault="00967F2B" w:rsidP="00967F2B">
      <w:pPr>
        <w:ind w:left="1276"/>
        <w:rPr>
          <w:rFonts w:ascii="Arial" w:hAnsi="Arial" w:cs="Arial"/>
          <w:noProof/>
        </w:rPr>
      </w:pP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21 PORCENTAJE DE EMBARAZOS EN MUJERES ADOLESCENTES</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415"/>
        <w:gridCol w:w="1273"/>
        <w:gridCol w:w="1274"/>
        <w:gridCol w:w="1274"/>
        <w:gridCol w:w="1274"/>
        <w:gridCol w:w="1273"/>
        <w:gridCol w:w="1271"/>
      </w:tblGrid>
      <w:tr w:rsidR="00E50B4A" w:rsidRPr="00E50B4A" w:rsidTr="00967F2B">
        <w:tc>
          <w:tcPr>
            <w:tcW w:w="2688"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21</w:t>
            </w:r>
          </w:p>
          <w:p w:rsidR="00967F2B" w:rsidRPr="00E50B4A" w:rsidRDefault="00967F2B" w:rsidP="00967F2B">
            <w:pPr>
              <w:jc w:val="center"/>
              <w:rPr>
                <w:rFonts w:ascii="Arial" w:hAnsi="Arial" w:cs="Arial"/>
                <w:b/>
                <w:bCs/>
              </w:rPr>
            </w:pPr>
          </w:p>
        </w:tc>
        <w:tc>
          <w:tcPr>
            <w:tcW w:w="509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PORCENTAJE DE EMBARAZOS EN MUJERES ADOLESCENTES</w:t>
            </w:r>
          </w:p>
        </w:tc>
        <w:tc>
          <w:tcPr>
            <w:tcW w:w="1271"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88"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095" w:type="dxa"/>
            <w:gridSpan w:val="4"/>
            <w:shd w:val="clear" w:color="auto" w:fill="D2EAF1"/>
          </w:tcPr>
          <w:p w:rsidR="00967F2B" w:rsidRPr="00E50B4A" w:rsidRDefault="00967F2B" w:rsidP="00967F2B">
            <w:pPr>
              <w:rPr>
                <w:rFonts w:ascii="Arial" w:hAnsi="Arial" w:cs="Arial"/>
              </w:rPr>
            </w:pPr>
            <w:r w:rsidRPr="00E50B4A">
              <w:rPr>
                <w:rFonts w:ascii="Arial" w:hAnsi="Arial" w:cs="Arial"/>
              </w:rPr>
              <w:t xml:space="preserve"> SIVIGILA, PYP ESE HSJD</w:t>
            </w:r>
          </w:p>
        </w:tc>
        <w:tc>
          <w:tcPr>
            <w:tcW w:w="1271" w:type="dxa"/>
            <w:shd w:val="clear" w:color="auto" w:fill="D2EAF1"/>
          </w:tcPr>
          <w:p w:rsidR="00967F2B" w:rsidRPr="00E50B4A" w:rsidRDefault="00967F2B" w:rsidP="00967F2B">
            <w:pPr>
              <w:rPr>
                <w:rFonts w:ascii="Arial" w:hAnsi="Arial" w:cs="Arial"/>
              </w:rPr>
            </w:pPr>
          </w:p>
        </w:tc>
      </w:tr>
      <w:tr w:rsidR="00E50B4A" w:rsidRPr="00E50B4A" w:rsidTr="00967F2B">
        <w:tc>
          <w:tcPr>
            <w:tcW w:w="2688"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09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71"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415"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73"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74"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274"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274"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273"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71"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c>
          <w:tcPr>
            <w:tcW w:w="1415"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10</w:t>
            </w:r>
          </w:p>
        </w:tc>
        <w:tc>
          <w:tcPr>
            <w:tcW w:w="127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w:t>
            </w:r>
          </w:p>
        </w:tc>
        <w:tc>
          <w:tcPr>
            <w:tcW w:w="127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14</w:t>
            </w:r>
          </w:p>
        </w:tc>
        <w:tc>
          <w:tcPr>
            <w:tcW w:w="127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w:t>
            </w:r>
          </w:p>
        </w:tc>
        <w:tc>
          <w:tcPr>
            <w:tcW w:w="127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13,6</w:t>
            </w:r>
          </w:p>
        </w:tc>
        <w:tc>
          <w:tcPr>
            <w:tcW w:w="1273"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13,2</w:t>
            </w:r>
          </w:p>
        </w:tc>
        <w:tc>
          <w:tcPr>
            <w:tcW w:w="1271"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10,6</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133AB9" w:rsidP="00967F2B">
      <w:pPr>
        <w:autoSpaceDE w:val="0"/>
        <w:autoSpaceDN w:val="0"/>
        <w:adjustRightInd w:val="0"/>
        <w:jc w:val="both"/>
        <w:rPr>
          <w:rFonts w:ascii="Arial" w:hAnsi="Arial" w:cs="Arial"/>
          <w:sz w:val="24"/>
          <w:szCs w:val="24"/>
        </w:rPr>
      </w:pPr>
      <w:r w:rsidRPr="00E50B4A">
        <w:rPr>
          <w:rFonts w:ascii="Arial" w:hAnsi="Arial" w:cs="Arial"/>
          <w:sz w:val="24"/>
          <w:szCs w:val="24"/>
        </w:rPr>
        <w:t>I</w:t>
      </w:r>
      <w:r w:rsidR="00967F2B" w:rsidRPr="00E50B4A">
        <w:rPr>
          <w:rFonts w:ascii="Arial" w:hAnsi="Arial" w:cs="Arial"/>
          <w:sz w:val="24"/>
          <w:szCs w:val="24"/>
        </w:rPr>
        <w:t>ndica del total de gestantes el porcentaje corresponde a mujeres adolescentes menores de 18 años. Señala la proporción de mujeres que tienen un mayor riesgo para su salud, supervivencia y desarrollo por quedar embarazadas tempranamente. Igualmente indica el porcentaje de niños y niñas que nacen de mujeres adolescentes y que por lo tanto tienen una mayor probabilidad de riesgo para su salud, supervivencia y desarrollo. El riesgo de muerte materna es el doble cuando se trata de partos en adolescentes, en comparación con mujeres adultas.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iCs/>
          <w:sz w:val="24"/>
          <w:szCs w:val="24"/>
        </w:rPr>
      </w:pPr>
      <w:r w:rsidRPr="00E50B4A">
        <w:rPr>
          <w:rFonts w:ascii="Arial" w:hAnsi="Arial" w:cs="Arial"/>
          <w:iCs/>
          <w:sz w:val="24"/>
          <w:szCs w:val="24"/>
        </w:rPr>
        <w:t>En la gráfica  se observa, que del año 2005-2011, el embarazos en adolescentes  se mantiene con una media de 12%, la mayor proporción de embarazos se encuentran en el grupo de edad entre los 15 y 17 años, al realizar un análisis al programa de salud sexual y reproductiva se encuentra que hay aspectos socioculturales relacionados  con el ejercicio de la sexualidad, la maternidad, la planificación y el amor, que inciden en el aumento del embazo en adolecentes en nuestra población, siendo el Resguardo Indígena de San Lorenzo quien reporta la mayor proporción de embarazos en adolescentes para el Municipio en especial las comunidades de San Jerónimo, Lomitas, San José, Blandón, Pasmi y el centro poblado de San Lorenzo.</w:t>
      </w:r>
    </w:p>
    <w:p w:rsidR="00967F2B" w:rsidRPr="00E50B4A" w:rsidRDefault="00967F2B" w:rsidP="00967F2B">
      <w:pPr>
        <w:autoSpaceDE w:val="0"/>
        <w:autoSpaceDN w:val="0"/>
        <w:adjustRightInd w:val="0"/>
        <w:jc w:val="both"/>
        <w:rPr>
          <w:rFonts w:ascii="Arial" w:hAnsi="Arial" w:cs="Arial"/>
          <w:iCs/>
          <w:sz w:val="24"/>
          <w:szCs w:val="24"/>
        </w:rPr>
      </w:pPr>
    </w:p>
    <w:p w:rsidR="00967F2B" w:rsidRPr="00E50B4A" w:rsidRDefault="00967F2B" w:rsidP="00967F2B">
      <w:pPr>
        <w:pStyle w:val="Sinespaciado"/>
        <w:jc w:val="both"/>
        <w:rPr>
          <w:rFonts w:ascii="Arial" w:hAnsi="Arial" w:cs="Arial"/>
          <w:b/>
          <w:sz w:val="24"/>
          <w:szCs w:val="24"/>
        </w:rPr>
      </w:pPr>
    </w:p>
    <w:p w:rsidR="00967F2B" w:rsidRPr="00E50B4A" w:rsidRDefault="00967F2B" w:rsidP="00967F2B">
      <w:pPr>
        <w:pStyle w:val="Sinespaciado"/>
        <w:jc w:val="both"/>
        <w:rPr>
          <w:rFonts w:ascii="Arial" w:hAnsi="Arial" w:cs="Arial"/>
          <w:b/>
          <w:sz w:val="24"/>
          <w:szCs w:val="24"/>
        </w:rPr>
      </w:pPr>
      <w:r w:rsidRPr="00E50B4A">
        <w:rPr>
          <w:rFonts w:ascii="Arial" w:hAnsi="Arial" w:cs="Arial"/>
          <w:b/>
          <w:sz w:val="24"/>
          <w:szCs w:val="24"/>
        </w:rPr>
        <w:t>TABLA INDICADOR No 22 PORCENTAJE DE MUJERES GESTANTES CON SIFILIS QUE HAN SIDO DIAGNOSTICADAS Y TRATADAS ANTES DE LA SEMANA 17</w:t>
      </w:r>
    </w:p>
    <w:p w:rsidR="00967F2B" w:rsidRPr="00E50B4A" w:rsidRDefault="00967F2B" w:rsidP="00967F2B">
      <w:pPr>
        <w:pStyle w:val="Sinespaciado"/>
        <w:rPr>
          <w:rFonts w:ascii="Arial" w:hAnsi="Arial" w:cs="Arial"/>
          <w:b/>
          <w:sz w:val="24"/>
          <w:szCs w:val="24"/>
        </w:rPr>
      </w:pPr>
    </w:p>
    <w:p w:rsidR="00967F2B" w:rsidRPr="00E50B4A" w:rsidRDefault="00967F2B" w:rsidP="00967F2B">
      <w:pPr>
        <w:pStyle w:val="Sinespaciado"/>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62"/>
        <w:gridCol w:w="1259"/>
        <w:gridCol w:w="1255"/>
        <w:gridCol w:w="1391"/>
        <w:gridCol w:w="1392"/>
        <w:gridCol w:w="1256"/>
        <w:gridCol w:w="1239"/>
      </w:tblGrid>
      <w:tr w:rsidR="00E50B4A" w:rsidRPr="00E50B4A" w:rsidTr="00967F2B">
        <w:tc>
          <w:tcPr>
            <w:tcW w:w="2521"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22</w:t>
            </w:r>
          </w:p>
          <w:p w:rsidR="00967F2B" w:rsidRPr="00E50B4A" w:rsidRDefault="00967F2B" w:rsidP="00967F2B">
            <w:pPr>
              <w:jc w:val="center"/>
              <w:rPr>
                <w:rFonts w:ascii="Arial" w:hAnsi="Arial" w:cs="Arial"/>
                <w:b/>
                <w:bCs/>
              </w:rPr>
            </w:pPr>
          </w:p>
        </w:tc>
        <w:tc>
          <w:tcPr>
            <w:tcW w:w="5294"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PORCENTAJE DE MUJERES GESTANTES CON SIFILIS QUE HAN SIDO DIAGNOSTICADAS Y TRATADAS ANTES DE LA SEMANA 17</w:t>
            </w:r>
          </w:p>
        </w:tc>
        <w:tc>
          <w:tcPr>
            <w:tcW w:w="123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521"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94"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23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521"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94"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3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62"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259"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55" w:type="dxa"/>
            <w:shd w:val="clear" w:color="auto" w:fill="D2EAF1"/>
          </w:tcPr>
          <w:p w:rsidR="00967F2B" w:rsidRPr="00E50B4A" w:rsidRDefault="00967F2B" w:rsidP="00967F2B">
            <w:pPr>
              <w:jc w:val="center"/>
              <w:rPr>
                <w:rFonts w:ascii="Arial" w:hAnsi="Arial" w:cs="Arial"/>
              </w:rPr>
            </w:pPr>
            <w:r w:rsidRPr="00E50B4A">
              <w:rPr>
                <w:rFonts w:ascii="Arial" w:hAnsi="Arial" w:cs="Arial"/>
              </w:rPr>
              <w:t xml:space="preserve"> 2007</w:t>
            </w:r>
          </w:p>
        </w:tc>
        <w:tc>
          <w:tcPr>
            <w:tcW w:w="1391"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92"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256"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39"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c>
          <w:tcPr>
            <w:tcW w:w="1262"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0</w:t>
            </w:r>
          </w:p>
        </w:tc>
        <w:tc>
          <w:tcPr>
            <w:tcW w:w="125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39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50%</w:t>
            </w:r>
          </w:p>
        </w:tc>
        <w:tc>
          <w:tcPr>
            <w:tcW w:w="139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75%</w:t>
            </w:r>
          </w:p>
        </w:tc>
        <w:tc>
          <w:tcPr>
            <w:tcW w:w="125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100%</w:t>
            </w:r>
          </w:p>
        </w:tc>
        <w:tc>
          <w:tcPr>
            <w:tcW w:w="1239"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80%</w:t>
            </w:r>
          </w:p>
        </w:tc>
      </w:tr>
    </w:tbl>
    <w:p w:rsidR="00967F2B" w:rsidRPr="00E50B4A" w:rsidRDefault="00967F2B" w:rsidP="00967F2B">
      <w:pPr>
        <w:autoSpaceDE w:val="0"/>
        <w:autoSpaceDN w:val="0"/>
        <w:adjustRightInd w:val="0"/>
        <w:ind w:left="708" w:firstLine="708"/>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INDICADOR</w:t>
      </w:r>
      <w:r w:rsidRPr="00E50B4A">
        <w:rPr>
          <w:rFonts w:ascii="Arial" w:hAnsi="Arial" w:cs="Arial"/>
          <w:sz w:val="24"/>
          <w:szCs w:val="24"/>
        </w:rPr>
        <w:t>: muestra la oportunidad del diagnóstico y el tratamiento de la sífilis en mujeres gestantes. Establece el porcentaje de mujeres con diagnóstico de Sífilis Gestacional que fueron oportunamente tratadas antes de la semana 17, evitando la transmisión de sífilis congénita al recién nacido. La norma técnica de atención de la gestante establece la obligatoriedad de realizar tamizaje para sífilis en el primer control prenatal.</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tabla22. Podemos evidenciar que el porcentaje de captación oportuna de los casos de sífilis Gestacional ha estado en aumento.</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Dentro de las acciones que se han venido efectuando son las capacitaciones al personal médico de la E.S.E., así mismo la implementación del manual de procedimientos de la estrategia para la Reducción de la Trasmisión perinatal de la Sífilis Congénita, vigilancia de casos a través del Subsistema de seguimiento de casos de Sífilis Gestacional y Sífilis Congénita, Unidades de análisis de casos de Sífilis Gestacional, acciones de inspección, vigilancia y control a los actores del Sistema de Salud, en el cumplimiento de la normatividad en Sífilis Gestacional y Sífilis Congénita.</w:t>
      </w:r>
    </w:p>
    <w:p w:rsidR="00967F2B" w:rsidRPr="00E50B4A" w:rsidRDefault="00967F2B" w:rsidP="00967F2B">
      <w:pPr>
        <w:pStyle w:val="Sinespaciado"/>
        <w:ind w:left="1416" w:firstLine="708"/>
        <w:jc w:val="both"/>
        <w:rPr>
          <w:rFonts w:ascii="Arial" w:hAnsi="Arial" w:cs="Arial"/>
          <w:b/>
          <w:sz w:val="24"/>
          <w:szCs w:val="24"/>
        </w:rPr>
      </w:pPr>
    </w:p>
    <w:p w:rsidR="00967F2B" w:rsidRPr="00E50B4A" w:rsidRDefault="00967F2B" w:rsidP="00967F2B">
      <w:pPr>
        <w:pStyle w:val="Sinespaciado"/>
        <w:jc w:val="both"/>
        <w:rPr>
          <w:rFonts w:ascii="Arial" w:hAnsi="Arial" w:cs="Arial"/>
          <w:b/>
          <w:sz w:val="24"/>
          <w:szCs w:val="24"/>
        </w:rPr>
      </w:pPr>
      <w:r w:rsidRPr="00E50B4A">
        <w:rPr>
          <w:rFonts w:ascii="Arial" w:hAnsi="Arial" w:cs="Arial"/>
          <w:b/>
          <w:sz w:val="24"/>
          <w:szCs w:val="24"/>
        </w:rPr>
        <w:t>TABLA INDICADOR No 23 TASA DE SILIFIS CONGENITA</w:t>
      </w:r>
    </w:p>
    <w:p w:rsidR="00967F2B" w:rsidRPr="00E50B4A" w:rsidRDefault="00967F2B" w:rsidP="00967F2B">
      <w:pPr>
        <w:pStyle w:val="Sinespaciado"/>
        <w:ind w:left="1416" w:firstLine="708"/>
        <w:jc w:val="both"/>
        <w:rPr>
          <w:rFonts w:ascii="Arial" w:hAnsi="Arial" w:cs="Arial"/>
          <w:b/>
          <w:sz w:val="24"/>
          <w:szCs w:val="24"/>
        </w:rPr>
      </w:pPr>
    </w:p>
    <w:tbl>
      <w:tblPr>
        <w:tblpPr w:leftFromText="141" w:rightFromText="141" w:vertAnchor="text" w:horzAnchor="page" w:tblpX="2239" w:tblpY="22"/>
        <w:tblW w:w="8897"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76"/>
        <w:gridCol w:w="1418"/>
        <w:gridCol w:w="1275"/>
        <w:gridCol w:w="1418"/>
        <w:gridCol w:w="1276"/>
        <w:gridCol w:w="1275"/>
        <w:gridCol w:w="959"/>
      </w:tblGrid>
      <w:tr w:rsidR="00E50B4A" w:rsidRPr="00E50B4A" w:rsidTr="00967F2B">
        <w:tc>
          <w:tcPr>
            <w:tcW w:w="2694"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23</w:t>
            </w:r>
          </w:p>
          <w:p w:rsidR="00967F2B" w:rsidRPr="00E50B4A" w:rsidRDefault="00967F2B" w:rsidP="00967F2B">
            <w:pPr>
              <w:jc w:val="center"/>
              <w:rPr>
                <w:rFonts w:ascii="Arial" w:hAnsi="Arial" w:cs="Arial"/>
                <w:b/>
                <w:bCs/>
              </w:rPr>
            </w:pPr>
          </w:p>
        </w:tc>
        <w:tc>
          <w:tcPr>
            <w:tcW w:w="5244"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TASA DE SILIFIS CONGENITA</w:t>
            </w:r>
          </w:p>
        </w:tc>
        <w:tc>
          <w:tcPr>
            <w:tcW w:w="95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94"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244"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95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94"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244"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95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76"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418"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75"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418"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276" w:type="dxa"/>
            <w:shd w:val="clear" w:color="auto" w:fill="D2EAF1"/>
          </w:tcPr>
          <w:p w:rsidR="00967F2B" w:rsidRPr="00E50B4A" w:rsidRDefault="00967F2B" w:rsidP="00967F2B">
            <w:pPr>
              <w:rPr>
                <w:rFonts w:ascii="Arial" w:hAnsi="Arial" w:cs="Arial"/>
              </w:rPr>
            </w:pPr>
            <w:r w:rsidRPr="00E50B4A">
              <w:rPr>
                <w:rFonts w:ascii="Arial" w:hAnsi="Arial" w:cs="Arial"/>
              </w:rPr>
              <w:t>2009</w:t>
            </w:r>
          </w:p>
        </w:tc>
        <w:tc>
          <w:tcPr>
            <w:tcW w:w="1275"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959" w:type="dxa"/>
            <w:shd w:val="clear" w:color="auto" w:fill="D2EAF1"/>
          </w:tcPr>
          <w:p w:rsidR="00967F2B" w:rsidRPr="00E50B4A" w:rsidRDefault="00967F2B" w:rsidP="00967F2B">
            <w:pPr>
              <w:rPr>
                <w:rFonts w:ascii="Arial" w:hAnsi="Arial" w:cs="Arial"/>
              </w:rPr>
            </w:pPr>
            <w:r w:rsidRPr="00E50B4A">
              <w:rPr>
                <w:rFonts w:ascii="Arial" w:hAnsi="Arial" w:cs="Arial"/>
              </w:rPr>
              <w:t>2011</w:t>
            </w:r>
          </w:p>
        </w:tc>
      </w:tr>
      <w:tr w:rsidR="00E50B4A" w:rsidRPr="00E50B4A" w:rsidTr="00967F2B">
        <w:tc>
          <w:tcPr>
            <w:tcW w:w="1276"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1</w:t>
            </w:r>
          </w:p>
        </w:tc>
        <w:tc>
          <w:tcPr>
            <w:tcW w:w="141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w:t>
            </w:r>
          </w:p>
        </w:tc>
        <w:tc>
          <w:tcPr>
            <w:tcW w:w="127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418"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76"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127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c>
          <w:tcPr>
            <w:tcW w:w="959"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0</w:t>
            </w:r>
          </w:p>
        </w:tc>
      </w:tr>
    </w:tbl>
    <w:p w:rsidR="00967F2B" w:rsidRPr="00E50B4A" w:rsidRDefault="00967F2B" w:rsidP="00967F2B">
      <w:pPr>
        <w:pStyle w:val="Sinespaciado"/>
        <w:ind w:left="1416" w:firstLine="708"/>
        <w:jc w:val="both"/>
        <w:rPr>
          <w:rFonts w:ascii="Arial" w:hAnsi="Arial" w:cs="Arial"/>
          <w:b/>
          <w:sz w:val="24"/>
          <w:szCs w:val="24"/>
        </w:rPr>
      </w:pPr>
    </w:p>
    <w:p w:rsidR="00967F2B" w:rsidRPr="00E50B4A" w:rsidRDefault="00967F2B" w:rsidP="00967F2B">
      <w:pPr>
        <w:pStyle w:val="Sinespaciado"/>
        <w:ind w:left="1416" w:firstLine="708"/>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bCs/>
          <w:iCs/>
          <w:sz w:val="24"/>
          <w:szCs w:val="24"/>
        </w:rPr>
        <w:t>La tasa de sífilis congénita por 1.000 nacidos vivos</w:t>
      </w:r>
      <w:r w:rsidRPr="00E50B4A">
        <w:rPr>
          <w:rFonts w:ascii="Arial" w:hAnsi="Arial" w:cs="Arial"/>
          <w:sz w:val="24"/>
          <w:szCs w:val="24"/>
        </w:rPr>
        <w:t>: establece la proporción de niños, niñas nacidos vivos infectados con Sífilis Congénita, sobre el total de nacidos vivos (x 1000).</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En la tabla anterior se puede confirmar que para los años 2005 y 2006 se detectaron gestantes en edades gestacionales demasiado avanzadas lo cual no permitió un adecuado manejo para la disminución de la transmisión vertical de la Sífilis, por ende desde ese año se viene implantando las diferentes estrategias de mejoramiento como las jornadas de capacitación al personal médico en la Resolución 0412 de 2.000.</w:t>
      </w:r>
    </w:p>
    <w:p w:rsidR="00967F2B" w:rsidRPr="00E50B4A" w:rsidRDefault="00967F2B" w:rsidP="00967F2B">
      <w:pPr>
        <w:pStyle w:val="Sinespaciado"/>
        <w:jc w:val="both"/>
        <w:rPr>
          <w:rFonts w:ascii="Arial" w:hAnsi="Arial" w:cs="Arial"/>
          <w:b/>
          <w:sz w:val="24"/>
          <w:szCs w:val="24"/>
        </w:rPr>
      </w:pPr>
    </w:p>
    <w:p w:rsidR="00967F2B" w:rsidRPr="00E50B4A" w:rsidRDefault="00967F2B" w:rsidP="00967F2B">
      <w:pPr>
        <w:pStyle w:val="Sinespaciado"/>
        <w:jc w:val="both"/>
        <w:rPr>
          <w:rFonts w:ascii="Arial" w:hAnsi="Arial" w:cs="Arial"/>
          <w:b/>
          <w:sz w:val="24"/>
          <w:szCs w:val="24"/>
        </w:rPr>
      </w:pPr>
      <w:r w:rsidRPr="00E50B4A">
        <w:rPr>
          <w:rFonts w:ascii="Arial" w:hAnsi="Arial" w:cs="Arial"/>
          <w:b/>
          <w:sz w:val="24"/>
          <w:szCs w:val="24"/>
        </w:rPr>
        <w:t>TABLA INDICADOR No 24 CINCO PRIMERAS CAUSAS DE MORBILIDAD EN MENORES DE 5 AÑOS</w:t>
      </w:r>
    </w:p>
    <w:p w:rsidR="00967F2B" w:rsidRPr="00E50B4A" w:rsidRDefault="00967F2B" w:rsidP="00967F2B">
      <w:pPr>
        <w:pStyle w:val="Sinespaciado"/>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Indicado</w:t>
      </w:r>
      <w:r w:rsidRPr="00E50B4A">
        <w:rPr>
          <w:rFonts w:ascii="Arial" w:hAnsi="Arial" w:cs="Arial"/>
          <w:sz w:val="24"/>
          <w:szCs w:val="24"/>
        </w:rPr>
        <w:t xml:space="preserve">r: </w:t>
      </w:r>
      <w:r w:rsidRPr="00E50B4A">
        <w:rPr>
          <w:rFonts w:ascii="Arial" w:hAnsi="Arial" w:cs="Arial"/>
          <w:bCs/>
          <w:sz w:val="24"/>
          <w:szCs w:val="24"/>
        </w:rPr>
        <w:t>p</w:t>
      </w:r>
      <w:r w:rsidR="00133AB9" w:rsidRPr="00E50B4A">
        <w:rPr>
          <w:rFonts w:ascii="Arial" w:hAnsi="Arial" w:cs="Arial"/>
          <w:sz w:val="24"/>
          <w:szCs w:val="24"/>
        </w:rPr>
        <w:t>ara un perí</w:t>
      </w:r>
      <w:r w:rsidRPr="00E50B4A">
        <w:rPr>
          <w:rFonts w:ascii="Arial" w:hAnsi="Arial" w:cs="Arial"/>
          <w:sz w:val="24"/>
          <w:szCs w:val="24"/>
        </w:rPr>
        <w:t>odo de tiempo específico, indican cuáles son las cinco causas de mayor frecuencia por las que los niños y las niñas entre 0 y 5 años asisten a consulta externa. Muestra el comportamiento de la estructura de morbilidad por consulta externa para este grupo de población, permitiendo concentrar esfuerzos en las causas más frecuentes y evitables.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rPr>
          <w:rFonts w:ascii="Arial" w:hAnsi="Arial" w:cs="Arial"/>
          <w:b/>
          <w:sz w:val="24"/>
          <w:szCs w:val="24"/>
        </w:rPr>
      </w:pPr>
      <w:r w:rsidRPr="00E50B4A">
        <w:rPr>
          <w:rFonts w:ascii="Arial" w:hAnsi="Arial" w:cs="Arial"/>
          <w:b/>
          <w:sz w:val="24"/>
          <w:szCs w:val="24"/>
        </w:rPr>
        <w:t>MORBILIDAD DE 0-5 AÑOS</w:t>
      </w:r>
    </w:p>
    <w:p w:rsidR="00967F2B" w:rsidRPr="00E50B4A" w:rsidRDefault="00967F2B" w:rsidP="00967F2B">
      <w:pPr>
        <w:autoSpaceDE w:val="0"/>
        <w:autoSpaceDN w:val="0"/>
        <w:adjustRightInd w:val="0"/>
        <w:rPr>
          <w:rFonts w:ascii="Arial" w:hAnsi="Arial" w:cs="Arial"/>
          <w:b/>
          <w:sz w:val="24"/>
          <w:szCs w:val="24"/>
        </w:rPr>
      </w:pPr>
    </w:p>
    <w:tbl>
      <w:tblPr>
        <w:tblpPr w:leftFromText="141" w:rightFromText="141" w:vertAnchor="text" w:horzAnchor="margin" w:tblpXSpec="center" w:tblpY="-64"/>
        <w:tblW w:w="8005"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76"/>
        <w:gridCol w:w="1417"/>
        <w:gridCol w:w="1276"/>
        <w:gridCol w:w="1418"/>
        <w:gridCol w:w="1275"/>
        <w:gridCol w:w="1343"/>
      </w:tblGrid>
      <w:tr w:rsidR="00E50B4A" w:rsidRPr="00E50B4A" w:rsidTr="00967F2B">
        <w:tc>
          <w:tcPr>
            <w:tcW w:w="2693"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23</w:t>
            </w:r>
          </w:p>
          <w:p w:rsidR="00967F2B" w:rsidRPr="00E50B4A" w:rsidRDefault="00967F2B" w:rsidP="00967F2B">
            <w:pPr>
              <w:jc w:val="center"/>
              <w:rPr>
                <w:rFonts w:ascii="Arial" w:hAnsi="Arial" w:cs="Arial"/>
                <w:b/>
                <w:bCs/>
              </w:rPr>
            </w:pPr>
          </w:p>
        </w:tc>
        <w:tc>
          <w:tcPr>
            <w:tcW w:w="5312" w:type="dxa"/>
            <w:gridSpan w:val="4"/>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CINCO PRIMERAS CAUSAS DE MORBILIDAD EN MENORES DE 5 AÑOS</w:t>
            </w:r>
          </w:p>
        </w:tc>
      </w:tr>
      <w:tr w:rsidR="00E50B4A" w:rsidRPr="00E50B4A" w:rsidTr="00967F2B">
        <w:tc>
          <w:tcPr>
            <w:tcW w:w="2693"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12"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r>
      <w:tr w:rsidR="00E50B4A" w:rsidRPr="00E50B4A" w:rsidTr="00967F2B">
        <w:tc>
          <w:tcPr>
            <w:tcW w:w="2693"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12" w:type="dxa"/>
            <w:gridSpan w:val="4"/>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r>
      <w:tr w:rsidR="00E50B4A" w:rsidRPr="00E50B4A" w:rsidTr="00967F2B">
        <w:tc>
          <w:tcPr>
            <w:tcW w:w="1276"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417"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276"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2007</w:t>
            </w:r>
          </w:p>
        </w:tc>
        <w:tc>
          <w:tcPr>
            <w:tcW w:w="1418"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275" w:type="dxa"/>
            <w:shd w:val="clear" w:color="auto" w:fill="D2EAF1"/>
          </w:tcPr>
          <w:p w:rsidR="00967F2B" w:rsidRPr="00E50B4A" w:rsidRDefault="00967F2B" w:rsidP="00967F2B">
            <w:pPr>
              <w:rPr>
                <w:rFonts w:ascii="Arial" w:hAnsi="Arial" w:cs="Arial"/>
                <w:b/>
              </w:rPr>
            </w:pPr>
            <w:r w:rsidRPr="00E50B4A">
              <w:rPr>
                <w:rFonts w:ascii="Arial" w:hAnsi="Arial" w:cs="Arial"/>
                <w:b/>
              </w:rPr>
              <w:t>2009</w:t>
            </w:r>
          </w:p>
        </w:tc>
        <w:tc>
          <w:tcPr>
            <w:tcW w:w="1343" w:type="dxa"/>
            <w:shd w:val="clear" w:color="auto" w:fill="D2EAF1"/>
          </w:tcPr>
          <w:p w:rsidR="00967F2B" w:rsidRPr="00E50B4A" w:rsidRDefault="00967F2B" w:rsidP="00967F2B">
            <w:pPr>
              <w:rPr>
                <w:rFonts w:ascii="Arial" w:hAnsi="Arial" w:cs="Arial"/>
                <w:b/>
              </w:rPr>
            </w:pPr>
            <w:r w:rsidRPr="00E50B4A">
              <w:rPr>
                <w:rFonts w:ascii="Arial" w:hAnsi="Arial" w:cs="Arial"/>
                <w:b/>
              </w:rPr>
              <w:t>2010</w:t>
            </w:r>
          </w:p>
        </w:tc>
      </w:tr>
    </w:tbl>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p>
    <w:tbl>
      <w:tblPr>
        <w:tblpPr w:leftFromText="141" w:rightFromText="141" w:vertAnchor="text" w:horzAnchor="page" w:tblpX="2271" w:tblpY="-574"/>
        <w:tblW w:w="5781"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676"/>
        <w:gridCol w:w="4245"/>
        <w:gridCol w:w="860"/>
      </w:tblGrid>
      <w:tr w:rsidR="00E50B4A" w:rsidRPr="00E50B4A" w:rsidTr="00967F2B">
        <w:trPr>
          <w:trHeight w:val="290"/>
        </w:trPr>
        <w:tc>
          <w:tcPr>
            <w:tcW w:w="5781"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2005</w:t>
            </w:r>
          </w:p>
        </w:tc>
      </w:tr>
      <w:tr w:rsidR="00E50B4A" w:rsidRPr="00E50B4A" w:rsidTr="00967F2B">
        <w:trPr>
          <w:trHeight w:val="144"/>
        </w:trPr>
        <w:tc>
          <w:tcPr>
            <w:tcW w:w="67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245" w:type="dxa"/>
            <w:shd w:val="clear" w:color="auto" w:fill="D2EAF1"/>
            <w:noWrap/>
            <w:hideMark/>
          </w:tcPr>
          <w:p w:rsidR="00967F2B" w:rsidRPr="00E50B4A" w:rsidRDefault="00967F2B" w:rsidP="00967F2B">
            <w:pPr>
              <w:jc w:val="center"/>
              <w:rPr>
                <w:rFonts w:ascii="Arial" w:hAnsi="Arial" w:cs="Arial"/>
                <w:b/>
                <w:sz w:val="16"/>
                <w:szCs w:val="16"/>
                <w:lang w:eastAsia="es-CO"/>
              </w:rPr>
            </w:pPr>
            <w:r w:rsidRPr="00E50B4A">
              <w:rPr>
                <w:rFonts w:ascii="Arial" w:hAnsi="Arial" w:cs="Arial"/>
                <w:b/>
                <w:sz w:val="16"/>
                <w:szCs w:val="16"/>
                <w:lang w:eastAsia="es-CO"/>
              </w:rPr>
              <w:t>DIAGNOSTICO</w:t>
            </w:r>
          </w:p>
        </w:tc>
        <w:tc>
          <w:tcPr>
            <w:tcW w:w="860" w:type="dxa"/>
            <w:shd w:val="clear" w:color="auto" w:fill="D2EAF1"/>
            <w:noWrap/>
            <w:hideMark/>
          </w:tcPr>
          <w:p w:rsidR="00967F2B" w:rsidRPr="00E50B4A" w:rsidRDefault="00967F2B" w:rsidP="00967F2B">
            <w:pPr>
              <w:jc w:val="center"/>
              <w:rPr>
                <w:rFonts w:ascii="Arial" w:hAnsi="Arial" w:cs="Arial"/>
                <w:b/>
                <w:sz w:val="16"/>
                <w:szCs w:val="16"/>
                <w:lang w:eastAsia="es-CO"/>
              </w:rPr>
            </w:pPr>
            <w:r w:rsidRPr="00E50B4A">
              <w:rPr>
                <w:rFonts w:ascii="Arial" w:hAnsi="Arial" w:cs="Arial"/>
                <w:b/>
                <w:sz w:val="16"/>
                <w:szCs w:val="16"/>
                <w:lang w:eastAsia="es-CO"/>
              </w:rPr>
              <w:t xml:space="preserve">No </w:t>
            </w:r>
          </w:p>
        </w:tc>
      </w:tr>
      <w:tr w:rsidR="00E50B4A" w:rsidRPr="00E50B4A" w:rsidTr="00967F2B">
        <w:trPr>
          <w:trHeight w:val="290"/>
        </w:trPr>
        <w:tc>
          <w:tcPr>
            <w:tcW w:w="67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245" w:type="dxa"/>
            <w:tcBorders>
              <w:left w:val="nil"/>
              <w:right w:val="nil"/>
            </w:tcBorders>
            <w:shd w:val="clear" w:color="auto" w:fill="auto"/>
            <w:hideMark/>
          </w:tcPr>
          <w:p w:rsidR="00967F2B" w:rsidRPr="00E50B4A" w:rsidRDefault="00967F2B" w:rsidP="00967F2B">
            <w:pPr>
              <w:jc w:val="both"/>
              <w:rPr>
                <w:rFonts w:ascii="Arial" w:hAnsi="Arial" w:cs="Arial"/>
                <w:sz w:val="16"/>
                <w:szCs w:val="16"/>
                <w:lang w:eastAsia="es-CO"/>
              </w:rPr>
            </w:pPr>
            <w:r w:rsidRPr="00E50B4A">
              <w:rPr>
                <w:rFonts w:ascii="Arial" w:hAnsi="Arial" w:cs="Arial"/>
                <w:sz w:val="16"/>
                <w:szCs w:val="16"/>
                <w:lang w:eastAsia="es-CO"/>
              </w:rPr>
              <w:t>INFECCION RESPIRATORIA AGUDA</w:t>
            </w:r>
          </w:p>
        </w:tc>
        <w:tc>
          <w:tcPr>
            <w:tcW w:w="860"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2202</w:t>
            </w:r>
          </w:p>
        </w:tc>
      </w:tr>
      <w:tr w:rsidR="00E50B4A" w:rsidRPr="00E50B4A" w:rsidTr="00967F2B">
        <w:trPr>
          <w:trHeight w:val="290"/>
        </w:trPr>
        <w:tc>
          <w:tcPr>
            <w:tcW w:w="67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245" w:type="dxa"/>
            <w:shd w:val="clear" w:color="auto" w:fill="D2EAF1"/>
            <w:hideMark/>
          </w:tcPr>
          <w:p w:rsidR="00967F2B" w:rsidRPr="00E50B4A" w:rsidRDefault="00967F2B" w:rsidP="00967F2B">
            <w:pPr>
              <w:jc w:val="both"/>
              <w:rPr>
                <w:rFonts w:ascii="Arial" w:hAnsi="Arial" w:cs="Arial"/>
                <w:sz w:val="16"/>
                <w:szCs w:val="16"/>
                <w:lang w:eastAsia="es-CO"/>
              </w:rPr>
            </w:pPr>
            <w:r w:rsidRPr="00E50B4A">
              <w:rPr>
                <w:rFonts w:ascii="Arial" w:hAnsi="Arial" w:cs="Arial"/>
                <w:sz w:val="16"/>
                <w:szCs w:val="16"/>
                <w:lang w:eastAsia="es-CO"/>
              </w:rPr>
              <w:t>ENFERMEDADES DE PIEL Y TEJIDO SUBCUTANEO</w:t>
            </w:r>
          </w:p>
        </w:tc>
        <w:tc>
          <w:tcPr>
            <w:tcW w:w="860"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1357</w:t>
            </w:r>
          </w:p>
        </w:tc>
      </w:tr>
      <w:tr w:rsidR="00E50B4A" w:rsidRPr="00E50B4A" w:rsidTr="00967F2B">
        <w:trPr>
          <w:trHeight w:val="290"/>
        </w:trPr>
        <w:tc>
          <w:tcPr>
            <w:tcW w:w="67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245" w:type="dxa"/>
            <w:tcBorders>
              <w:left w:val="nil"/>
              <w:right w:val="nil"/>
            </w:tcBorders>
            <w:shd w:val="clear" w:color="auto" w:fill="auto"/>
            <w:hideMark/>
          </w:tcPr>
          <w:p w:rsidR="00967F2B" w:rsidRPr="00E50B4A" w:rsidRDefault="00967F2B" w:rsidP="00967F2B">
            <w:pPr>
              <w:jc w:val="both"/>
              <w:rPr>
                <w:rFonts w:ascii="Arial" w:hAnsi="Arial" w:cs="Arial"/>
                <w:sz w:val="16"/>
                <w:szCs w:val="16"/>
                <w:lang w:eastAsia="es-CO"/>
              </w:rPr>
            </w:pPr>
            <w:r w:rsidRPr="00E50B4A">
              <w:rPr>
                <w:rFonts w:ascii="Arial" w:hAnsi="Arial" w:cs="Arial"/>
                <w:sz w:val="16"/>
                <w:szCs w:val="16"/>
                <w:lang w:eastAsia="es-CO"/>
              </w:rPr>
              <w:t>ENFERMEDAD DIARREICA AGUDA</w:t>
            </w:r>
          </w:p>
        </w:tc>
        <w:tc>
          <w:tcPr>
            <w:tcW w:w="860"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831</w:t>
            </w:r>
          </w:p>
        </w:tc>
      </w:tr>
      <w:tr w:rsidR="00E50B4A" w:rsidRPr="00E50B4A" w:rsidTr="00967F2B">
        <w:trPr>
          <w:trHeight w:val="290"/>
        </w:trPr>
        <w:tc>
          <w:tcPr>
            <w:tcW w:w="67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245" w:type="dxa"/>
            <w:shd w:val="clear" w:color="auto" w:fill="D2EAF1"/>
            <w:noWrap/>
            <w:hideMark/>
          </w:tcPr>
          <w:p w:rsidR="00967F2B" w:rsidRPr="00E50B4A" w:rsidRDefault="00967F2B" w:rsidP="00967F2B">
            <w:pPr>
              <w:jc w:val="both"/>
              <w:rPr>
                <w:rFonts w:ascii="Arial" w:hAnsi="Arial" w:cs="Arial"/>
                <w:sz w:val="16"/>
                <w:szCs w:val="16"/>
                <w:lang w:eastAsia="es-CO"/>
              </w:rPr>
            </w:pPr>
            <w:r w:rsidRPr="00E50B4A">
              <w:rPr>
                <w:rFonts w:ascii="Arial" w:hAnsi="Arial" w:cs="Arial"/>
                <w:sz w:val="16"/>
                <w:szCs w:val="16"/>
                <w:lang w:eastAsia="es-CO"/>
              </w:rPr>
              <w:t>ENFERMEDAD DEL OIDO Y LA APOFISIS MASTOIDEA</w:t>
            </w:r>
          </w:p>
        </w:tc>
        <w:tc>
          <w:tcPr>
            <w:tcW w:w="860"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464</w:t>
            </w:r>
          </w:p>
        </w:tc>
      </w:tr>
      <w:tr w:rsidR="00E50B4A" w:rsidRPr="00E50B4A" w:rsidTr="00967F2B">
        <w:trPr>
          <w:trHeight w:val="290"/>
        </w:trPr>
        <w:tc>
          <w:tcPr>
            <w:tcW w:w="67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245" w:type="dxa"/>
            <w:tcBorders>
              <w:left w:val="nil"/>
              <w:right w:val="nil"/>
            </w:tcBorders>
            <w:shd w:val="clear" w:color="auto" w:fill="auto"/>
            <w:hideMark/>
          </w:tcPr>
          <w:p w:rsidR="00967F2B" w:rsidRPr="00E50B4A" w:rsidRDefault="00967F2B" w:rsidP="00967F2B">
            <w:pPr>
              <w:jc w:val="both"/>
              <w:rPr>
                <w:rFonts w:ascii="Arial" w:hAnsi="Arial" w:cs="Arial"/>
                <w:sz w:val="16"/>
                <w:szCs w:val="16"/>
                <w:lang w:eastAsia="es-CO"/>
              </w:rPr>
            </w:pPr>
            <w:r w:rsidRPr="00E50B4A">
              <w:rPr>
                <w:rFonts w:ascii="Arial" w:hAnsi="Arial" w:cs="Arial"/>
                <w:sz w:val="16"/>
                <w:szCs w:val="16"/>
                <w:lang w:eastAsia="es-CO"/>
              </w:rPr>
              <w:t>PARASITOSIS INTESTINAL</w:t>
            </w:r>
          </w:p>
        </w:tc>
        <w:tc>
          <w:tcPr>
            <w:tcW w:w="860"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384</w:t>
            </w:r>
          </w:p>
        </w:tc>
      </w:tr>
    </w:tbl>
    <w:p w:rsidR="00967F2B" w:rsidRPr="00E50B4A" w:rsidRDefault="00967F2B" w:rsidP="00967F2B">
      <w:pPr>
        <w:ind w:left="1276"/>
        <w:rPr>
          <w:rFonts w:ascii="Arial" w:hAnsi="Arial" w:cs="Arial"/>
          <w:noProof/>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page" w:tblpX="2278" w:tblpY="-31"/>
        <w:tblW w:w="5688"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56"/>
        <w:gridCol w:w="4383"/>
        <w:gridCol w:w="853"/>
      </w:tblGrid>
      <w:tr w:rsidR="00E50B4A" w:rsidRPr="00E50B4A" w:rsidTr="00967F2B">
        <w:trPr>
          <w:trHeight w:val="258"/>
        </w:trPr>
        <w:tc>
          <w:tcPr>
            <w:tcW w:w="5688"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2006</w:t>
            </w:r>
          </w:p>
        </w:tc>
      </w:tr>
      <w:tr w:rsidR="00E50B4A" w:rsidRPr="00E50B4A" w:rsidTr="00967F2B">
        <w:trPr>
          <w:trHeight w:val="258"/>
        </w:trPr>
        <w:tc>
          <w:tcPr>
            <w:tcW w:w="452"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38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DIAGNOSTICO</w:t>
            </w:r>
          </w:p>
        </w:tc>
        <w:tc>
          <w:tcPr>
            <w:tcW w:w="85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 xml:space="preserve">No </w:t>
            </w:r>
          </w:p>
        </w:tc>
      </w:tr>
      <w:tr w:rsidR="00E50B4A" w:rsidRPr="00E50B4A" w:rsidTr="00967F2B">
        <w:trPr>
          <w:trHeight w:val="258"/>
        </w:trPr>
        <w:tc>
          <w:tcPr>
            <w:tcW w:w="452"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383"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RINOFARINGITIS AGUDA</w:t>
            </w:r>
          </w:p>
        </w:tc>
        <w:tc>
          <w:tcPr>
            <w:tcW w:w="85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609</w:t>
            </w:r>
          </w:p>
        </w:tc>
      </w:tr>
      <w:tr w:rsidR="00E50B4A" w:rsidRPr="00E50B4A" w:rsidTr="00967F2B">
        <w:trPr>
          <w:trHeight w:val="258"/>
        </w:trPr>
        <w:tc>
          <w:tcPr>
            <w:tcW w:w="452"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383"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OTRAS ENFERMEDADES ESPECIFICAS DE VIAS RESPIRATORIAS SUPERIORES</w:t>
            </w:r>
          </w:p>
        </w:tc>
        <w:tc>
          <w:tcPr>
            <w:tcW w:w="85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420</w:t>
            </w:r>
          </w:p>
        </w:tc>
      </w:tr>
      <w:tr w:rsidR="00E50B4A" w:rsidRPr="00E50B4A" w:rsidTr="00967F2B">
        <w:trPr>
          <w:trHeight w:val="258"/>
        </w:trPr>
        <w:tc>
          <w:tcPr>
            <w:tcW w:w="452"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383"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DENTAL, NO ESPECIFICADA</w:t>
            </w:r>
          </w:p>
        </w:tc>
        <w:tc>
          <w:tcPr>
            <w:tcW w:w="85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337</w:t>
            </w:r>
          </w:p>
        </w:tc>
      </w:tr>
      <w:tr w:rsidR="00E50B4A" w:rsidRPr="00E50B4A" w:rsidTr="00967F2B">
        <w:trPr>
          <w:trHeight w:val="258"/>
        </w:trPr>
        <w:tc>
          <w:tcPr>
            <w:tcW w:w="452"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383"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PARASITOSIS INTESTINAL</w:t>
            </w:r>
          </w:p>
        </w:tc>
        <w:tc>
          <w:tcPr>
            <w:tcW w:w="85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260</w:t>
            </w:r>
          </w:p>
        </w:tc>
      </w:tr>
      <w:tr w:rsidR="00E50B4A" w:rsidRPr="00E50B4A" w:rsidTr="00967F2B">
        <w:trPr>
          <w:trHeight w:val="258"/>
        </w:trPr>
        <w:tc>
          <w:tcPr>
            <w:tcW w:w="452"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383"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INFECCIÓN VIRAL NO ESPECIFICADA</w:t>
            </w:r>
          </w:p>
        </w:tc>
        <w:tc>
          <w:tcPr>
            <w:tcW w:w="85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210</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margin" w:tblpX="503" w:tblpY="-55"/>
        <w:tblW w:w="5812"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30"/>
        <w:gridCol w:w="4480"/>
        <w:gridCol w:w="915"/>
      </w:tblGrid>
      <w:tr w:rsidR="00E50B4A" w:rsidRPr="00E50B4A" w:rsidTr="00967F2B">
        <w:trPr>
          <w:trHeight w:val="262"/>
        </w:trPr>
        <w:tc>
          <w:tcPr>
            <w:tcW w:w="5812"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2007</w:t>
            </w:r>
          </w:p>
        </w:tc>
      </w:tr>
      <w:tr w:rsidR="00E50B4A" w:rsidRPr="00E50B4A" w:rsidTr="00967F2B">
        <w:trPr>
          <w:trHeight w:val="262"/>
        </w:trPr>
        <w:tc>
          <w:tcPr>
            <w:tcW w:w="417"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480" w:type="dxa"/>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Diagnostico</w:t>
            </w:r>
          </w:p>
        </w:tc>
        <w:tc>
          <w:tcPr>
            <w:tcW w:w="915"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 xml:space="preserve">No </w:t>
            </w:r>
          </w:p>
        </w:tc>
      </w:tr>
      <w:tr w:rsidR="00E50B4A" w:rsidRPr="00E50B4A" w:rsidTr="00967F2B">
        <w:trPr>
          <w:trHeight w:val="262"/>
        </w:trPr>
        <w:tc>
          <w:tcPr>
            <w:tcW w:w="417"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480"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DIARREA Y OTRAS GASTROENTERITIS</w:t>
            </w:r>
          </w:p>
        </w:tc>
        <w:tc>
          <w:tcPr>
            <w:tcW w:w="915"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380</w:t>
            </w:r>
          </w:p>
        </w:tc>
      </w:tr>
      <w:tr w:rsidR="00E50B4A" w:rsidRPr="00E50B4A" w:rsidTr="00967F2B">
        <w:trPr>
          <w:trHeight w:val="262"/>
        </w:trPr>
        <w:tc>
          <w:tcPr>
            <w:tcW w:w="417"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480"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PARASITOSIS INTESTINAL</w:t>
            </w:r>
          </w:p>
        </w:tc>
        <w:tc>
          <w:tcPr>
            <w:tcW w:w="915"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260</w:t>
            </w:r>
          </w:p>
        </w:tc>
      </w:tr>
      <w:tr w:rsidR="00E50B4A" w:rsidRPr="00E50B4A" w:rsidTr="00967F2B">
        <w:trPr>
          <w:trHeight w:val="262"/>
        </w:trPr>
        <w:tc>
          <w:tcPr>
            <w:tcW w:w="417"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480"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INFECCIÓN VIRAL NO ESPECIFICADA</w:t>
            </w:r>
          </w:p>
        </w:tc>
        <w:tc>
          <w:tcPr>
            <w:tcW w:w="915"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210</w:t>
            </w:r>
          </w:p>
        </w:tc>
      </w:tr>
      <w:tr w:rsidR="00E50B4A" w:rsidRPr="00E50B4A" w:rsidTr="00967F2B">
        <w:trPr>
          <w:trHeight w:val="262"/>
        </w:trPr>
        <w:tc>
          <w:tcPr>
            <w:tcW w:w="417"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480"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INFECCIÓN DE VIAS URINARIAS</w:t>
            </w:r>
          </w:p>
        </w:tc>
        <w:tc>
          <w:tcPr>
            <w:tcW w:w="915"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196</w:t>
            </w:r>
          </w:p>
        </w:tc>
      </w:tr>
      <w:tr w:rsidR="00E50B4A" w:rsidRPr="00E50B4A" w:rsidTr="00967F2B">
        <w:trPr>
          <w:trHeight w:val="262"/>
        </w:trPr>
        <w:tc>
          <w:tcPr>
            <w:tcW w:w="417"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480"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DENTAL, NO ESPECIFICADA</w:t>
            </w:r>
          </w:p>
        </w:tc>
        <w:tc>
          <w:tcPr>
            <w:tcW w:w="915"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184</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margin" w:tblpX="534" w:tblpY="3"/>
        <w:tblW w:w="5916"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30"/>
        <w:gridCol w:w="4389"/>
        <w:gridCol w:w="1042"/>
        <w:gridCol w:w="60"/>
      </w:tblGrid>
      <w:tr w:rsidR="00E50B4A" w:rsidRPr="00E50B4A" w:rsidTr="00967F2B">
        <w:trPr>
          <w:gridAfter w:val="1"/>
          <w:wAfter w:w="60" w:type="dxa"/>
          <w:trHeight w:val="287"/>
        </w:trPr>
        <w:tc>
          <w:tcPr>
            <w:tcW w:w="5856"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2008</w:t>
            </w:r>
          </w:p>
        </w:tc>
      </w:tr>
      <w:tr w:rsidR="00E50B4A" w:rsidRPr="00E50B4A" w:rsidTr="00967F2B">
        <w:trPr>
          <w:trHeight w:val="287"/>
        </w:trPr>
        <w:tc>
          <w:tcPr>
            <w:tcW w:w="425"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389" w:type="dxa"/>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Diagnostico</w:t>
            </w:r>
          </w:p>
        </w:tc>
        <w:tc>
          <w:tcPr>
            <w:tcW w:w="1102" w:type="dxa"/>
            <w:gridSpan w:val="2"/>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 xml:space="preserve">    casos</w:t>
            </w:r>
          </w:p>
        </w:tc>
      </w:tr>
      <w:tr w:rsidR="00E50B4A" w:rsidRPr="00E50B4A" w:rsidTr="00967F2B">
        <w:trPr>
          <w:trHeight w:val="287"/>
        </w:trPr>
        <w:tc>
          <w:tcPr>
            <w:tcW w:w="425"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389"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RINOFARINGITIS AGUDA</w:t>
            </w:r>
          </w:p>
        </w:tc>
        <w:tc>
          <w:tcPr>
            <w:tcW w:w="1102" w:type="dxa"/>
            <w:gridSpan w:val="2"/>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883</w:t>
            </w:r>
          </w:p>
        </w:tc>
      </w:tr>
      <w:tr w:rsidR="00E50B4A" w:rsidRPr="00E50B4A" w:rsidTr="00967F2B">
        <w:trPr>
          <w:trHeight w:val="287"/>
        </w:trPr>
        <w:tc>
          <w:tcPr>
            <w:tcW w:w="425"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389"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DIARREA Y OTRAS GASTROENTERITIS</w:t>
            </w:r>
          </w:p>
        </w:tc>
        <w:tc>
          <w:tcPr>
            <w:tcW w:w="1102" w:type="dxa"/>
            <w:gridSpan w:val="2"/>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612</w:t>
            </w:r>
          </w:p>
        </w:tc>
      </w:tr>
      <w:tr w:rsidR="00E50B4A" w:rsidRPr="00E50B4A" w:rsidTr="00967F2B">
        <w:trPr>
          <w:trHeight w:val="287"/>
        </w:trPr>
        <w:tc>
          <w:tcPr>
            <w:tcW w:w="425"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389"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DENTAL, NO ESPECIFICADA</w:t>
            </w:r>
          </w:p>
        </w:tc>
        <w:tc>
          <w:tcPr>
            <w:tcW w:w="1102" w:type="dxa"/>
            <w:gridSpan w:val="2"/>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299</w:t>
            </w:r>
          </w:p>
        </w:tc>
      </w:tr>
      <w:tr w:rsidR="00E50B4A" w:rsidRPr="00E50B4A" w:rsidTr="00967F2B">
        <w:trPr>
          <w:trHeight w:val="287"/>
        </w:trPr>
        <w:tc>
          <w:tcPr>
            <w:tcW w:w="425"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389"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FIEBRE, NO ESPECIFICADO</w:t>
            </w:r>
          </w:p>
        </w:tc>
        <w:tc>
          <w:tcPr>
            <w:tcW w:w="1102" w:type="dxa"/>
            <w:gridSpan w:val="2"/>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294</w:t>
            </w:r>
          </w:p>
        </w:tc>
      </w:tr>
      <w:tr w:rsidR="00E50B4A" w:rsidRPr="00E50B4A" w:rsidTr="00967F2B">
        <w:trPr>
          <w:trHeight w:val="287"/>
        </w:trPr>
        <w:tc>
          <w:tcPr>
            <w:tcW w:w="425"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389"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ASMA, NO ESPECIFICADA</w:t>
            </w:r>
          </w:p>
        </w:tc>
        <w:tc>
          <w:tcPr>
            <w:tcW w:w="1102" w:type="dxa"/>
            <w:gridSpan w:val="2"/>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212</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text" w:horzAnchor="margin" w:tblpX="582" w:tblpY="133"/>
        <w:tblW w:w="6127"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30"/>
        <w:gridCol w:w="4804"/>
        <w:gridCol w:w="893"/>
      </w:tblGrid>
      <w:tr w:rsidR="00E50B4A" w:rsidRPr="00E50B4A" w:rsidTr="00967F2B">
        <w:trPr>
          <w:trHeight w:val="323"/>
        </w:trPr>
        <w:tc>
          <w:tcPr>
            <w:tcW w:w="6127"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2010</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804" w:type="dxa"/>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Diagnostico</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 xml:space="preserve">No </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80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 LA DENTINA</w:t>
            </w:r>
          </w:p>
        </w:tc>
        <w:tc>
          <w:tcPr>
            <w:tcW w:w="89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1437</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80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RINOFARINGITIS AGUDA</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679</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80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w:t>
            </w:r>
          </w:p>
          <w:p w:rsidR="00967F2B" w:rsidRPr="00E50B4A" w:rsidRDefault="00967F2B" w:rsidP="00967F2B">
            <w:pPr>
              <w:jc w:val="center"/>
              <w:rPr>
                <w:rFonts w:ascii="Arial" w:hAnsi="Arial" w:cs="Arial"/>
                <w:sz w:val="16"/>
                <w:szCs w:val="16"/>
                <w:lang w:eastAsia="es-CO"/>
              </w:rPr>
            </w:pPr>
          </w:p>
          <w:p w:rsidR="00967F2B" w:rsidRPr="00E50B4A" w:rsidRDefault="00967F2B" w:rsidP="00967F2B">
            <w:pPr>
              <w:jc w:val="center"/>
              <w:rPr>
                <w:rFonts w:ascii="Arial" w:hAnsi="Arial" w:cs="Arial"/>
                <w:sz w:val="16"/>
                <w:szCs w:val="16"/>
                <w:lang w:eastAsia="es-CO"/>
              </w:rPr>
            </w:pPr>
          </w:p>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 xml:space="preserve"> LIMITADA AL ESMALTE</w:t>
            </w:r>
          </w:p>
        </w:tc>
        <w:tc>
          <w:tcPr>
            <w:tcW w:w="89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619</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80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DIARREA Y OTRAS GASTROENTERITIS</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586</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80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INFECCIÓN DE VIAS URINARIAS</w:t>
            </w:r>
          </w:p>
        </w:tc>
        <w:tc>
          <w:tcPr>
            <w:tcW w:w="89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248</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tbl>
      <w:tblPr>
        <w:tblpPr w:leftFromText="141" w:rightFromText="141" w:vertAnchor="page" w:horzAnchor="page" w:tblpX="2228" w:tblpY="11019"/>
        <w:tblW w:w="6116"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30"/>
        <w:gridCol w:w="4794"/>
        <w:gridCol w:w="1086"/>
      </w:tblGrid>
      <w:tr w:rsidR="00E50B4A" w:rsidRPr="00E50B4A" w:rsidTr="00967F2B">
        <w:trPr>
          <w:trHeight w:val="312"/>
        </w:trPr>
        <w:tc>
          <w:tcPr>
            <w:tcW w:w="6116"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2009</w:t>
            </w:r>
          </w:p>
        </w:tc>
      </w:tr>
      <w:tr w:rsidR="00E50B4A" w:rsidRPr="00E50B4A" w:rsidTr="00967F2B">
        <w:trPr>
          <w:trHeight w:val="312"/>
        </w:trPr>
        <w:tc>
          <w:tcPr>
            <w:tcW w:w="23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794" w:type="dxa"/>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Diagnostico</w:t>
            </w:r>
          </w:p>
        </w:tc>
        <w:tc>
          <w:tcPr>
            <w:tcW w:w="1086"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casos</w:t>
            </w:r>
          </w:p>
        </w:tc>
      </w:tr>
      <w:tr w:rsidR="00E50B4A" w:rsidRPr="00E50B4A" w:rsidTr="00967F2B">
        <w:trPr>
          <w:trHeight w:val="312"/>
        </w:trPr>
        <w:tc>
          <w:tcPr>
            <w:tcW w:w="23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79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RINOFARINGITIS AGUDA</w:t>
            </w:r>
          </w:p>
        </w:tc>
        <w:tc>
          <w:tcPr>
            <w:tcW w:w="1086"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1045</w:t>
            </w:r>
          </w:p>
        </w:tc>
      </w:tr>
      <w:tr w:rsidR="00E50B4A" w:rsidRPr="00E50B4A" w:rsidTr="00967F2B">
        <w:trPr>
          <w:trHeight w:val="312"/>
        </w:trPr>
        <w:tc>
          <w:tcPr>
            <w:tcW w:w="23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79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DIARREA Y OTRAS GASTROENTERITIS</w:t>
            </w:r>
          </w:p>
        </w:tc>
        <w:tc>
          <w:tcPr>
            <w:tcW w:w="1086"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687</w:t>
            </w:r>
          </w:p>
        </w:tc>
      </w:tr>
      <w:tr w:rsidR="00E50B4A" w:rsidRPr="00E50B4A" w:rsidTr="00967F2B">
        <w:trPr>
          <w:trHeight w:val="312"/>
        </w:trPr>
        <w:tc>
          <w:tcPr>
            <w:tcW w:w="23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79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DENTAL, NO ESPECIFICADA</w:t>
            </w:r>
          </w:p>
        </w:tc>
        <w:tc>
          <w:tcPr>
            <w:tcW w:w="1086"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461</w:t>
            </w:r>
          </w:p>
        </w:tc>
      </w:tr>
      <w:tr w:rsidR="00E50B4A" w:rsidRPr="00E50B4A" w:rsidTr="00967F2B">
        <w:trPr>
          <w:trHeight w:val="312"/>
        </w:trPr>
        <w:tc>
          <w:tcPr>
            <w:tcW w:w="236"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79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 LA DENTINA</w:t>
            </w:r>
          </w:p>
        </w:tc>
        <w:tc>
          <w:tcPr>
            <w:tcW w:w="1086"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257</w:t>
            </w:r>
          </w:p>
        </w:tc>
      </w:tr>
      <w:tr w:rsidR="00E50B4A" w:rsidRPr="00E50B4A" w:rsidTr="00967F2B">
        <w:trPr>
          <w:trHeight w:val="312"/>
        </w:trPr>
        <w:tc>
          <w:tcPr>
            <w:tcW w:w="236"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79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PARASITOSIS INTESTINAL</w:t>
            </w:r>
          </w:p>
        </w:tc>
        <w:tc>
          <w:tcPr>
            <w:tcW w:w="1086"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256</w:t>
            </w:r>
          </w:p>
        </w:tc>
      </w:tr>
    </w:tbl>
    <w:tbl>
      <w:tblPr>
        <w:tblpPr w:leftFromText="141" w:rightFromText="141" w:vertAnchor="text" w:horzAnchor="page" w:tblpX="2029" w:tblpY="2481"/>
        <w:tblW w:w="6127"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430"/>
        <w:gridCol w:w="4804"/>
        <w:gridCol w:w="893"/>
      </w:tblGrid>
      <w:tr w:rsidR="00E50B4A" w:rsidRPr="00E50B4A" w:rsidTr="00967F2B">
        <w:trPr>
          <w:trHeight w:val="323"/>
        </w:trPr>
        <w:tc>
          <w:tcPr>
            <w:tcW w:w="6127" w:type="dxa"/>
            <w:gridSpan w:val="3"/>
            <w:tcBorders>
              <w:top w:val="single" w:sz="8" w:space="0" w:color="78C0D4"/>
              <w:left w:val="single" w:sz="8" w:space="0" w:color="78C0D4"/>
              <w:bottom w:val="single" w:sz="8" w:space="0" w:color="78C0D4"/>
              <w:right w:val="single" w:sz="8" w:space="0" w:color="78C0D4"/>
            </w:tcBorders>
            <w:shd w:val="clear" w:color="auto" w:fill="4BACC6"/>
            <w:noWrap/>
            <w:hideMark/>
          </w:tcPr>
          <w:p w:rsidR="00967F2B" w:rsidRPr="00E50B4A" w:rsidRDefault="00967F2B" w:rsidP="00967F2B">
            <w:pPr>
              <w:jc w:val="center"/>
              <w:rPr>
                <w:rFonts w:ascii="Arial" w:hAnsi="Arial" w:cs="Arial"/>
                <w:b/>
                <w:bCs/>
                <w:sz w:val="16"/>
                <w:szCs w:val="16"/>
                <w:lang w:eastAsia="es-CO"/>
              </w:rPr>
            </w:pPr>
          </w:p>
          <w:p w:rsidR="00967F2B" w:rsidRPr="00E50B4A" w:rsidRDefault="00967F2B" w:rsidP="00967F2B">
            <w:pPr>
              <w:jc w:val="center"/>
              <w:rPr>
                <w:rFonts w:ascii="Arial" w:hAnsi="Arial" w:cs="Arial"/>
                <w:b/>
                <w:bCs/>
                <w:sz w:val="16"/>
                <w:szCs w:val="16"/>
                <w:lang w:eastAsia="es-CO"/>
              </w:rPr>
            </w:pPr>
          </w:p>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|AÑO 2011</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No</w:t>
            </w:r>
          </w:p>
        </w:tc>
        <w:tc>
          <w:tcPr>
            <w:tcW w:w="4804" w:type="dxa"/>
            <w:shd w:val="clear" w:color="auto" w:fill="D2EAF1"/>
            <w:noWrap/>
            <w:hideMark/>
          </w:tcPr>
          <w:p w:rsidR="00967F2B" w:rsidRPr="00E50B4A" w:rsidRDefault="00967F2B" w:rsidP="00967F2B">
            <w:pPr>
              <w:rPr>
                <w:rFonts w:ascii="Arial" w:hAnsi="Arial" w:cs="Arial"/>
                <w:sz w:val="16"/>
                <w:szCs w:val="16"/>
                <w:lang w:eastAsia="es-CO"/>
              </w:rPr>
            </w:pPr>
            <w:r w:rsidRPr="00E50B4A">
              <w:rPr>
                <w:rFonts w:ascii="Arial" w:hAnsi="Arial" w:cs="Arial"/>
                <w:sz w:val="16"/>
                <w:szCs w:val="16"/>
                <w:lang w:eastAsia="es-CO"/>
              </w:rPr>
              <w:t xml:space="preserve">                 </w:t>
            </w:r>
            <w:r w:rsidR="00133AB9" w:rsidRPr="00E50B4A">
              <w:rPr>
                <w:rFonts w:ascii="Arial" w:hAnsi="Arial" w:cs="Arial"/>
                <w:sz w:val="16"/>
                <w:szCs w:val="16"/>
                <w:lang w:eastAsia="es-CO"/>
              </w:rPr>
              <w:t xml:space="preserve">                         Diagnó</w:t>
            </w:r>
            <w:r w:rsidRPr="00E50B4A">
              <w:rPr>
                <w:rFonts w:ascii="Arial" w:hAnsi="Arial" w:cs="Arial"/>
                <w:sz w:val="16"/>
                <w:szCs w:val="16"/>
                <w:lang w:eastAsia="es-CO"/>
              </w:rPr>
              <w:t>stico</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 xml:space="preserve">No </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1</w:t>
            </w:r>
          </w:p>
        </w:tc>
        <w:tc>
          <w:tcPr>
            <w:tcW w:w="480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DE LA DENTINA</w:t>
            </w:r>
          </w:p>
        </w:tc>
        <w:tc>
          <w:tcPr>
            <w:tcW w:w="89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1621</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2</w:t>
            </w:r>
          </w:p>
        </w:tc>
        <w:tc>
          <w:tcPr>
            <w:tcW w:w="480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CARIES LIMITADA AL ESMALTE</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619</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3</w:t>
            </w:r>
          </w:p>
        </w:tc>
        <w:tc>
          <w:tcPr>
            <w:tcW w:w="4804" w:type="dxa"/>
            <w:tcBorders>
              <w:left w:val="nil"/>
              <w:right w:val="nil"/>
            </w:tcBorders>
            <w:shd w:val="clear" w:color="auto" w:fill="auto"/>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RINOFARINGITIS AGUDA</w:t>
            </w:r>
          </w:p>
        </w:tc>
        <w:tc>
          <w:tcPr>
            <w:tcW w:w="893" w:type="dxa"/>
            <w:tcBorders>
              <w:left w:val="nil"/>
            </w:tcBorders>
            <w:shd w:val="clear" w:color="auto" w:fill="auto"/>
            <w:noWrap/>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501</w:t>
            </w:r>
          </w:p>
        </w:tc>
      </w:tr>
      <w:tr w:rsidR="00E50B4A" w:rsidRPr="00E50B4A" w:rsidTr="00967F2B">
        <w:trPr>
          <w:trHeight w:val="323"/>
        </w:trPr>
        <w:tc>
          <w:tcPr>
            <w:tcW w:w="430" w:type="dxa"/>
            <w:shd w:val="clear" w:color="auto" w:fill="D2EAF1"/>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4</w:t>
            </w:r>
          </w:p>
        </w:tc>
        <w:tc>
          <w:tcPr>
            <w:tcW w:w="4804" w:type="dxa"/>
            <w:shd w:val="clear" w:color="auto" w:fill="D2EAF1"/>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NEUMONIA NO ESPECIFICADA</w:t>
            </w:r>
          </w:p>
        </w:tc>
        <w:tc>
          <w:tcPr>
            <w:tcW w:w="893" w:type="dxa"/>
            <w:shd w:val="clear" w:color="auto" w:fill="D2EAF1"/>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492</w:t>
            </w:r>
          </w:p>
        </w:tc>
      </w:tr>
      <w:tr w:rsidR="00E50B4A" w:rsidRPr="00E50B4A" w:rsidTr="00967F2B">
        <w:trPr>
          <w:trHeight w:val="323"/>
        </w:trPr>
        <w:tc>
          <w:tcPr>
            <w:tcW w:w="430" w:type="dxa"/>
            <w:tcBorders>
              <w:right w:val="nil"/>
            </w:tcBorders>
            <w:shd w:val="clear" w:color="auto" w:fill="auto"/>
            <w:noWrap/>
            <w:hideMark/>
          </w:tcPr>
          <w:p w:rsidR="00967F2B" w:rsidRPr="00E50B4A" w:rsidRDefault="00967F2B" w:rsidP="00967F2B">
            <w:pPr>
              <w:jc w:val="center"/>
              <w:rPr>
                <w:rFonts w:ascii="Arial" w:hAnsi="Arial" w:cs="Arial"/>
                <w:b/>
                <w:bCs/>
                <w:sz w:val="16"/>
                <w:szCs w:val="16"/>
                <w:lang w:eastAsia="es-CO"/>
              </w:rPr>
            </w:pPr>
            <w:r w:rsidRPr="00E50B4A">
              <w:rPr>
                <w:rFonts w:ascii="Arial" w:hAnsi="Arial" w:cs="Arial"/>
                <w:b/>
                <w:bCs/>
                <w:sz w:val="16"/>
                <w:szCs w:val="16"/>
                <w:lang w:eastAsia="es-CO"/>
              </w:rPr>
              <w:t>5</w:t>
            </w:r>
          </w:p>
        </w:tc>
        <w:tc>
          <w:tcPr>
            <w:tcW w:w="4804" w:type="dxa"/>
            <w:tcBorders>
              <w:left w:val="nil"/>
              <w:right w:val="nil"/>
            </w:tcBorders>
            <w:shd w:val="clear" w:color="auto" w:fill="auto"/>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DIARREA Y OTRAS GASTROENTERITIS</w:t>
            </w:r>
          </w:p>
        </w:tc>
        <w:tc>
          <w:tcPr>
            <w:tcW w:w="893" w:type="dxa"/>
            <w:tcBorders>
              <w:left w:val="nil"/>
            </w:tcBorders>
            <w:shd w:val="clear" w:color="auto" w:fill="auto"/>
            <w:noWrap/>
            <w:hideMark/>
          </w:tcPr>
          <w:p w:rsidR="00967F2B" w:rsidRPr="00E50B4A" w:rsidRDefault="00967F2B" w:rsidP="00967F2B">
            <w:pPr>
              <w:jc w:val="center"/>
              <w:rPr>
                <w:rFonts w:ascii="Arial" w:hAnsi="Arial" w:cs="Arial"/>
                <w:sz w:val="16"/>
                <w:szCs w:val="16"/>
                <w:lang w:eastAsia="es-CO"/>
              </w:rPr>
            </w:pPr>
            <w:r w:rsidRPr="00E50B4A">
              <w:rPr>
                <w:rFonts w:ascii="Arial" w:hAnsi="Arial" w:cs="Arial"/>
                <w:sz w:val="16"/>
                <w:szCs w:val="16"/>
                <w:lang w:eastAsia="es-CO"/>
              </w:rPr>
              <w:t>400</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Como se puede evidenciar las primeras 5 causas de Morbilidad en los niños de 0 a 5 años siguen siendo las enfermedades prevalentes en la infancia como lo son el Resfriado común, la diarrea, la parasitosis y en  los últimos años como en el 2011 la primera causa de morbilidad es la caries con 1621, y en segundo lugar caries limitada al esmalte con 619 casos, lo que nos puede indicar que se observa  en aumento los casos de caries dental, evento que está asociado al incremento de  las acciones de promoción y prevención que se han venido fortaleciendo, para la salud oral en los últimos años.</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De acuerdo a lo anterior podemos concluir que el patrón que sigue afectando a nuestra población infantil son las enfermedades infecciosas las cuales están asociadas con las NBI, las condiciones de pobreza, que prevalece en las comunidades indígenas del área rural de Municipio.</w:t>
      </w:r>
    </w:p>
    <w:p w:rsidR="00967F2B" w:rsidRPr="00E50B4A" w:rsidRDefault="00967F2B" w:rsidP="00967F2B">
      <w:pPr>
        <w:autoSpaceDE w:val="0"/>
        <w:autoSpaceDN w:val="0"/>
        <w:adjustRightInd w:val="0"/>
        <w:ind w:left="141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Sinespaciado"/>
        <w:jc w:val="both"/>
        <w:rPr>
          <w:rFonts w:ascii="Arial" w:hAnsi="Arial" w:cs="Arial"/>
          <w:b/>
          <w:sz w:val="24"/>
          <w:szCs w:val="24"/>
        </w:rPr>
      </w:pPr>
      <w:r w:rsidRPr="00E50B4A">
        <w:rPr>
          <w:rFonts w:ascii="Arial" w:hAnsi="Arial" w:cs="Arial"/>
          <w:b/>
          <w:sz w:val="24"/>
          <w:szCs w:val="24"/>
          <w:lang w:val="es-ES"/>
        </w:rPr>
        <w:t xml:space="preserve">TABLA </w:t>
      </w:r>
      <w:r w:rsidRPr="00E50B4A">
        <w:rPr>
          <w:rFonts w:ascii="Arial" w:hAnsi="Arial" w:cs="Arial"/>
          <w:b/>
          <w:sz w:val="24"/>
          <w:szCs w:val="24"/>
        </w:rPr>
        <w:t>INDICADOR No 25 TASA DE MORBILIDAD POR EDA (Enfermedad Diarreica Aguda) EN MENORES DE 5 AÑOS</w:t>
      </w:r>
    </w:p>
    <w:p w:rsidR="00967F2B" w:rsidRPr="00E50B4A" w:rsidRDefault="00967F2B" w:rsidP="00967F2B">
      <w:pPr>
        <w:pStyle w:val="Sinespaciado"/>
        <w:jc w:val="both"/>
        <w:rPr>
          <w:rFonts w:ascii="Arial" w:hAnsi="Arial" w:cs="Arial"/>
          <w:b/>
          <w:sz w:val="24"/>
          <w:szCs w:val="24"/>
        </w:rPr>
      </w:pPr>
    </w:p>
    <w:p w:rsidR="00967F2B" w:rsidRPr="00E50B4A" w:rsidRDefault="00967F2B" w:rsidP="00967F2B">
      <w:pPr>
        <w:pStyle w:val="Sinespaciado"/>
        <w:jc w:val="both"/>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63"/>
        <w:gridCol w:w="1397"/>
        <w:gridCol w:w="1254"/>
        <w:gridCol w:w="1255"/>
        <w:gridCol w:w="1392"/>
        <w:gridCol w:w="1254"/>
        <w:gridCol w:w="1239"/>
      </w:tblGrid>
      <w:tr w:rsidR="00E50B4A" w:rsidRPr="00E50B4A" w:rsidTr="00967F2B">
        <w:tc>
          <w:tcPr>
            <w:tcW w:w="2660"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24</w:t>
            </w:r>
          </w:p>
          <w:p w:rsidR="00967F2B" w:rsidRPr="00E50B4A" w:rsidRDefault="00967F2B" w:rsidP="00967F2B">
            <w:pPr>
              <w:jc w:val="center"/>
              <w:rPr>
                <w:rFonts w:ascii="Arial" w:hAnsi="Arial" w:cs="Arial"/>
                <w:b/>
                <w:bCs/>
              </w:rPr>
            </w:pPr>
          </w:p>
        </w:tc>
        <w:tc>
          <w:tcPr>
            <w:tcW w:w="515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TASA DE MORBILIDAD POR EDA (Enfermedad Diarreica Aguda) EN MENORES DE 5 AÑOS</w:t>
            </w:r>
          </w:p>
        </w:tc>
        <w:tc>
          <w:tcPr>
            <w:tcW w:w="123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60"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15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23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60"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15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3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63" w:type="dxa"/>
            <w:shd w:val="clear" w:color="auto" w:fill="D2EAF1"/>
          </w:tcPr>
          <w:p w:rsidR="00967F2B" w:rsidRPr="00E50B4A" w:rsidRDefault="00967F2B" w:rsidP="00967F2B">
            <w:pPr>
              <w:jc w:val="center"/>
              <w:rPr>
                <w:rFonts w:ascii="Arial" w:hAnsi="Arial" w:cs="Arial"/>
                <w:b/>
                <w:bCs/>
              </w:rPr>
            </w:pPr>
            <w:r w:rsidRPr="00E50B4A">
              <w:rPr>
                <w:rFonts w:ascii="Arial" w:hAnsi="Arial" w:cs="Arial"/>
                <w:bCs/>
              </w:rPr>
              <w:t>AÑO 2005</w:t>
            </w:r>
          </w:p>
        </w:tc>
        <w:tc>
          <w:tcPr>
            <w:tcW w:w="1397" w:type="dxa"/>
            <w:shd w:val="clear" w:color="auto" w:fill="D2EAF1"/>
          </w:tcPr>
          <w:p w:rsidR="00967F2B" w:rsidRPr="00E50B4A" w:rsidRDefault="00967F2B" w:rsidP="00967F2B">
            <w:pPr>
              <w:jc w:val="center"/>
              <w:rPr>
                <w:rFonts w:ascii="Arial" w:hAnsi="Arial" w:cs="Arial"/>
              </w:rPr>
            </w:pPr>
            <w:r w:rsidRPr="00E50B4A">
              <w:rPr>
                <w:rFonts w:ascii="Arial" w:hAnsi="Arial" w:cs="Arial"/>
              </w:rPr>
              <w:t>2006</w:t>
            </w:r>
          </w:p>
        </w:tc>
        <w:tc>
          <w:tcPr>
            <w:tcW w:w="1254" w:type="dxa"/>
            <w:shd w:val="clear" w:color="auto" w:fill="D2EAF1"/>
          </w:tcPr>
          <w:p w:rsidR="00967F2B" w:rsidRPr="00E50B4A" w:rsidRDefault="00967F2B" w:rsidP="00967F2B">
            <w:pPr>
              <w:jc w:val="center"/>
              <w:rPr>
                <w:rFonts w:ascii="Arial" w:hAnsi="Arial" w:cs="Arial"/>
              </w:rPr>
            </w:pPr>
            <w:r w:rsidRPr="00E50B4A">
              <w:rPr>
                <w:rFonts w:ascii="Arial" w:hAnsi="Arial" w:cs="Arial"/>
              </w:rPr>
              <w:t>2007</w:t>
            </w:r>
          </w:p>
        </w:tc>
        <w:tc>
          <w:tcPr>
            <w:tcW w:w="1255" w:type="dxa"/>
            <w:shd w:val="clear" w:color="auto" w:fill="D2EAF1"/>
          </w:tcPr>
          <w:p w:rsidR="00967F2B" w:rsidRPr="00E50B4A" w:rsidRDefault="00967F2B" w:rsidP="00967F2B">
            <w:pPr>
              <w:jc w:val="center"/>
              <w:rPr>
                <w:rFonts w:ascii="Arial" w:hAnsi="Arial" w:cs="Arial"/>
              </w:rPr>
            </w:pPr>
            <w:r w:rsidRPr="00E50B4A">
              <w:rPr>
                <w:rFonts w:ascii="Arial" w:hAnsi="Arial" w:cs="Arial"/>
              </w:rPr>
              <w:t>2008</w:t>
            </w:r>
          </w:p>
        </w:tc>
        <w:tc>
          <w:tcPr>
            <w:tcW w:w="1392"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2009</w:t>
            </w:r>
          </w:p>
        </w:tc>
        <w:tc>
          <w:tcPr>
            <w:tcW w:w="1254"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2010</w:t>
            </w:r>
          </w:p>
        </w:tc>
        <w:tc>
          <w:tcPr>
            <w:tcW w:w="1239" w:type="dxa"/>
            <w:shd w:val="clear" w:color="auto" w:fill="D2EAF1"/>
          </w:tcPr>
          <w:p w:rsidR="00967F2B" w:rsidRPr="00E50B4A" w:rsidRDefault="00967F2B" w:rsidP="00967F2B">
            <w:pPr>
              <w:rPr>
                <w:rFonts w:ascii="Arial" w:hAnsi="Arial" w:cs="Arial"/>
              </w:rPr>
            </w:pPr>
            <w:r w:rsidRPr="00E50B4A">
              <w:rPr>
                <w:rFonts w:ascii="Arial" w:hAnsi="Arial" w:cs="Arial"/>
              </w:rPr>
              <w:t xml:space="preserve">   2011</w:t>
            </w:r>
          </w:p>
        </w:tc>
      </w:tr>
      <w:tr w:rsidR="00967F2B" w:rsidRPr="00E50B4A" w:rsidTr="00967F2B">
        <w:tc>
          <w:tcPr>
            <w:tcW w:w="1263"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201</w:t>
            </w:r>
          </w:p>
        </w:tc>
        <w:tc>
          <w:tcPr>
            <w:tcW w:w="139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174</w:t>
            </w:r>
          </w:p>
        </w:tc>
        <w:tc>
          <w:tcPr>
            <w:tcW w:w="125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72.6</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147</w:t>
            </w:r>
          </w:p>
        </w:tc>
        <w:tc>
          <w:tcPr>
            <w:tcW w:w="1392"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148</w:t>
            </w:r>
          </w:p>
        </w:tc>
        <w:tc>
          <w:tcPr>
            <w:tcW w:w="125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111</w:t>
            </w:r>
          </w:p>
        </w:tc>
        <w:tc>
          <w:tcPr>
            <w:tcW w:w="1239"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73,4</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tasa de morbilidad por EDA en menores de 5 años: indica la proporción de niñas y niños que presentan la enfermedad en un tiempo determinado.</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Interpretación señala que por cada 1000 niños entre los 0 y 5 años, el número de niños y niñas que se vieron obligadas a</w:t>
      </w:r>
      <w:r w:rsidR="00BE46EF" w:rsidRPr="00E50B4A">
        <w:rPr>
          <w:rFonts w:ascii="Arial" w:hAnsi="Arial" w:cs="Arial"/>
          <w:sz w:val="24"/>
          <w:szCs w:val="24"/>
        </w:rPr>
        <w:t xml:space="preserve"> consultar por enfermedad diarré</w:t>
      </w:r>
      <w:r w:rsidRPr="00E50B4A">
        <w:rPr>
          <w:rFonts w:ascii="Arial" w:hAnsi="Arial" w:cs="Arial"/>
          <w:sz w:val="24"/>
          <w:szCs w:val="24"/>
        </w:rPr>
        <w:t>ica aguda.</w:t>
      </w: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enfermedad diarreica aguada como se pudo evidenciar en la tabla anterior viene en descenso  esto podría ser por la incorporación de la vacuna del Rotavirus y las múltiples acciones desarrolladas desde los programas de salud pública para mejorar los hábitos higiénicos en las diferentes comunidades de Muestro Municipio.</w:t>
      </w: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pStyle w:val="Sinespaciado"/>
        <w:jc w:val="both"/>
        <w:rPr>
          <w:rFonts w:ascii="Arial" w:hAnsi="Arial" w:cs="Arial"/>
          <w:b/>
          <w:sz w:val="24"/>
          <w:szCs w:val="24"/>
        </w:rPr>
      </w:pPr>
      <w:r w:rsidRPr="00E50B4A">
        <w:rPr>
          <w:rFonts w:ascii="Arial" w:hAnsi="Arial" w:cs="Arial"/>
          <w:b/>
          <w:sz w:val="24"/>
          <w:szCs w:val="24"/>
        </w:rPr>
        <w:t>TABLA INDICADOR No 25 TASA DE MORBILIDAD POR ERA (Enfermedad Respiratoria Aguda) EN MENORES DE 5 AÑOS</w:t>
      </w:r>
    </w:p>
    <w:p w:rsidR="00967F2B" w:rsidRPr="00E50B4A" w:rsidRDefault="00967F2B" w:rsidP="00967F2B">
      <w:pPr>
        <w:pStyle w:val="Sinespaciado"/>
        <w:jc w:val="both"/>
        <w:rPr>
          <w:rFonts w:ascii="Arial" w:hAnsi="Arial" w:cs="Arial"/>
          <w:b/>
          <w:sz w:val="24"/>
          <w:szCs w:val="24"/>
        </w:rPr>
      </w:pPr>
    </w:p>
    <w:p w:rsidR="00967F2B" w:rsidRPr="00E50B4A" w:rsidRDefault="00967F2B" w:rsidP="00967F2B">
      <w:pPr>
        <w:pStyle w:val="Sinespaciado"/>
        <w:jc w:val="both"/>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401"/>
        <w:gridCol w:w="1259"/>
        <w:gridCol w:w="1391"/>
        <w:gridCol w:w="1255"/>
        <w:gridCol w:w="1255"/>
        <w:gridCol w:w="1254"/>
        <w:gridCol w:w="1239"/>
      </w:tblGrid>
      <w:tr w:rsidR="00E50B4A" w:rsidRPr="00E50B4A" w:rsidTr="00967F2B">
        <w:tc>
          <w:tcPr>
            <w:tcW w:w="2660"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25</w:t>
            </w:r>
          </w:p>
          <w:p w:rsidR="00967F2B" w:rsidRPr="00E50B4A" w:rsidRDefault="00967F2B" w:rsidP="00967F2B">
            <w:pPr>
              <w:jc w:val="center"/>
              <w:rPr>
                <w:rFonts w:ascii="Arial" w:hAnsi="Arial" w:cs="Arial"/>
                <w:b/>
                <w:bCs/>
              </w:rPr>
            </w:pPr>
          </w:p>
        </w:tc>
        <w:tc>
          <w:tcPr>
            <w:tcW w:w="5155"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TASA DE MORBILIDAD POR ERA (Enfermedad Respiratoria Aguda) EN MENORES DE 5 AÑOS</w:t>
            </w:r>
          </w:p>
        </w:tc>
        <w:tc>
          <w:tcPr>
            <w:tcW w:w="1239"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660"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155"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DANE, SIVIGILA, ESTADISTICAS VITALES</w:t>
            </w:r>
          </w:p>
        </w:tc>
        <w:tc>
          <w:tcPr>
            <w:tcW w:w="1239"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660"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155"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39"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401"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59"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 xml:space="preserve"> 2006</w:t>
            </w:r>
          </w:p>
        </w:tc>
        <w:tc>
          <w:tcPr>
            <w:tcW w:w="1391"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255"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255"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254"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239"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967F2B" w:rsidRPr="00E50B4A" w:rsidTr="00967F2B">
        <w:tc>
          <w:tcPr>
            <w:tcW w:w="1401"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334</w:t>
            </w:r>
          </w:p>
        </w:tc>
        <w:tc>
          <w:tcPr>
            <w:tcW w:w="1259"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324</w:t>
            </w:r>
          </w:p>
        </w:tc>
        <w:tc>
          <w:tcPr>
            <w:tcW w:w="139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145</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172</w:t>
            </w:r>
          </w:p>
        </w:tc>
        <w:tc>
          <w:tcPr>
            <w:tcW w:w="125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291</w:t>
            </w:r>
          </w:p>
        </w:tc>
        <w:tc>
          <w:tcPr>
            <w:tcW w:w="1254"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374</w:t>
            </w:r>
          </w:p>
        </w:tc>
        <w:tc>
          <w:tcPr>
            <w:tcW w:w="1239"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198,8</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La tasa de morbilidad por ERA enfermedad Respiratoria Aguda en menores de 5 años pa</w:t>
      </w:r>
      <w:r w:rsidR="001E3578" w:rsidRPr="00E50B4A">
        <w:rPr>
          <w:rFonts w:ascii="Arial" w:hAnsi="Arial" w:cs="Arial"/>
          <w:sz w:val="24"/>
          <w:szCs w:val="24"/>
        </w:rPr>
        <w:t>ra un perí</w:t>
      </w:r>
      <w:r w:rsidRPr="00E50B4A">
        <w:rPr>
          <w:rFonts w:ascii="Arial" w:hAnsi="Arial" w:cs="Arial"/>
          <w:sz w:val="24"/>
          <w:szCs w:val="24"/>
        </w:rPr>
        <w:t>odo determinado, indica la proporción de niñas y niños que presentaron la enfermedad.</w:t>
      </w:r>
    </w:p>
    <w:p w:rsidR="00967F2B" w:rsidRPr="00E50B4A" w:rsidRDefault="00967F2B" w:rsidP="00967F2B">
      <w:pPr>
        <w:autoSpaceDE w:val="0"/>
        <w:autoSpaceDN w:val="0"/>
        <w:adjustRightInd w:val="0"/>
        <w:ind w:left="141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Como se puede ver la tasa de infección respiratoria aguda ha presentado un aumento significativo durante los tres últimos años esto se debe a la circulación del virus pandémico A H1N1/09.</w:t>
      </w:r>
    </w:p>
    <w:p w:rsidR="00967F2B" w:rsidRPr="00E50B4A" w:rsidRDefault="00967F2B" w:rsidP="00967F2B">
      <w:pPr>
        <w:autoSpaceDE w:val="0"/>
        <w:autoSpaceDN w:val="0"/>
        <w:adjustRightInd w:val="0"/>
        <w:ind w:left="1410"/>
        <w:jc w:val="both"/>
        <w:rPr>
          <w:rFonts w:ascii="Arial" w:hAnsi="Arial" w:cs="Arial"/>
          <w:sz w:val="24"/>
          <w:szCs w:val="24"/>
        </w:rPr>
      </w:pPr>
      <w:r w:rsidRPr="00E50B4A">
        <w:rPr>
          <w:rFonts w:ascii="Arial" w:hAnsi="Arial" w:cs="Arial"/>
          <w:sz w:val="24"/>
          <w:szCs w:val="24"/>
        </w:rPr>
        <w:t xml:space="preserve"> </w:t>
      </w:r>
    </w:p>
    <w:p w:rsidR="00967F2B" w:rsidRPr="00E50B4A" w:rsidRDefault="00967F2B" w:rsidP="00967F2B">
      <w:pPr>
        <w:pStyle w:val="Sinespaciado"/>
        <w:rPr>
          <w:rFonts w:ascii="Arial" w:hAnsi="Arial" w:cs="Arial"/>
          <w:b/>
          <w:sz w:val="24"/>
          <w:szCs w:val="24"/>
        </w:rPr>
      </w:pPr>
      <w:r w:rsidRPr="00E50B4A">
        <w:rPr>
          <w:rFonts w:ascii="Arial" w:hAnsi="Arial" w:cs="Arial"/>
          <w:b/>
          <w:sz w:val="24"/>
          <w:szCs w:val="24"/>
        </w:rPr>
        <w:t>TABLA INDICADOR No 26 PORCENTAJE DE NIÑOS, NIÑAS ENTRE LOS 0 Y 10 AÑOS QUE ASISTEN A CONTROLES DE CRECIMIENTO Y DESARROLLO</w:t>
      </w:r>
    </w:p>
    <w:p w:rsidR="00967F2B" w:rsidRPr="00E50B4A" w:rsidRDefault="00967F2B" w:rsidP="00967F2B">
      <w:pPr>
        <w:pStyle w:val="Sinespaciado"/>
        <w:jc w:val="both"/>
        <w:rPr>
          <w:rFonts w:ascii="Arial" w:hAnsi="Arial" w:cs="Arial"/>
          <w:b/>
          <w:sz w:val="24"/>
          <w:szCs w:val="24"/>
        </w:rPr>
      </w:pPr>
    </w:p>
    <w:tbl>
      <w:tblPr>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47"/>
        <w:gridCol w:w="1248"/>
        <w:gridCol w:w="1371"/>
        <w:gridCol w:w="1370"/>
        <w:gridCol w:w="1371"/>
        <w:gridCol w:w="1237"/>
        <w:gridCol w:w="1210"/>
      </w:tblGrid>
      <w:tr w:rsidR="00E50B4A" w:rsidRPr="00E50B4A" w:rsidTr="00967F2B">
        <w:tc>
          <w:tcPr>
            <w:tcW w:w="2495" w:type="dxa"/>
            <w:gridSpan w:val="2"/>
            <w:tcBorders>
              <w:top w:val="single" w:sz="8" w:space="0" w:color="78C0D4"/>
              <w:left w:val="single" w:sz="8" w:space="0" w:color="78C0D4"/>
              <w:bottom w:val="single" w:sz="8" w:space="0" w:color="78C0D4"/>
              <w:right w:val="nil"/>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26</w:t>
            </w:r>
          </w:p>
          <w:p w:rsidR="00967F2B" w:rsidRPr="00E50B4A" w:rsidRDefault="00967F2B" w:rsidP="00967F2B">
            <w:pPr>
              <w:jc w:val="center"/>
              <w:rPr>
                <w:rFonts w:ascii="Arial" w:hAnsi="Arial" w:cs="Arial"/>
                <w:b/>
                <w:bCs/>
              </w:rPr>
            </w:pPr>
          </w:p>
        </w:tc>
        <w:tc>
          <w:tcPr>
            <w:tcW w:w="5349" w:type="dxa"/>
            <w:gridSpan w:val="4"/>
            <w:tcBorders>
              <w:top w:val="single" w:sz="8" w:space="0" w:color="78C0D4"/>
              <w:left w:val="nil"/>
              <w:bottom w:val="single" w:sz="8" w:space="0" w:color="78C0D4"/>
              <w:right w:val="nil"/>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PORCENTAJE DE NIÑOS, NIÑAS ENTRE LOS 0 Y 10 AÑOS QUE ASISTEN A CONTROLES DE CRECIMIENTO Y DESARROLLO</w:t>
            </w:r>
          </w:p>
        </w:tc>
        <w:tc>
          <w:tcPr>
            <w:tcW w:w="1210" w:type="dxa"/>
            <w:tcBorders>
              <w:top w:val="single" w:sz="8" w:space="0" w:color="78C0D4"/>
              <w:left w:val="nil"/>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495" w:type="dxa"/>
            <w:gridSpan w:val="2"/>
            <w:tcBorders>
              <w:right w:val="nil"/>
            </w:tcBorders>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49" w:type="dxa"/>
            <w:gridSpan w:val="4"/>
            <w:tcBorders>
              <w:left w:val="nil"/>
              <w:right w:val="nil"/>
            </w:tcBorders>
            <w:shd w:val="clear" w:color="auto" w:fill="D2EAF1"/>
          </w:tcPr>
          <w:p w:rsidR="00967F2B" w:rsidRPr="00E50B4A" w:rsidRDefault="00967F2B" w:rsidP="00967F2B">
            <w:pPr>
              <w:jc w:val="center"/>
              <w:rPr>
                <w:rFonts w:ascii="Arial" w:hAnsi="Arial" w:cs="Arial"/>
              </w:rPr>
            </w:pPr>
            <w:r w:rsidRPr="00E50B4A">
              <w:rPr>
                <w:rFonts w:ascii="Arial" w:hAnsi="Arial" w:cs="Arial"/>
              </w:rPr>
              <w:t>E.S.E. HOSPITAL SAN JUAN DE DIOS</w:t>
            </w:r>
          </w:p>
        </w:tc>
        <w:tc>
          <w:tcPr>
            <w:tcW w:w="1210" w:type="dxa"/>
            <w:tcBorders>
              <w:left w:val="nil"/>
            </w:tcBorders>
            <w:shd w:val="clear" w:color="auto" w:fill="D2EAF1"/>
          </w:tcPr>
          <w:p w:rsidR="00967F2B" w:rsidRPr="00E50B4A" w:rsidRDefault="00967F2B" w:rsidP="00967F2B">
            <w:pPr>
              <w:jc w:val="center"/>
              <w:rPr>
                <w:rFonts w:ascii="Arial" w:hAnsi="Arial" w:cs="Arial"/>
              </w:rPr>
            </w:pPr>
          </w:p>
        </w:tc>
      </w:tr>
      <w:tr w:rsidR="00E50B4A" w:rsidRPr="00E50B4A" w:rsidTr="00967F2B">
        <w:tc>
          <w:tcPr>
            <w:tcW w:w="2495" w:type="dxa"/>
            <w:gridSpan w:val="2"/>
            <w:tcBorders>
              <w:right w:val="nil"/>
            </w:tcBorders>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49" w:type="dxa"/>
            <w:gridSpan w:val="4"/>
            <w:tcBorders>
              <w:left w:val="nil"/>
              <w:right w:val="nil"/>
            </w:tcBorders>
          </w:tcPr>
          <w:p w:rsidR="00967F2B" w:rsidRPr="00E50B4A" w:rsidRDefault="00967F2B" w:rsidP="00967F2B">
            <w:pPr>
              <w:jc w:val="center"/>
              <w:rPr>
                <w:rFonts w:ascii="Arial" w:hAnsi="Arial" w:cs="Arial"/>
              </w:rPr>
            </w:pPr>
            <w:r w:rsidRPr="00E50B4A">
              <w:rPr>
                <w:rFonts w:ascii="Arial" w:hAnsi="Arial" w:cs="Arial"/>
              </w:rPr>
              <w:t>RIOSUCIO CALDAS</w:t>
            </w:r>
          </w:p>
        </w:tc>
        <w:tc>
          <w:tcPr>
            <w:tcW w:w="1210" w:type="dxa"/>
            <w:tcBorders>
              <w:left w:val="nil"/>
            </w:tcBorders>
          </w:tcPr>
          <w:p w:rsidR="00967F2B" w:rsidRPr="00E50B4A" w:rsidRDefault="00967F2B" w:rsidP="00967F2B">
            <w:pPr>
              <w:jc w:val="center"/>
              <w:rPr>
                <w:rFonts w:ascii="Arial" w:hAnsi="Arial" w:cs="Arial"/>
              </w:rPr>
            </w:pPr>
          </w:p>
        </w:tc>
      </w:tr>
      <w:tr w:rsidR="00E50B4A" w:rsidRPr="00E50B4A" w:rsidTr="00967F2B">
        <w:tc>
          <w:tcPr>
            <w:tcW w:w="1247" w:type="dxa"/>
            <w:tcBorders>
              <w:right w:val="nil"/>
            </w:tcBorders>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2005</w:t>
            </w:r>
          </w:p>
        </w:tc>
        <w:tc>
          <w:tcPr>
            <w:tcW w:w="1248" w:type="dxa"/>
            <w:tcBorders>
              <w:left w:val="nil"/>
              <w:right w:val="nil"/>
            </w:tcBorders>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371" w:type="dxa"/>
            <w:tcBorders>
              <w:left w:val="nil"/>
              <w:right w:val="nil"/>
            </w:tcBorders>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370" w:type="dxa"/>
            <w:tcBorders>
              <w:left w:val="nil"/>
              <w:right w:val="nil"/>
            </w:tcBorders>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371" w:type="dxa"/>
            <w:tcBorders>
              <w:left w:val="nil"/>
              <w:right w:val="nil"/>
            </w:tcBorders>
            <w:shd w:val="clear" w:color="auto" w:fill="D2EAF1"/>
          </w:tcPr>
          <w:p w:rsidR="00967F2B" w:rsidRPr="00E50B4A" w:rsidRDefault="00967F2B" w:rsidP="00967F2B">
            <w:pPr>
              <w:rPr>
                <w:rFonts w:ascii="Arial" w:hAnsi="Arial" w:cs="Arial"/>
                <w:b/>
              </w:rPr>
            </w:pPr>
            <w:r w:rsidRPr="00E50B4A">
              <w:rPr>
                <w:rFonts w:ascii="Arial" w:hAnsi="Arial" w:cs="Arial"/>
                <w:b/>
              </w:rPr>
              <w:t xml:space="preserve">2009     </w:t>
            </w:r>
          </w:p>
        </w:tc>
        <w:tc>
          <w:tcPr>
            <w:tcW w:w="1237" w:type="dxa"/>
            <w:tcBorders>
              <w:left w:val="nil"/>
              <w:right w:val="nil"/>
            </w:tcBorders>
            <w:shd w:val="clear" w:color="auto" w:fill="D2EAF1"/>
          </w:tcPr>
          <w:p w:rsidR="00967F2B" w:rsidRPr="00E50B4A" w:rsidRDefault="00967F2B" w:rsidP="00967F2B">
            <w:pPr>
              <w:rPr>
                <w:rFonts w:ascii="Arial" w:hAnsi="Arial" w:cs="Arial"/>
                <w:b/>
              </w:rPr>
            </w:pPr>
            <w:r w:rsidRPr="00E50B4A">
              <w:rPr>
                <w:rFonts w:ascii="Arial" w:hAnsi="Arial" w:cs="Arial"/>
                <w:b/>
              </w:rPr>
              <w:t xml:space="preserve">2010   </w:t>
            </w:r>
          </w:p>
        </w:tc>
        <w:tc>
          <w:tcPr>
            <w:tcW w:w="1210" w:type="dxa"/>
            <w:tcBorders>
              <w:left w:val="nil"/>
            </w:tcBorders>
            <w:shd w:val="clear" w:color="auto" w:fill="D2EAF1"/>
          </w:tcPr>
          <w:p w:rsidR="00967F2B" w:rsidRPr="00E50B4A" w:rsidRDefault="00967F2B" w:rsidP="00967F2B">
            <w:pPr>
              <w:rPr>
                <w:rFonts w:ascii="Arial" w:hAnsi="Arial" w:cs="Arial"/>
                <w:b/>
              </w:rPr>
            </w:pPr>
            <w:r w:rsidRPr="00E50B4A">
              <w:rPr>
                <w:rFonts w:ascii="Arial" w:hAnsi="Arial" w:cs="Arial"/>
                <w:b/>
              </w:rPr>
              <w:t>2011</w:t>
            </w:r>
          </w:p>
        </w:tc>
      </w:tr>
      <w:tr w:rsidR="00967F2B" w:rsidRPr="00E50B4A" w:rsidTr="00967F2B">
        <w:tc>
          <w:tcPr>
            <w:tcW w:w="1247" w:type="dxa"/>
            <w:tcBorders>
              <w:right w:val="nil"/>
            </w:tcBorders>
          </w:tcPr>
          <w:p w:rsidR="00967F2B" w:rsidRPr="00E50B4A" w:rsidRDefault="00967F2B" w:rsidP="00967F2B">
            <w:pPr>
              <w:jc w:val="center"/>
              <w:rPr>
                <w:rFonts w:ascii="Arial" w:hAnsi="Arial" w:cs="Arial"/>
                <w:b/>
                <w:bCs/>
              </w:rPr>
            </w:pPr>
          </w:p>
        </w:tc>
        <w:tc>
          <w:tcPr>
            <w:tcW w:w="1248" w:type="dxa"/>
            <w:tcBorders>
              <w:left w:val="nil"/>
              <w:right w:val="nil"/>
            </w:tcBorders>
          </w:tcPr>
          <w:p w:rsidR="00967F2B" w:rsidRPr="00E50B4A" w:rsidRDefault="00967F2B" w:rsidP="00967F2B">
            <w:pPr>
              <w:jc w:val="center"/>
              <w:rPr>
                <w:rFonts w:ascii="Arial" w:hAnsi="Arial" w:cs="Arial"/>
              </w:rPr>
            </w:pPr>
          </w:p>
        </w:tc>
        <w:tc>
          <w:tcPr>
            <w:tcW w:w="1371" w:type="dxa"/>
            <w:tcBorders>
              <w:left w:val="nil"/>
              <w:right w:val="nil"/>
            </w:tcBorders>
          </w:tcPr>
          <w:p w:rsidR="00967F2B" w:rsidRPr="00E50B4A" w:rsidRDefault="00967F2B" w:rsidP="00967F2B">
            <w:pPr>
              <w:jc w:val="center"/>
              <w:rPr>
                <w:rFonts w:ascii="Arial" w:hAnsi="Arial" w:cs="Arial"/>
              </w:rPr>
            </w:pPr>
          </w:p>
        </w:tc>
        <w:tc>
          <w:tcPr>
            <w:tcW w:w="1370" w:type="dxa"/>
            <w:tcBorders>
              <w:left w:val="nil"/>
              <w:right w:val="nil"/>
            </w:tcBorders>
          </w:tcPr>
          <w:p w:rsidR="00967F2B" w:rsidRPr="00E50B4A" w:rsidRDefault="00967F2B" w:rsidP="00967F2B">
            <w:pPr>
              <w:jc w:val="center"/>
              <w:rPr>
                <w:rFonts w:ascii="Arial" w:hAnsi="Arial" w:cs="Arial"/>
              </w:rPr>
            </w:pPr>
          </w:p>
        </w:tc>
        <w:tc>
          <w:tcPr>
            <w:tcW w:w="1371" w:type="dxa"/>
            <w:tcBorders>
              <w:left w:val="nil"/>
              <w:right w:val="nil"/>
            </w:tcBorders>
          </w:tcPr>
          <w:p w:rsidR="00967F2B" w:rsidRPr="00E50B4A" w:rsidRDefault="00967F2B" w:rsidP="00967F2B">
            <w:pPr>
              <w:rPr>
                <w:rFonts w:ascii="Arial" w:hAnsi="Arial" w:cs="Arial"/>
              </w:rPr>
            </w:pPr>
          </w:p>
        </w:tc>
        <w:tc>
          <w:tcPr>
            <w:tcW w:w="1237" w:type="dxa"/>
            <w:tcBorders>
              <w:left w:val="nil"/>
              <w:right w:val="nil"/>
            </w:tcBorders>
          </w:tcPr>
          <w:p w:rsidR="00967F2B" w:rsidRPr="00E50B4A" w:rsidRDefault="00967F2B" w:rsidP="00967F2B">
            <w:pPr>
              <w:rPr>
                <w:rFonts w:ascii="Arial" w:hAnsi="Arial" w:cs="Arial"/>
              </w:rPr>
            </w:pPr>
          </w:p>
        </w:tc>
        <w:tc>
          <w:tcPr>
            <w:tcW w:w="1210" w:type="dxa"/>
            <w:tcBorders>
              <w:left w:val="nil"/>
            </w:tcBorders>
          </w:tcPr>
          <w:p w:rsidR="00967F2B" w:rsidRPr="00E50B4A" w:rsidRDefault="00967F2B" w:rsidP="00967F2B">
            <w:pPr>
              <w:rPr>
                <w:rFonts w:ascii="Arial" w:hAnsi="Arial" w:cs="Arial"/>
              </w:rPr>
            </w:pPr>
            <w:r w:rsidRPr="00E50B4A">
              <w:rPr>
                <w:rFonts w:ascii="Arial" w:hAnsi="Arial" w:cs="Arial"/>
              </w:rPr>
              <w:t>70%</w:t>
            </w:r>
          </w:p>
        </w:tc>
      </w:tr>
    </w:tbl>
    <w:p w:rsidR="00967F2B" w:rsidRPr="00E50B4A" w:rsidRDefault="00967F2B" w:rsidP="00967F2B">
      <w:pPr>
        <w:autoSpaceDE w:val="0"/>
        <w:autoSpaceDN w:val="0"/>
        <w:adjustRightInd w:val="0"/>
        <w:jc w:val="both"/>
        <w:rPr>
          <w:rFonts w:ascii="Arial" w:hAnsi="Arial" w:cs="Arial"/>
          <w:sz w:val="24"/>
          <w:szCs w:val="24"/>
        </w:rPr>
      </w:pPr>
    </w:p>
    <w:p w:rsidR="00967F2B" w:rsidRPr="00E50B4A" w:rsidRDefault="00967F2B" w:rsidP="00967F2B">
      <w:pPr>
        <w:autoSpaceDE w:val="0"/>
        <w:autoSpaceDN w:val="0"/>
        <w:adjustRightInd w:val="0"/>
        <w:jc w:val="both"/>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 xml:space="preserve">Definición: </w:t>
      </w:r>
      <w:r w:rsidR="001E3578" w:rsidRPr="00E50B4A">
        <w:rPr>
          <w:rFonts w:ascii="Arial" w:hAnsi="Arial" w:cs="Arial"/>
          <w:sz w:val="24"/>
          <w:szCs w:val="24"/>
        </w:rPr>
        <w:t>para un perí</w:t>
      </w:r>
      <w:r w:rsidRPr="00E50B4A">
        <w:rPr>
          <w:rFonts w:ascii="Arial" w:hAnsi="Arial" w:cs="Arial"/>
          <w:sz w:val="24"/>
          <w:szCs w:val="24"/>
        </w:rPr>
        <w:t>odo de tiempo específico, indica el total de niños, niñas entre los 0 y 10 años, qué proporción de ellos y ellas asisten a control de crecimiento y Desarrollo.</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b/>
          <w:sz w:val="24"/>
          <w:szCs w:val="24"/>
        </w:rPr>
        <w:t xml:space="preserve"> </w:t>
      </w:r>
      <w:r w:rsidRPr="00E50B4A">
        <w:rPr>
          <w:rFonts w:ascii="Arial" w:hAnsi="Arial" w:cs="Arial"/>
          <w:sz w:val="24"/>
          <w:szCs w:val="24"/>
        </w:rPr>
        <w:t>Muestra la evaluación periódica que se hace a los niños y niñas de 0 a 10 años, de sus condiciones de salud y desarrollo y permite tomar acciones oportunas.</w:t>
      </w: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 xml:space="preserve">Se evidencia que para el 2011 se dio una </w:t>
      </w:r>
      <w:r w:rsidR="001E3578" w:rsidRPr="00E50B4A">
        <w:rPr>
          <w:rFonts w:ascii="Arial" w:hAnsi="Arial" w:cs="Arial"/>
          <w:sz w:val="24"/>
          <w:szCs w:val="24"/>
        </w:rPr>
        <w:t>cobertura del 70% de la població</w:t>
      </w:r>
      <w:r w:rsidRPr="00E50B4A">
        <w:rPr>
          <w:rFonts w:ascii="Arial" w:hAnsi="Arial" w:cs="Arial"/>
          <w:sz w:val="24"/>
          <w:szCs w:val="24"/>
        </w:rPr>
        <w:t xml:space="preserve">n objeto en los controles de crecimiento y desarrollo, donde una de las razones puede ser la relación del programa de familias en acción con la obligatoriedad de cumplir con los controles de crecimiento y desarrollo y la vacunación, entre otras. </w:t>
      </w:r>
    </w:p>
    <w:p w:rsidR="00967F2B" w:rsidRPr="00E50B4A" w:rsidRDefault="00967F2B" w:rsidP="00967F2B">
      <w:pPr>
        <w:autoSpaceDE w:val="0"/>
        <w:autoSpaceDN w:val="0"/>
        <w:adjustRightInd w:val="0"/>
        <w:ind w:left="1410"/>
        <w:jc w:val="both"/>
        <w:rPr>
          <w:rFonts w:ascii="Arial" w:hAnsi="Arial" w:cs="Arial"/>
          <w:sz w:val="24"/>
          <w:szCs w:val="24"/>
        </w:rPr>
      </w:pPr>
    </w:p>
    <w:p w:rsidR="00967F2B" w:rsidRPr="00E50B4A" w:rsidRDefault="00967F2B" w:rsidP="00967F2B">
      <w:pPr>
        <w:autoSpaceDE w:val="0"/>
        <w:autoSpaceDN w:val="0"/>
        <w:adjustRightInd w:val="0"/>
        <w:jc w:val="center"/>
        <w:rPr>
          <w:rFonts w:ascii="Arial" w:hAnsi="Arial" w:cs="Arial"/>
          <w:b/>
          <w:sz w:val="24"/>
          <w:szCs w:val="24"/>
        </w:rPr>
      </w:pPr>
    </w:p>
    <w:p w:rsidR="00967F2B" w:rsidRPr="00E50B4A" w:rsidRDefault="00967F2B" w:rsidP="00967F2B">
      <w:pPr>
        <w:autoSpaceDE w:val="0"/>
        <w:autoSpaceDN w:val="0"/>
        <w:adjustRightInd w:val="0"/>
        <w:rPr>
          <w:rFonts w:ascii="Arial" w:hAnsi="Arial" w:cs="Arial"/>
          <w:b/>
          <w:sz w:val="24"/>
          <w:szCs w:val="24"/>
        </w:rPr>
      </w:pPr>
      <w:r w:rsidRPr="00E50B4A">
        <w:rPr>
          <w:rFonts w:ascii="Arial" w:hAnsi="Arial" w:cs="Arial"/>
          <w:b/>
          <w:sz w:val="24"/>
          <w:szCs w:val="24"/>
        </w:rPr>
        <w:t>PRIMERA INFANCIA</w:t>
      </w:r>
    </w:p>
    <w:p w:rsidR="00967F2B" w:rsidRPr="00E50B4A" w:rsidRDefault="00967F2B" w:rsidP="00967F2B">
      <w:pPr>
        <w:autoSpaceDE w:val="0"/>
        <w:autoSpaceDN w:val="0"/>
        <w:adjustRightInd w:val="0"/>
        <w:jc w:val="center"/>
        <w:rPr>
          <w:rFonts w:ascii="Arial" w:hAnsi="Arial" w:cs="Arial"/>
          <w:b/>
          <w:sz w:val="24"/>
          <w:szCs w:val="24"/>
        </w:rPr>
      </w:pPr>
    </w:p>
    <w:p w:rsidR="00967F2B" w:rsidRPr="00E50B4A" w:rsidRDefault="00967F2B" w:rsidP="00967F2B">
      <w:pPr>
        <w:autoSpaceDE w:val="0"/>
        <w:autoSpaceDN w:val="0"/>
        <w:adjustRightInd w:val="0"/>
        <w:jc w:val="center"/>
        <w:rPr>
          <w:rFonts w:ascii="Arial" w:hAnsi="Arial" w:cs="Arial"/>
          <w:b/>
          <w:sz w:val="24"/>
          <w:szCs w:val="24"/>
        </w:rPr>
      </w:pPr>
    </w:p>
    <w:tbl>
      <w:tblPr>
        <w:tblpPr w:leftFromText="141" w:rightFromText="141" w:vertAnchor="text" w:horzAnchor="margin" w:tblpXSpec="center" w:tblpY="78"/>
        <w:tblW w:w="9054" w:type="dxa"/>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250"/>
        <w:gridCol w:w="1245"/>
        <w:gridCol w:w="1371"/>
        <w:gridCol w:w="1370"/>
        <w:gridCol w:w="1371"/>
        <w:gridCol w:w="1237"/>
        <w:gridCol w:w="1210"/>
      </w:tblGrid>
      <w:tr w:rsidR="00E50B4A" w:rsidRPr="00E50B4A" w:rsidTr="00967F2B">
        <w:tc>
          <w:tcPr>
            <w:tcW w:w="2495" w:type="dxa"/>
            <w:gridSpan w:val="2"/>
            <w:tcBorders>
              <w:top w:val="single" w:sz="8" w:space="0" w:color="78C0D4"/>
              <w:left w:val="single" w:sz="8" w:space="0" w:color="78C0D4"/>
              <w:bottom w:val="single" w:sz="8" w:space="0" w:color="78C0D4"/>
            </w:tcBorders>
            <w:shd w:val="clear" w:color="auto" w:fill="4BACC6"/>
          </w:tcPr>
          <w:p w:rsidR="00967F2B" w:rsidRPr="00E50B4A" w:rsidRDefault="00967F2B" w:rsidP="00967F2B">
            <w:pPr>
              <w:jc w:val="center"/>
              <w:rPr>
                <w:rFonts w:ascii="Arial" w:hAnsi="Arial" w:cs="Arial"/>
                <w:b/>
                <w:bCs/>
              </w:rPr>
            </w:pPr>
            <w:r w:rsidRPr="00E50B4A">
              <w:rPr>
                <w:rFonts w:ascii="Arial" w:hAnsi="Arial" w:cs="Arial"/>
                <w:b/>
                <w:bCs/>
              </w:rPr>
              <w:t>INDICADOR No 26</w:t>
            </w:r>
          </w:p>
          <w:p w:rsidR="00967F2B" w:rsidRPr="00E50B4A" w:rsidRDefault="00967F2B" w:rsidP="00967F2B">
            <w:pPr>
              <w:jc w:val="center"/>
              <w:rPr>
                <w:rFonts w:ascii="Arial" w:hAnsi="Arial" w:cs="Arial"/>
                <w:b/>
                <w:bCs/>
              </w:rPr>
            </w:pPr>
          </w:p>
        </w:tc>
        <w:tc>
          <w:tcPr>
            <w:tcW w:w="5349" w:type="dxa"/>
            <w:gridSpan w:val="4"/>
            <w:tcBorders>
              <w:top w:val="single" w:sz="8" w:space="0" w:color="78C0D4"/>
              <w:bottom w:val="single" w:sz="8" w:space="0" w:color="78C0D4"/>
            </w:tcBorders>
            <w:shd w:val="clear" w:color="auto" w:fill="4BACC6"/>
          </w:tcPr>
          <w:p w:rsidR="00967F2B" w:rsidRPr="00E50B4A" w:rsidRDefault="00967F2B" w:rsidP="00967F2B">
            <w:pPr>
              <w:pStyle w:val="Sinespaciado"/>
              <w:jc w:val="both"/>
              <w:rPr>
                <w:rFonts w:ascii="Arial" w:hAnsi="Arial" w:cs="Arial"/>
                <w:b/>
                <w:bCs/>
              </w:rPr>
            </w:pPr>
            <w:r w:rsidRPr="00E50B4A">
              <w:rPr>
                <w:rFonts w:ascii="Arial" w:hAnsi="Arial" w:cs="Arial"/>
                <w:b/>
                <w:bCs/>
              </w:rPr>
              <w:t>PORCENTAJE DE NIÑOS, NIÑAS ENTRE LOS 0 Y 5 AÑOS QUE ASISTEN A CONTROLES DE CRECIMIENTO Y DESARROLLO</w:t>
            </w:r>
          </w:p>
        </w:tc>
        <w:tc>
          <w:tcPr>
            <w:tcW w:w="1210" w:type="dxa"/>
            <w:tcBorders>
              <w:top w:val="single" w:sz="8" w:space="0" w:color="78C0D4"/>
              <w:bottom w:val="single" w:sz="8" w:space="0" w:color="78C0D4"/>
              <w:right w:val="single" w:sz="8" w:space="0" w:color="78C0D4"/>
            </w:tcBorders>
            <w:shd w:val="clear" w:color="auto" w:fill="4BACC6"/>
          </w:tcPr>
          <w:p w:rsidR="00967F2B" w:rsidRPr="00E50B4A" w:rsidRDefault="00967F2B" w:rsidP="00967F2B">
            <w:pPr>
              <w:pStyle w:val="Sinespaciado"/>
              <w:jc w:val="both"/>
              <w:rPr>
                <w:rFonts w:ascii="Arial" w:hAnsi="Arial" w:cs="Arial"/>
                <w:b/>
                <w:bCs/>
              </w:rPr>
            </w:pPr>
          </w:p>
        </w:tc>
      </w:tr>
      <w:tr w:rsidR="00E50B4A" w:rsidRPr="00E50B4A" w:rsidTr="00967F2B">
        <w:tc>
          <w:tcPr>
            <w:tcW w:w="2495" w:type="dxa"/>
            <w:gridSpan w:val="2"/>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FUENTE DE INFORMACIÓN</w:t>
            </w:r>
          </w:p>
        </w:tc>
        <w:tc>
          <w:tcPr>
            <w:tcW w:w="5349" w:type="dxa"/>
            <w:gridSpan w:val="4"/>
            <w:shd w:val="clear" w:color="auto" w:fill="D2EAF1"/>
          </w:tcPr>
          <w:p w:rsidR="00967F2B" w:rsidRPr="00E50B4A" w:rsidRDefault="00967F2B" w:rsidP="00967F2B">
            <w:pPr>
              <w:jc w:val="center"/>
              <w:rPr>
                <w:rFonts w:ascii="Arial" w:hAnsi="Arial" w:cs="Arial"/>
              </w:rPr>
            </w:pPr>
            <w:r w:rsidRPr="00E50B4A">
              <w:rPr>
                <w:rFonts w:ascii="Arial" w:hAnsi="Arial" w:cs="Arial"/>
              </w:rPr>
              <w:t>E.S.E. HOSPITAL SAN JUAN DE DIOS</w:t>
            </w:r>
          </w:p>
        </w:tc>
        <w:tc>
          <w:tcPr>
            <w:tcW w:w="1210" w:type="dxa"/>
            <w:shd w:val="clear" w:color="auto" w:fill="D2EAF1"/>
          </w:tcPr>
          <w:p w:rsidR="00967F2B" w:rsidRPr="00E50B4A" w:rsidRDefault="00967F2B" w:rsidP="00967F2B">
            <w:pPr>
              <w:jc w:val="center"/>
              <w:rPr>
                <w:rFonts w:ascii="Arial" w:hAnsi="Arial" w:cs="Arial"/>
              </w:rPr>
            </w:pPr>
          </w:p>
        </w:tc>
      </w:tr>
      <w:tr w:rsidR="00E50B4A" w:rsidRPr="00E50B4A" w:rsidTr="00967F2B">
        <w:tc>
          <w:tcPr>
            <w:tcW w:w="2495" w:type="dxa"/>
            <w:gridSpan w:val="2"/>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
                <w:bCs/>
              </w:rPr>
              <w:t xml:space="preserve">MUNICIPIO </w:t>
            </w:r>
          </w:p>
        </w:tc>
        <w:tc>
          <w:tcPr>
            <w:tcW w:w="5349" w:type="dxa"/>
            <w:gridSpan w:val="4"/>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RIOSUCIO CALDAS</w:t>
            </w:r>
          </w:p>
        </w:tc>
        <w:tc>
          <w:tcPr>
            <w:tcW w:w="1210" w:type="dxa"/>
            <w:tcBorders>
              <w:left w:val="nil"/>
            </w:tcBorders>
            <w:shd w:val="clear" w:color="auto" w:fill="auto"/>
          </w:tcPr>
          <w:p w:rsidR="00967F2B" w:rsidRPr="00E50B4A" w:rsidRDefault="00967F2B" w:rsidP="00967F2B">
            <w:pPr>
              <w:jc w:val="center"/>
              <w:rPr>
                <w:rFonts w:ascii="Arial" w:hAnsi="Arial" w:cs="Arial"/>
              </w:rPr>
            </w:pPr>
          </w:p>
        </w:tc>
      </w:tr>
      <w:tr w:rsidR="00E50B4A" w:rsidRPr="00E50B4A" w:rsidTr="00967F2B">
        <w:tc>
          <w:tcPr>
            <w:tcW w:w="1250" w:type="dxa"/>
            <w:shd w:val="clear" w:color="auto" w:fill="D2EAF1"/>
          </w:tcPr>
          <w:p w:rsidR="00967F2B" w:rsidRPr="00E50B4A" w:rsidRDefault="00967F2B" w:rsidP="00967F2B">
            <w:pPr>
              <w:jc w:val="center"/>
              <w:rPr>
                <w:rFonts w:ascii="Arial" w:hAnsi="Arial" w:cs="Arial"/>
                <w:b/>
                <w:bCs/>
              </w:rPr>
            </w:pPr>
            <w:r w:rsidRPr="00E50B4A">
              <w:rPr>
                <w:rFonts w:ascii="Arial" w:hAnsi="Arial" w:cs="Arial"/>
                <w:b/>
                <w:bCs/>
              </w:rPr>
              <w:t>AÑO 2005</w:t>
            </w:r>
          </w:p>
        </w:tc>
        <w:tc>
          <w:tcPr>
            <w:tcW w:w="1245"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2006</w:t>
            </w:r>
          </w:p>
        </w:tc>
        <w:tc>
          <w:tcPr>
            <w:tcW w:w="1371"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2007</w:t>
            </w:r>
          </w:p>
        </w:tc>
        <w:tc>
          <w:tcPr>
            <w:tcW w:w="1370" w:type="dxa"/>
            <w:shd w:val="clear" w:color="auto" w:fill="D2EAF1"/>
          </w:tcPr>
          <w:p w:rsidR="00967F2B" w:rsidRPr="00E50B4A" w:rsidRDefault="00967F2B" w:rsidP="00967F2B">
            <w:pPr>
              <w:jc w:val="center"/>
              <w:rPr>
                <w:rFonts w:ascii="Arial" w:hAnsi="Arial" w:cs="Arial"/>
                <w:b/>
              </w:rPr>
            </w:pPr>
            <w:r w:rsidRPr="00E50B4A">
              <w:rPr>
                <w:rFonts w:ascii="Arial" w:hAnsi="Arial" w:cs="Arial"/>
                <w:b/>
              </w:rPr>
              <w:t>2008</w:t>
            </w:r>
          </w:p>
        </w:tc>
        <w:tc>
          <w:tcPr>
            <w:tcW w:w="1371"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2009</w:t>
            </w:r>
          </w:p>
        </w:tc>
        <w:tc>
          <w:tcPr>
            <w:tcW w:w="1237"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2010</w:t>
            </w:r>
          </w:p>
        </w:tc>
        <w:tc>
          <w:tcPr>
            <w:tcW w:w="1210" w:type="dxa"/>
            <w:shd w:val="clear" w:color="auto" w:fill="D2EAF1"/>
          </w:tcPr>
          <w:p w:rsidR="00967F2B" w:rsidRPr="00E50B4A" w:rsidRDefault="00967F2B" w:rsidP="00967F2B">
            <w:pPr>
              <w:rPr>
                <w:rFonts w:ascii="Arial" w:hAnsi="Arial" w:cs="Arial"/>
                <w:b/>
              </w:rPr>
            </w:pPr>
            <w:r w:rsidRPr="00E50B4A">
              <w:rPr>
                <w:rFonts w:ascii="Arial" w:hAnsi="Arial" w:cs="Arial"/>
                <w:b/>
              </w:rPr>
              <w:t xml:space="preserve">    2011</w:t>
            </w:r>
          </w:p>
        </w:tc>
      </w:tr>
      <w:tr w:rsidR="00E50B4A" w:rsidRPr="00E50B4A" w:rsidTr="00967F2B">
        <w:tc>
          <w:tcPr>
            <w:tcW w:w="1250" w:type="dxa"/>
            <w:tcBorders>
              <w:right w:val="nil"/>
            </w:tcBorders>
            <w:shd w:val="clear" w:color="auto" w:fill="auto"/>
          </w:tcPr>
          <w:p w:rsidR="00967F2B" w:rsidRPr="00E50B4A" w:rsidRDefault="00967F2B" w:rsidP="00967F2B">
            <w:pPr>
              <w:jc w:val="center"/>
              <w:rPr>
                <w:rFonts w:ascii="Arial" w:hAnsi="Arial" w:cs="Arial"/>
                <w:b/>
                <w:bCs/>
              </w:rPr>
            </w:pPr>
            <w:r w:rsidRPr="00E50B4A">
              <w:rPr>
                <w:rFonts w:ascii="Arial" w:hAnsi="Arial" w:cs="Arial"/>
                <w:bCs/>
              </w:rPr>
              <w:t>103</w:t>
            </w:r>
          </w:p>
        </w:tc>
        <w:tc>
          <w:tcPr>
            <w:tcW w:w="1245"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92</w:t>
            </w:r>
          </w:p>
        </w:tc>
        <w:tc>
          <w:tcPr>
            <w:tcW w:w="137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88</w:t>
            </w:r>
          </w:p>
        </w:tc>
        <w:tc>
          <w:tcPr>
            <w:tcW w:w="1370"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102</w:t>
            </w:r>
          </w:p>
        </w:tc>
        <w:tc>
          <w:tcPr>
            <w:tcW w:w="1371"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126</w:t>
            </w:r>
          </w:p>
        </w:tc>
        <w:tc>
          <w:tcPr>
            <w:tcW w:w="1237" w:type="dxa"/>
            <w:tcBorders>
              <w:left w:val="nil"/>
              <w:righ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119</w:t>
            </w:r>
          </w:p>
        </w:tc>
        <w:tc>
          <w:tcPr>
            <w:tcW w:w="1210" w:type="dxa"/>
            <w:tcBorders>
              <w:left w:val="nil"/>
            </w:tcBorders>
            <w:shd w:val="clear" w:color="auto" w:fill="auto"/>
          </w:tcPr>
          <w:p w:rsidR="00967F2B" w:rsidRPr="00E50B4A" w:rsidRDefault="00967F2B" w:rsidP="00967F2B">
            <w:pPr>
              <w:jc w:val="center"/>
              <w:rPr>
                <w:rFonts w:ascii="Arial" w:hAnsi="Arial" w:cs="Arial"/>
              </w:rPr>
            </w:pPr>
            <w:r w:rsidRPr="00E50B4A">
              <w:rPr>
                <w:rFonts w:ascii="Arial" w:hAnsi="Arial" w:cs="Arial"/>
              </w:rPr>
              <w:t>98%</w:t>
            </w:r>
          </w:p>
        </w:tc>
      </w:tr>
    </w:tbl>
    <w:p w:rsidR="00967F2B" w:rsidRPr="00E50B4A" w:rsidRDefault="00967F2B" w:rsidP="00967F2B">
      <w:pPr>
        <w:autoSpaceDE w:val="0"/>
        <w:autoSpaceDN w:val="0"/>
        <w:adjustRightInd w:val="0"/>
        <w:jc w:val="center"/>
        <w:rPr>
          <w:rFonts w:ascii="Arial" w:hAnsi="Arial" w:cs="Arial"/>
          <w:b/>
          <w:sz w:val="24"/>
          <w:szCs w:val="24"/>
        </w:rPr>
      </w:pPr>
    </w:p>
    <w:p w:rsidR="00967F2B" w:rsidRPr="00E50B4A" w:rsidRDefault="00967F2B" w:rsidP="00967F2B">
      <w:pPr>
        <w:autoSpaceDE w:val="0"/>
        <w:autoSpaceDN w:val="0"/>
        <w:adjustRightInd w:val="0"/>
        <w:jc w:val="center"/>
        <w:rPr>
          <w:rFonts w:ascii="Arial" w:hAnsi="Arial" w:cs="Arial"/>
          <w:b/>
          <w:sz w:val="24"/>
          <w:szCs w:val="24"/>
        </w:rPr>
      </w:pPr>
    </w:p>
    <w:p w:rsidR="00967F2B" w:rsidRPr="00E50B4A" w:rsidRDefault="00967F2B" w:rsidP="00967F2B">
      <w:pPr>
        <w:autoSpaceDE w:val="0"/>
        <w:autoSpaceDN w:val="0"/>
        <w:adjustRightInd w:val="0"/>
        <w:jc w:val="both"/>
        <w:rPr>
          <w:rFonts w:ascii="Arial" w:hAnsi="Arial" w:cs="Arial"/>
          <w:sz w:val="24"/>
          <w:szCs w:val="24"/>
        </w:rPr>
      </w:pPr>
      <w:r w:rsidRPr="00E50B4A">
        <w:rPr>
          <w:rFonts w:ascii="Arial" w:hAnsi="Arial" w:cs="Arial"/>
          <w:sz w:val="24"/>
          <w:szCs w:val="24"/>
        </w:rPr>
        <w:t>De manera progresiva se ha visto un incremento el número de niños que asisten a controles de crecimiento y desarrollo, esto se debe gracias a que se realiza un trabajo articulado con los actores del Sistema de seguridad social como lo son las IPS, EPS tanto subsidiadas como contributivas, así mismo ICBF, acción social y el grupo extramural  de la E.S.E. que facilita el acceso a las comunidades más lejanas del Municipio de Riosucio.</w:t>
      </w:r>
    </w:p>
    <w:p w:rsidR="005A23AB" w:rsidRPr="00E50B4A" w:rsidRDefault="00967F2B" w:rsidP="00967F2B">
      <w:pPr>
        <w:tabs>
          <w:tab w:val="left" w:pos="2400"/>
          <w:tab w:val="center" w:pos="4419"/>
        </w:tabs>
        <w:spacing w:after="0" w:line="240" w:lineRule="auto"/>
        <w:jc w:val="center"/>
        <w:rPr>
          <w:rFonts w:asciiTheme="majorHAnsi" w:hAnsiTheme="majorHAnsi" w:cs="Arial"/>
          <w:sz w:val="24"/>
          <w:szCs w:val="24"/>
        </w:rPr>
      </w:pPr>
      <w:r w:rsidRPr="00E50B4A">
        <w:rPr>
          <w:rFonts w:ascii="Arial" w:hAnsi="Arial" w:cs="Arial"/>
          <w:sz w:val="24"/>
          <w:szCs w:val="24"/>
        </w:rPr>
        <w:tab/>
      </w:r>
    </w:p>
    <w:p w:rsidR="005A23AB" w:rsidRPr="00E50B4A" w:rsidRDefault="005A23AB" w:rsidP="00F37D60">
      <w:pPr>
        <w:jc w:val="both"/>
        <w:rPr>
          <w:rFonts w:asciiTheme="majorHAnsi" w:eastAsia="MS PMincho" w:hAnsiTheme="majorHAnsi" w:cstheme="minorHAnsi"/>
          <w:sz w:val="24"/>
          <w:szCs w:val="24"/>
        </w:rPr>
      </w:pPr>
    </w:p>
    <w:p w:rsidR="00B42F0C" w:rsidRPr="00E50B4A" w:rsidRDefault="00B42F0C" w:rsidP="00F209A8">
      <w:pPr>
        <w:jc w:val="center"/>
        <w:rPr>
          <w:rFonts w:asciiTheme="majorHAnsi" w:eastAsia="MS PMincho" w:hAnsiTheme="majorHAnsi" w:cstheme="minorHAnsi"/>
          <w:b/>
          <w:sz w:val="24"/>
          <w:szCs w:val="24"/>
          <w:u w:val="single"/>
        </w:rPr>
      </w:pPr>
      <w:r w:rsidRPr="00E50B4A">
        <w:rPr>
          <w:rFonts w:asciiTheme="majorHAnsi" w:eastAsia="MS PMincho" w:hAnsiTheme="majorHAnsi" w:cstheme="minorHAnsi"/>
          <w:b/>
          <w:sz w:val="24"/>
          <w:szCs w:val="24"/>
          <w:u w:val="single"/>
        </w:rPr>
        <w:t>Posibilidades.</w:t>
      </w:r>
    </w:p>
    <w:p w:rsidR="00B42F0C" w:rsidRPr="00E50B4A" w:rsidRDefault="00B42F0C" w:rsidP="00F37D60">
      <w:pPr>
        <w:jc w:val="both"/>
        <w:rPr>
          <w:rFonts w:asciiTheme="majorHAnsi" w:eastAsia="MS PMincho" w:hAnsiTheme="majorHAnsi" w:cstheme="minorHAnsi"/>
          <w:sz w:val="24"/>
          <w:szCs w:val="24"/>
        </w:rPr>
      </w:pPr>
    </w:p>
    <w:p w:rsidR="00B42F0C" w:rsidRPr="00E50B4A" w:rsidRDefault="00CD33EE"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 xml:space="preserve">Algunas acciones de </w:t>
      </w:r>
      <w:r w:rsidR="00BF661C" w:rsidRPr="00E50B4A">
        <w:rPr>
          <w:rFonts w:asciiTheme="majorHAnsi" w:eastAsia="MS PMincho" w:hAnsiTheme="majorHAnsi" w:cstheme="minorHAnsi"/>
          <w:sz w:val="24"/>
          <w:szCs w:val="24"/>
        </w:rPr>
        <w:t xml:space="preserve"> macro - procesos de salud en el municipio se dirigen a la población en general del municipio, como los son </w:t>
      </w:r>
      <w:r w:rsidRPr="00E50B4A">
        <w:rPr>
          <w:rFonts w:asciiTheme="majorHAnsi" w:eastAsia="MS PMincho" w:hAnsiTheme="majorHAnsi" w:cstheme="minorHAnsi"/>
          <w:sz w:val="24"/>
          <w:szCs w:val="24"/>
        </w:rPr>
        <w:t xml:space="preserve">sistemas de información y evaluación de resultados, procesos de formación a profesionales de la medicina occidental e indígena, certificación del municipio en salud, aseguramiento, vigilancia y control. </w:t>
      </w:r>
    </w:p>
    <w:p w:rsidR="00CD33EE" w:rsidRPr="00E50B4A" w:rsidRDefault="00CD33EE"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Hay acciones de salud pública dirigidas exclusivamente a NNA para prevenir la mortalidad y morbilidad en menores de 1 año, de 0 a 5 años, otras acciones buscan evitar la muerte entre los 0 a 17 años por causas externas, como suicidios, homicidio accidentes de transito.</w:t>
      </w:r>
    </w:p>
    <w:p w:rsidR="00CD33EE" w:rsidRPr="00E50B4A" w:rsidRDefault="00CD33EE" w:rsidP="00F37D60">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El cumplimiento del derechos a una alimentación sana y acorde con las necesidades nutricionales y sus usos y costumbres es prioridad del PMD</w:t>
      </w:r>
      <w:r w:rsidR="0080628D" w:rsidRPr="00E50B4A">
        <w:rPr>
          <w:rFonts w:asciiTheme="majorHAnsi" w:eastAsia="MS PMincho" w:hAnsiTheme="majorHAnsi" w:cstheme="minorHAnsi"/>
          <w:sz w:val="24"/>
          <w:szCs w:val="24"/>
        </w:rPr>
        <w:t xml:space="preserve"> para niños y madres gestantes, controlar el peso y la talla, la vacunación, los controles prenatales en gestantes, la prevención y control de EDA y ERA son </w:t>
      </w:r>
      <w:r w:rsidR="00F209A8" w:rsidRPr="00E50B4A">
        <w:rPr>
          <w:rFonts w:asciiTheme="majorHAnsi" w:eastAsia="MS PMincho" w:hAnsiTheme="majorHAnsi" w:cstheme="minorHAnsi"/>
          <w:sz w:val="24"/>
          <w:szCs w:val="24"/>
        </w:rPr>
        <w:t>algunas de las acciones que ejecutaremos.</w:t>
      </w:r>
    </w:p>
    <w:p w:rsidR="0023436D" w:rsidRPr="00E50B4A" w:rsidRDefault="0023436D" w:rsidP="008D574F">
      <w:pPr>
        <w:jc w:val="center"/>
        <w:rPr>
          <w:rFonts w:asciiTheme="majorHAnsi" w:eastAsia="MS PMincho" w:hAnsiTheme="majorHAnsi" w:cstheme="minorHAnsi"/>
          <w:b/>
          <w:sz w:val="24"/>
          <w:szCs w:val="24"/>
          <w:u w:val="single"/>
        </w:rPr>
      </w:pPr>
    </w:p>
    <w:p w:rsidR="0080628D" w:rsidRPr="00E50B4A" w:rsidRDefault="008D574F" w:rsidP="008D574F">
      <w:pPr>
        <w:jc w:val="center"/>
        <w:rPr>
          <w:rFonts w:asciiTheme="majorHAnsi" w:eastAsia="MS PMincho" w:hAnsiTheme="majorHAnsi" w:cstheme="minorHAnsi"/>
          <w:b/>
          <w:sz w:val="24"/>
          <w:szCs w:val="24"/>
          <w:u w:val="single"/>
        </w:rPr>
      </w:pPr>
      <w:r w:rsidRPr="00E50B4A">
        <w:rPr>
          <w:rFonts w:asciiTheme="majorHAnsi" w:eastAsia="MS PMincho" w:hAnsiTheme="majorHAnsi" w:cstheme="minorHAnsi"/>
          <w:b/>
          <w:sz w:val="24"/>
          <w:szCs w:val="24"/>
          <w:u w:val="single"/>
        </w:rPr>
        <w:t>Derecho a la educación</w:t>
      </w:r>
    </w:p>
    <w:p w:rsidR="009220CB" w:rsidRPr="00E50B4A" w:rsidRDefault="009D1744"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Resulta fundamental para el mun</w:t>
      </w:r>
      <w:r w:rsidR="00134245" w:rsidRPr="00E50B4A">
        <w:rPr>
          <w:rFonts w:asciiTheme="majorHAnsi" w:eastAsia="MS PMincho" w:hAnsiTheme="majorHAnsi" w:cstheme="minorHAnsi"/>
          <w:sz w:val="24"/>
          <w:szCs w:val="24"/>
        </w:rPr>
        <w:t>icipio emprender procesos para la orientación y apoyo de familias en la estimulación y desarrollo infantil de las niñas y niños menores de 5 años y garantizar el acceso a la educación prescolar a los mayores de 5 años.</w:t>
      </w:r>
      <w:r w:rsidR="009220CB" w:rsidRPr="00E50B4A">
        <w:rPr>
          <w:rFonts w:asciiTheme="majorHAnsi" w:eastAsia="MS PMincho" w:hAnsiTheme="majorHAnsi" w:cstheme="minorHAnsi"/>
          <w:sz w:val="24"/>
          <w:szCs w:val="24"/>
        </w:rPr>
        <w:t xml:space="preserve"> </w:t>
      </w:r>
    </w:p>
    <w:p w:rsidR="009220CB" w:rsidRPr="00E50B4A" w:rsidRDefault="009220CB"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Los índices a 2010 muestran datos alarmantes, solo el 34% de los niños menores de 6 años reciben educación inicial, la tasa de cobertura  de educación básica primaria es de 82% por debajo de la departamental que se sitúa en 82.9%.</w:t>
      </w:r>
    </w:p>
    <w:p w:rsidR="009220CB" w:rsidRPr="00E50B4A" w:rsidRDefault="009220CB"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Datos que obligan a la adopción de un pacto social por la NNA que involucre todos los sectores sociales, políticos y poblacionales del municipio y obligue a la adopción de políticas y acciones públicas ambiciosas.</w:t>
      </w:r>
    </w:p>
    <w:p w:rsidR="009220CB" w:rsidRPr="00E50B4A" w:rsidRDefault="009220CB"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Garantizar la educación primaria para todos y promover de acuerdo a lineamientos de política pública nacional para mejores los resulta en la pruebas saber de quinto grado</w:t>
      </w:r>
    </w:p>
    <w:p w:rsidR="001E3578" w:rsidRPr="00E50B4A" w:rsidRDefault="001E3578" w:rsidP="009D1744">
      <w:pPr>
        <w:jc w:val="both"/>
        <w:rPr>
          <w:rFonts w:asciiTheme="majorHAnsi" w:eastAsia="MS PMincho" w:hAnsiTheme="majorHAnsi" w:cstheme="minorHAnsi"/>
          <w:sz w:val="24"/>
          <w:szCs w:val="24"/>
        </w:rPr>
      </w:pPr>
    </w:p>
    <w:p w:rsidR="00186C9E" w:rsidRPr="00E50B4A" w:rsidRDefault="00186C9E"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El 34.6 de nuestros adolescentes no acuden la educación básica secundaria y solo el 35% asiste a las educación media.</w:t>
      </w:r>
    </w:p>
    <w:p w:rsidR="009220CB" w:rsidRPr="00E50B4A" w:rsidRDefault="00186C9E" w:rsidP="009D1744">
      <w:pPr>
        <w:jc w:val="both"/>
        <w:rPr>
          <w:rFonts w:asciiTheme="majorHAnsi" w:eastAsia="MS PMincho" w:hAnsiTheme="majorHAnsi" w:cstheme="minorHAnsi"/>
          <w:sz w:val="24"/>
          <w:szCs w:val="24"/>
        </w:rPr>
      </w:pPr>
      <w:r w:rsidRPr="00E50B4A">
        <w:rPr>
          <w:rFonts w:asciiTheme="majorHAnsi" w:eastAsia="MS PMincho" w:hAnsiTheme="majorHAnsi" w:cstheme="minorHAnsi"/>
          <w:sz w:val="24"/>
          <w:szCs w:val="24"/>
        </w:rPr>
        <w:t>El reto es garantizar educación secundaria completa para todos los adolescentes, que todos los menores de 17 años este en una educación educativa, ofreciendo educación de calidad para el desarrollo humano y trabajo digno. Tendremos que promover unos buenos resultados en las pruebas saber de 9° y en el ICFES.</w:t>
      </w:r>
    </w:p>
    <w:p w:rsidR="009D1744" w:rsidRPr="00E50B4A" w:rsidRDefault="009D1744" w:rsidP="008D574F">
      <w:pPr>
        <w:jc w:val="center"/>
        <w:rPr>
          <w:rFonts w:asciiTheme="majorHAnsi" w:eastAsia="MS PMincho" w:hAnsiTheme="majorHAnsi" w:cstheme="minorHAnsi"/>
          <w:b/>
          <w:sz w:val="24"/>
          <w:szCs w:val="24"/>
          <w:u w:val="single"/>
        </w:rPr>
      </w:pPr>
    </w:p>
    <w:p w:rsidR="008C2B5C" w:rsidRPr="00E50B4A" w:rsidRDefault="008C2B5C" w:rsidP="008C2B5C">
      <w:pPr>
        <w:tabs>
          <w:tab w:val="left" w:pos="1134"/>
        </w:tabs>
        <w:ind w:left="-426"/>
        <w:rPr>
          <w:rFonts w:asciiTheme="majorHAnsi" w:hAnsiTheme="majorHAnsi" w:cs="Arial"/>
          <w:b/>
          <w:bCs/>
          <w:sz w:val="24"/>
          <w:szCs w:val="24"/>
        </w:rPr>
      </w:pPr>
      <w:r w:rsidRPr="00E50B4A">
        <w:rPr>
          <w:rFonts w:asciiTheme="majorHAnsi" w:hAnsiTheme="majorHAnsi" w:cs="Arial"/>
          <w:b/>
          <w:bCs/>
          <w:sz w:val="24"/>
          <w:szCs w:val="24"/>
        </w:rPr>
        <w:t>Porcentaje de Niños y Niñas  menores de 5 años vinculados a programas de Educación Inicial</w:t>
      </w:r>
    </w:p>
    <w:p w:rsidR="008C2B5C" w:rsidRPr="00E50B4A" w:rsidRDefault="008C2B5C" w:rsidP="008C2B5C">
      <w:pPr>
        <w:ind w:left="-426"/>
        <w:rPr>
          <w:rFonts w:asciiTheme="majorHAnsi" w:hAnsiTheme="majorHAnsi" w:cs="Arial"/>
          <w:b/>
          <w:bCs/>
          <w:sz w:val="24"/>
          <w:szCs w:val="24"/>
        </w:rPr>
      </w:pPr>
    </w:p>
    <w:p w:rsidR="008C2B5C" w:rsidRPr="00E50B4A" w:rsidRDefault="008C2B5C" w:rsidP="008C2B5C">
      <w:pPr>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283195" cy="1401673"/>
            <wp:effectExtent l="0" t="0" r="3175" b="8255"/>
            <wp:docPr id="2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2287532" cy="1404336"/>
                    </a:xfrm>
                    <a:prstGeom prst="rect">
                      <a:avLst/>
                    </a:prstGeom>
                    <a:noFill/>
                  </pic:spPr>
                </pic:pic>
              </a:graphicData>
            </a:graphic>
          </wp:inline>
        </w:drawing>
      </w:r>
    </w:p>
    <w:p w:rsidR="008C2B5C" w:rsidRPr="00E50B4A" w:rsidRDefault="008C2B5C" w:rsidP="008C2B5C">
      <w:pPr>
        <w:ind w:left="-426"/>
        <w:jc w:val="center"/>
        <w:rPr>
          <w:rFonts w:asciiTheme="majorHAnsi" w:hAnsiTheme="majorHAnsi" w:cs="Arial"/>
          <w:sz w:val="24"/>
          <w:szCs w:val="24"/>
        </w:rPr>
      </w:pPr>
    </w:p>
    <w:p w:rsidR="008C2B5C" w:rsidRPr="00E50B4A" w:rsidRDefault="008C2B5C" w:rsidP="008C2B5C">
      <w:pPr>
        <w:pStyle w:val="Epgrafe"/>
        <w:ind w:left="-426"/>
        <w:rPr>
          <w:rFonts w:asciiTheme="majorHAnsi" w:hAnsiTheme="majorHAnsi" w:cs="Arial"/>
          <w:sz w:val="24"/>
        </w:rPr>
      </w:pPr>
      <w:r w:rsidRPr="00E50B4A">
        <w:rPr>
          <w:rFonts w:asciiTheme="majorHAnsi" w:hAnsiTheme="majorHAnsi" w:cs="Arial"/>
          <w:sz w:val="24"/>
        </w:rPr>
        <w:t xml:space="preserve">Ilustración </w:t>
      </w:r>
      <w:r w:rsidR="00AA733F" w:rsidRPr="00E50B4A">
        <w:rPr>
          <w:rFonts w:asciiTheme="majorHAnsi" w:hAnsiTheme="majorHAnsi" w:cs="Arial"/>
          <w:sz w:val="24"/>
        </w:rPr>
        <w:fldChar w:fldCharType="begin"/>
      </w:r>
      <w:r w:rsidRPr="00E50B4A">
        <w:rPr>
          <w:rFonts w:asciiTheme="majorHAnsi" w:hAnsiTheme="majorHAnsi" w:cs="Arial"/>
          <w:sz w:val="24"/>
        </w:rPr>
        <w:instrText xml:space="preserve"> SEQ Ilustración \* ARABIC </w:instrText>
      </w:r>
      <w:r w:rsidR="00AA733F" w:rsidRPr="00E50B4A">
        <w:rPr>
          <w:rFonts w:asciiTheme="majorHAnsi" w:hAnsiTheme="majorHAnsi" w:cs="Arial"/>
          <w:sz w:val="24"/>
        </w:rPr>
        <w:fldChar w:fldCharType="separate"/>
      </w:r>
      <w:r w:rsidRPr="00E50B4A">
        <w:rPr>
          <w:rFonts w:asciiTheme="majorHAnsi" w:hAnsiTheme="majorHAnsi" w:cs="Arial"/>
          <w:noProof/>
          <w:sz w:val="24"/>
        </w:rPr>
        <w:t>1</w:t>
      </w:r>
      <w:r w:rsidR="00AA733F" w:rsidRPr="00E50B4A">
        <w:rPr>
          <w:rFonts w:asciiTheme="majorHAnsi" w:hAnsiTheme="majorHAnsi" w:cs="Arial"/>
          <w:sz w:val="24"/>
        </w:rPr>
        <w:fldChar w:fldCharType="end"/>
      </w:r>
      <w:r w:rsidRPr="00E50B4A">
        <w:rPr>
          <w:rFonts w:asciiTheme="majorHAnsi" w:hAnsiTheme="majorHAnsi" w:cs="Arial"/>
          <w:sz w:val="24"/>
        </w:rPr>
        <w:t xml:space="preserve"> FUENTE: ICBF-COOBIENESTAR</w:t>
      </w:r>
    </w:p>
    <w:p w:rsidR="008C2B5C" w:rsidRPr="00E50B4A" w:rsidRDefault="008C2B5C" w:rsidP="008C2B5C">
      <w:pPr>
        <w:ind w:left="-426"/>
        <w:jc w:val="center"/>
        <w:rPr>
          <w:rFonts w:asciiTheme="majorHAnsi" w:hAnsiTheme="majorHAnsi" w:cs="Arial"/>
          <w:sz w:val="24"/>
          <w:szCs w:val="24"/>
          <w:lang w:val="es-ES_tradnl"/>
        </w:rPr>
      </w:pPr>
    </w:p>
    <w:p w:rsidR="008C2B5C" w:rsidRPr="00E50B4A" w:rsidRDefault="00186C9E" w:rsidP="008C2B5C">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w:t>
      </w:r>
      <w:r w:rsidR="008C2B5C" w:rsidRPr="00E50B4A">
        <w:rPr>
          <w:rFonts w:asciiTheme="majorHAnsi" w:hAnsiTheme="majorHAnsi" w:cs="Arial"/>
          <w:sz w:val="24"/>
          <w:szCs w:val="24"/>
          <w:lang w:eastAsia="es-CO"/>
        </w:rPr>
        <w:t xml:space="preserve">e observa una </w:t>
      </w:r>
      <w:r w:rsidR="008D574F" w:rsidRPr="00E50B4A">
        <w:rPr>
          <w:rFonts w:asciiTheme="majorHAnsi" w:hAnsiTheme="majorHAnsi" w:cs="Arial"/>
          <w:sz w:val="24"/>
          <w:szCs w:val="24"/>
          <w:lang w:eastAsia="es-CO"/>
        </w:rPr>
        <w:t xml:space="preserve">lenta </w:t>
      </w:r>
      <w:r w:rsidR="008C2B5C" w:rsidRPr="00E50B4A">
        <w:rPr>
          <w:rFonts w:asciiTheme="majorHAnsi" w:hAnsiTheme="majorHAnsi" w:cs="Arial"/>
          <w:sz w:val="24"/>
          <w:szCs w:val="24"/>
          <w:lang w:eastAsia="es-CO"/>
        </w:rPr>
        <w:t>tendencia creciente en la cobertura de Atención Integral a la Primera Infancia, presentando el aumento más significativo en el año 2010, alcanzando una atención del 27.11%.</w:t>
      </w:r>
    </w:p>
    <w:p w:rsidR="008C2B5C" w:rsidRPr="00E50B4A" w:rsidRDefault="008C2B5C" w:rsidP="008C2B5C">
      <w:pPr>
        <w:ind w:left="-426"/>
        <w:jc w:val="both"/>
        <w:rPr>
          <w:rFonts w:asciiTheme="majorHAnsi" w:hAnsiTheme="majorHAnsi" w:cs="Arial"/>
          <w:sz w:val="24"/>
          <w:szCs w:val="24"/>
        </w:rPr>
      </w:pPr>
      <w:r w:rsidRPr="00E50B4A">
        <w:rPr>
          <w:rFonts w:asciiTheme="majorHAnsi" w:hAnsiTheme="majorHAnsi" w:cs="Arial"/>
          <w:sz w:val="24"/>
          <w:szCs w:val="24"/>
        </w:rPr>
        <w:t xml:space="preserve">El programa de Primera Infancia en el Municipio de Riosucio ha estado a cargo del ICBF, dada  la competencia y responsabilidad en el tema. A partir de la  implementación de la política pública el Ministerio de Educación Nacional ha dado directrices para la articulación intersectorial e interinstitucional, en torno a las estrategias que permitan su operatividad en los entes nacional, departamental y local.  </w:t>
      </w:r>
    </w:p>
    <w:p w:rsidR="008C2B5C" w:rsidRPr="00E50B4A" w:rsidRDefault="008C2B5C" w:rsidP="008C2B5C">
      <w:pPr>
        <w:ind w:left="-426"/>
        <w:jc w:val="both"/>
        <w:rPr>
          <w:rFonts w:asciiTheme="majorHAnsi" w:hAnsiTheme="majorHAnsi" w:cs="Arial"/>
          <w:sz w:val="24"/>
          <w:szCs w:val="24"/>
        </w:rPr>
      </w:pPr>
      <w:r w:rsidRPr="00E50B4A">
        <w:rPr>
          <w:rFonts w:asciiTheme="majorHAnsi" w:hAnsiTheme="majorHAnsi" w:cs="Arial"/>
          <w:sz w:val="24"/>
          <w:szCs w:val="24"/>
        </w:rPr>
        <w:t xml:space="preserve">Desde el año 2.008 al 2010 se atendieron en  continuidad a 4.753 niños y niñas menores de 5 años, de Sisbén l y II, e indígenas con el aporte nutricional y la asistencia técnica del ICBF. </w:t>
      </w:r>
    </w:p>
    <w:p w:rsidR="008C2B5C" w:rsidRPr="00E50B4A" w:rsidRDefault="008C2B5C" w:rsidP="008C2B5C">
      <w:pPr>
        <w:ind w:left="-426"/>
        <w:jc w:val="both"/>
        <w:rPr>
          <w:rFonts w:asciiTheme="majorHAnsi" w:hAnsiTheme="majorHAnsi" w:cs="Arial"/>
          <w:sz w:val="24"/>
          <w:szCs w:val="24"/>
        </w:rPr>
      </w:pPr>
    </w:p>
    <w:p w:rsidR="008C2B5C" w:rsidRPr="00E50B4A" w:rsidRDefault="008C2B5C" w:rsidP="008C2B5C">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Debilidades:</w:t>
      </w:r>
    </w:p>
    <w:p w:rsidR="008C2B5C" w:rsidRPr="00E50B4A" w:rsidRDefault="008C2B5C" w:rsidP="008C2B5C">
      <w:pPr>
        <w:ind w:left="-426"/>
        <w:jc w:val="both"/>
        <w:rPr>
          <w:rFonts w:asciiTheme="majorHAnsi" w:hAnsiTheme="majorHAnsi" w:cs="Arial"/>
          <w:sz w:val="24"/>
          <w:szCs w:val="24"/>
        </w:rPr>
      </w:pPr>
      <w:r w:rsidRPr="00E50B4A">
        <w:rPr>
          <w:rFonts w:asciiTheme="majorHAnsi" w:hAnsiTheme="majorHAnsi" w:cs="Arial"/>
          <w:sz w:val="24"/>
          <w:szCs w:val="24"/>
        </w:rPr>
        <w:t>Debido a las condiciones geográficas del Municipio de Riosucio Caldas con un 90% de área rural y un 10% de área urbana, se dificulta la focalización e integración  de los niños y niñas al programa.</w:t>
      </w:r>
    </w:p>
    <w:p w:rsidR="008C2B5C" w:rsidRPr="00E50B4A" w:rsidRDefault="008C2B5C" w:rsidP="008C2B5C">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Falta de concertación con las comunidades indígenas para la formulación del Plan de Atención Integral en los planes de vida de los diferentes resguardos.</w:t>
      </w:r>
    </w:p>
    <w:p w:rsidR="008C2B5C" w:rsidRPr="00E50B4A" w:rsidRDefault="008C2B5C" w:rsidP="008C2B5C">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Poca operatividad de las mesas municipales de primera infancia para articular las estrategias de atención, seguimiento y control.</w:t>
      </w:r>
    </w:p>
    <w:p w:rsidR="008C2B5C" w:rsidRPr="00E50B4A" w:rsidRDefault="008C2B5C" w:rsidP="008C2B5C">
      <w:pPr>
        <w:autoSpaceDE w:val="0"/>
        <w:autoSpaceDN w:val="0"/>
        <w:adjustRightInd w:val="0"/>
        <w:ind w:left="-426"/>
        <w:rPr>
          <w:rFonts w:asciiTheme="majorHAnsi" w:hAnsiTheme="majorHAnsi" w:cs="Arial"/>
          <w:b/>
          <w:sz w:val="24"/>
          <w:szCs w:val="24"/>
          <w:lang w:eastAsia="es-CO"/>
        </w:rPr>
      </w:pPr>
      <w:r w:rsidRPr="00E50B4A">
        <w:rPr>
          <w:rFonts w:asciiTheme="majorHAnsi" w:hAnsiTheme="majorHAnsi" w:cs="Arial"/>
          <w:b/>
          <w:sz w:val="24"/>
          <w:szCs w:val="24"/>
          <w:lang w:eastAsia="es-CO"/>
        </w:rPr>
        <w:t>Posibilidades</w:t>
      </w:r>
    </w:p>
    <w:p w:rsidR="008C2B5C" w:rsidRPr="00E50B4A" w:rsidRDefault="008C2B5C" w:rsidP="008C2B5C">
      <w:pPr>
        <w:ind w:left="-426"/>
        <w:jc w:val="both"/>
        <w:rPr>
          <w:rFonts w:asciiTheme="majorHAnsi" w:hAnsiTheme="majorHAnsi" w:cs="Arial"/>
          <w:sz w:val="24"/>
          <w:szCs w:val="24"/>
        </w:rPr>
      </w:pPr>
      <w:r w:rsidRPr="00E50B4A">
        <w:rPr>
          <w:rFonts w:asciiTheme="majorHAnsi" w:hAnsiTheme="majorHAnsi" w:cs="Arial"/>
          <w:sz w:val="24"/>
          <w:szCs w:val="24"/>
        </w:rPr>
        <w:t>Continuar la ampliación de cobertura en Primera Infancia, mediante las diferentes modalidades de atención del ICBF, para brindar la oportunidad a los niños y niñas menores de cinco años de ser atendidos según sus necesidades y condiciones familiares, económicas o sociales.</w:t>
      </w:r>
    </w:p>
    <w:p w:rsidR="008C2B5C" w:rsidRPr="00E50B4A" w:rsidRDefault="008C2B5C" w:rsidP="008C2B5C">
      <w:pPr>
        <w:ind w:left="-426"/>
        <w:jc w:val="both"/>
        <w:rPr>
          <w:rFonts w:asciiTheme="majorHAnsi" w:hAnsiTheme="majorHAnsi" w:cs="Arial"/>
          <w:sz w:val="24"/>
          <w:szCs w:val="24"/>
        </w:rPr>
      </w:pPr>
      <w:r w:rsidRPr="00E50B4A">
        <w:rPr>
          <w:rFonts w:asciiTheme="majorHAnsi" w:hAnsiTheme="majorHAnsi" w:cs="Arial"/>
          <w:sz w:val="24"/>
          <w:szCs w:val="24"/>
        </w:rPr>
        <w:t>Fortalecimiento de los procesos de asesoría, monitoreo, seguimiento y evaluación de los planes de atención integrales a la primera infancia, por parte de la Administración Municipal, ICBF y demás entidades responsables del programa.</w:t>
      </w:r>
    </w:p>
    <w:p w:rsidR="0080628D" w:rsidRPr="00E50B4A" w:rsidRDefault="0080628D" w:rsidP="00F37D60">
      <w:pPr>
        <w:jc w:val="both"/>
        <w:rPr>
          <w:rFonts w:asciiTheme="majorHAnsi" w:eastAsia="MS PMincho" w:hAnsiTheme="majorHAnsi" w:cstheme="minorHAnsi"/>
          <w:sz w:val="24"/>
          <w:szCs w:val="24"/>
        </w:rPr>
      </w:pPr>
    </w:p>
    <w:p w:rsidR="0074062D" w:rsidRPr="00E50B4A" w:rsidRDefault="0074062D" w:rsidP="0074062D">
      <w:pPr>
        <w:ind w:left="-426"/>
        <w:jc w:val="both"/>
        <w:rPr>
          <w:rFonts w:asciiTheme="majorHAnsi" w:eastAsia="Century Gothic" w:hAnsiTheme="majorHAnsi" w:cs="Arial"/>
          <w:sz w:val="24"/>
          <w:szCs w:val="24"/>
        </w:rPr>
      </w:pPr>
      <w:r w:rsidRPr="00E50B4A">
        <w:rPr>
          <w:rFonts w:asciiTheme="majorHAnsi" w:eastAsia="Century Gothic" w:hAnsiTheme="majorHAnsi" w:cs="Arial"/>
          <w:sz w:val="24"/>
          <w:szCs w:val="24"/>
        </w:rPr>
        <w:t>Incremento de la cobertura, conforme lo plantean los artículos 17 y 18 de la Ley 115 de 1.994, extendiéndola a las zonas rurales más densamente pobladas.</w:t>
      </w:r>
    </w:p>
    <w:p w:rsidR="0074062D" w:rsidRPr="00E50B4A" w:rsidRDefault="0074062D" w:rsidP="0074062D">
      <w:pPr>
        <w:ind w:left="-426"/>
        <w:jc w:val="both"/>
        <w:rPr>
          <w:rFonts w:asciiTheme="majorHAnsi" w:eastAsia="Century Gothic" w:hAnsiTheme="majorHAnsi" w:cs="Arial"/>
          <w:sz w:val="24"/>
          <w:szCs w:val="24"/>
        </w:rPr>
      </w:pPr>
      <w:r w:rsidRPr="00E50B4A">
        <w:rPr>
          <w:rFonts w:asciiTheme="majorHAnsi" w:eastAsia="Century Gothic" w:hAnsiTheme="majorHAnsi" w:cs="Arial"/>
          <w:sz w:val="24"/>
          <w:szCs w:val="24"/>
        </w:rPr>
        <w:t>Buscar el apoyo institucional a fin de lograr una mayor participación en el presupuesto gubernamental con las cuales se puedan construir, aulas y establecimientos de acuerdo con las necesidades reales en este nivel.</w:t>
      </w:r>
    </w:p>
    <w:p w:rsidR="0074062D" w:rsidRPr="00E50B4A" w:rsidRDefault="0074062D" w:rsidP="0074062D">
      <w:pPr>
        <w:ind w:left="-426"/>
        <w:jc w:val="both"/>
        <w:rPr>
          <w:rFonts w:asciiTheme="majorHAnsi" w:eastAsia="Century Gothic" w:hAnsiTheme="majorHAnsi" w:cs="Arial"/>
          <w:sz w:val="24"/>
          <w:szCs w:val="24"/>
        </w:rPr>
      </w:pPr>
      <w:r w:rsidRPr="00E50B4A">
        <w:rPr>
          <w:rFonts w:asciiTheme="majorHAnsi" w:eastAsia="Century Gothic" w:hAnsiTheme="majorHAnsi" w:cs="Arial"/>
          <w:sz w:val="24"/>
          <w:szCs w:val="24"/>
        </w:rPr>
        <w:t>Mejorar la infraestructura existente, dotando de los elementos escolar requerido para el desarrollo integral del niño.</w:t>
      </w:r>
    </w:p>
    <w:p w:rsidR="0074062D" w:rsidRPr="00E50B4A" w:rsidRDefault="0074062D" w:rsidP="0074062D">
      <w:pPr>
        <w:ind w:left="-426"/>
        <w:jc w:val="both"/>
        <w:rPr>
          <w:rFonts w:asciiTheme="majorHAnsi" w:eastAsia="Century Gothic" w:hAnsiTheme="majorHAnsi" w:cs="Arial"/>
          <w:sz w:val="24"/>
          <w:szCs w:val="24"/>
        </w:rPr>
      </w:pPr>
      <w:r w:rsidRPr="00E50B4A">
        <w:rPr>
          <w:rFonts w:asciiTheme="majorHAnsi" w:eastAsia="Century Gothic" w:hAnsiTheme="majorHAnsi" w:cs="Arial"/>
          <w:sz w:val="24"/>
          <w:szCs w:val="24"/>
        </w:rPr>
        <w:t xml:space="preserve">Mantener la capacitación y cualificación permanente de los Docentes que laboran en la educación </w:t>
      </w:r>
      <w:r w:rsidR="00186C9E" w:rsidRPr="00E50B4A">
        <w:rPr>
          <w:rFonts w:asciiTheme="majorHAnsi" w:eastAsia="Century Gothic" w:hAnsiTheme="majorHAnsi" w:cs="Arial"/>
          <w:sz w:val="24"/>
          <w:szCs w:val="24"/>
        </w:rPr>
        <w:t>preescolar</w:t>
      </w:r>
      <w:r w:rsidRPr="00E50B4A">
        <w:rPr>
          <w:rFonts w:asciiTheme="majorHAnsi" w:eastAsia="Century Gothic" w:hAnsiTheme="majorHAnsi" w:cs="Arial"/>
          <w:sz w:val="24"/>
          <w:szCs w:val="24"/>
        </w:rPr>
        <w:t>.</w:t>
      </w:r>
    </w:p>
    <w:p w:rsidR="0074062D" w:rsidRPr="00E50B4A" w:rsidRDefault="0074062D" w:rsidP="0074062D">
      <w:pPr>
        <w:ind w:left="-426"/>
        <w:jc w:val="both"/>
        <w:rPr>
          <w:rFonts w:asciiTheme="majorHAnsi" w:eastAsia="Century Gothic" w:hAnsiTheme="majorHAnsi" w:cs="Arial"/>
          <w:sz w:val="24"/>
          <w:szCs w:val="24"/>
        </w:rPr>
      </w:pPr>
      <w:r w:rsidRPr="00E50B4A">
        <w:rPr>
          <w:rFonts w:asciiTheme="majorHAnsi" w:eastAsia="Century Gothic" w:hAnsiTheme="majorHAnsi" w:cs="Arial"/>
          <w:sz w:val="24"/>
          <w:szCs w:val="24"/>
        </w:rPr>
        <w:t>Involucrar a los padres de familia en la educación de sus hijos y en el acompañamiento de los mismos en la edad del preescolar.</w:t>
      </w:r>
    </w:p>
    <w:p w:rsidR="0074062D" w:rsidRPr="00E50B4A" w:rsidRDefault="0074062D" w:rsidP="0074062D">
      <w:pPr>
        <w:ind w:left="-426"/>
        <w:jc w:val="both"/>
        <w:rPr>
          <w:rFonts w:asciiTheme="majorHAnsi" w:hAnsiTheme="majorHAnsi" w:cs="Arial"/>
          <w:b/>
          <w:sz w:val="24"/>
          <w:szCs w:val="24"/>
        </w:rPr>
      </w:pPr>
      <w:r w:rsidRPr="00E50B4A">
        <w:rPr>
          <w:rFonts w:asciiTheme="majorHAnsi" w:hAnsiTheme="majorHAnsi" w:cs="Arial"/>
          <w:b/>
          <w:sz w:val="24"/>
          <w:szCs w:val="24"/>
        </w:rPr>
        <w:t>Tasa  Neta de cobertura escolar para educación en Transición</w:t>
      </w:r>
    </w:p>
    <w:p w:rsidR="0074062D" w:rsidRPr="00E50B4A" w:rsidRDefault="0074062D" w:rsidP="0074062D">
      <w:pPr>
        <w:ind w:left="-426"/>
        <w:jc w:val="both"/>
        <w:rPr>
          <w:rFonts w:asciiTheme="majorHAnsi" w:hAnsiTheme="majorHAnsi" w:cs="Arial"/>
          <w:b/>
          <w:sz w:val="24"/>
          <w:szCs w:val="24"/>
        </w:rPr>
      </w:pPr>
    </w:p>
    <w:p w:rsidR="0074062D" w:rsidRPr="00E50B4A" w:rsidRDefault="0074062D" w:rsidP="0074062D">
      <w:pPr>
        <w:pStyle w:val="normalp"/>
        <w:keepNext/>
        <w:spacing w:after="0" w:afterAutospacing="0"/>
        <w:ind w:left="-426"/>
        <w:jc w:val="center"/>
        <w:rPr>
          <w:rFonts w:asciiTheme="majorHAnsi" w:hAnsiTheme="majorHAnsi" w:cs="Arial"/>
          <w:color w:val="auto"/>
          <w:sz w:val="24"/>
          <w:szCs w:val="24"/>
        </w:rPr>
      </w:pPr>
      <w:r w:rsidRPr="00E50B4A">
        <w:rPr>
          <w:rFonts w:asciiTheme="majorHAnsi" w:hAnsiTheme="majorHAnsi" w:cs="Arial"/>
          <w:noProof/>
          <w:color w:val="auto"/>
          <w:sz w:val="24"/>
          <w:szCs w:val="24"/>
          <w:lang w:val="es-CO" w:eastAsia="es-CO"/>
        </w:rPr>
        <w:drawing>
          <wp:inline distT="0" distB="0" distL="0" distR="0">
            <wp:extent cx="2872226" cy="1413673"/>
            <wp:effectExtent l="0" t="0" r="23495" b="15240"/>
            <wp:docPr id="236"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Ilustración 2 FUENTE: SED CALDAS - MEN</w:t>
      </w: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p>
    <w:p w:rsidR="0074062D" w:rsidRPr="00E50B4A" w:rsidRDefault="005274D8"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Definición del indicador:</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la tasa de estudiantes de 5 años que ingresan al nivel educativo de preescolar, con respecto a la población total en el Departamento con dicha edad según la proyección del DANE.</w:t>
      </w:r>
    </w:p>
    <w:p w:rsidR="0074062D" w:rsidRPr="00E50B4A" w:rsidRDefault="0074062D" w:rsidP="0074062D">
      <w:pPr>
        <w:pStyle w:val="Titulo1"/>
        <w:ind w:left="-426"/>
        <w:jc w:val="both"/>
        <w:rPr>
          <w:rFonts w:asciiTheme="majorHAnsi" w:hAnsiTheme="majorHAnsi" w:cs="Arial"/>
          <w:b w:val="0"/>
          <w:lang w:val="es-CO" w:eastAsia="es-CO"/>
        </w:rPr>
      </w:pPr>
      <w:r w:rsidRPr="00E50B4A">
        <w:rPr>
          <w:rFonts w:asciiTheme="majorHAnsi" w:hAnsiTheme="majorHAnsi" w:cs="Arial"/>
          <w:b w:val="0"/>
          <w:lang w:val="es-CO" w:eastAsia="es-CO"/>
        </w:rPr>
        <w:t xml:space="preserve">En el gráfico se observa como la tasa de cobertura escolar neta para el nivel de transición ha disminuido desde el 2006.  </w:t>
      </w: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Debilidades</w:t>
      </w:r>
    </w:p>
    <w:p w:rsidR="00186C9E" w:rsidRPr="00E50B4A" w:rsidRDefault="00186C9E" w:rsidP="00186C9E">
      <w:pPr>
        <w:pStyle w:val="Titulo1"/>
        <w:ind w:left="-426"/>
        <w:jc w:val="both"/>
        <w:rPr>
          <w:rFonts w:asciiTheme="majorHAnsi" w:hAnsiTheme="majorHAnsi" w:cs="Arial"/>
          <w:b w:val="0"/>
          <w:lang w:val="es-CO" w:eastAsia="es-CO"/>
        </w:rPr>
      </w:pPr>
      <w:r w:rsidRPr="00E50B4A">
        <w:rPr>
          <w:rFonts w:asciiTheme="majorHAnsi" w:hAnsiTheme="majorHAnsi" w:cs="Arial"/>
          <w:b w:val="0"/>
          <w:lang w:val="es-CO" w:eastAsia="es-CO"/>
        </w:rPr>
        <w:t xml:space="preserve">En el gráfico se observa como la tasa de cobertura escolar neta para el nivel de transición ha disminuido desde el 2006.  </w:t>
      </w:r>
    </w:p>
    <w:p w:rsidR="00186C9E" w:rsidRPr="00E50B4A" w:rsidRDefault="00186C9E" w:rsidP="0074062D">
      <w:pPr>
        <w:autoSpaceDE w:val="0"/>
        <w:autoSpaceDN w:val="0"/>
        <w:adjustRightInd w:val="0"/>
        <w:ind w:left="-426"/>
        <w:jc w:val="both"/>
        <w:rPr>
          <w:rFonts w:asciiTheme="majorHAnsi" w:hAnsiTheme="majorHAnsi" w:cs="Arial"/>
          <w:b/>
          <w:sz w:val="24"/>
          <w:szCs w:val="24"/>
          <w:lang w:eastAsia="es-CO"/>
        </w:rPr>
      </w:pP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En este nivel educativo, se presentan las mismas dificultades observadas en el nivel de básica primaria, además de la falta de cultura de los padres de familia especialmente en zona rural para vincular a sus hijos a este nivel, desconociendo la importancia para el desarrollo de destrezas y facilitar sus procesos de formación inicial.</w:t>
      </w:r>
    </w:p>
    <w:p w:rsidR="0074062D" w:rsidRPr="00E50B4A" w:rsidRDefault="0074062D" w:rsidP="0074062D">
      <w:pPr>
        <w:autoSpaceDE w:val="0"/>
        <w:autoSpaceDN w:val="0"/>
        <w:adjustRightInd w:val="0"/>
        <w:ind w:left="-426"/>
        <w:rPr>
          <w:rFonts w:asciiTheme="majorHAnsi" w:hAnsiTheme="majorHAnsi" w:cs="Arial"/>
          <w:b/>
          <w:sz w:val="24"/>
          <w:szCs w:val="24"/>
          <w:lang w:eastAsia="es-CO"/>
        </w:rPr>
      </w:pPr>
      <w:r w:rsidRPr="00E50B4A">
        <w:rPr>
          <w:rFonts w:asciiTheme="majorHAnsi" w:hAnsiTheme="majorHAnsi" w:cs="Arial"/>
          <w:b/>
          <w:sz w:val="24"/>
          <w:szCs w:val="24"/>
          <w:lang w:eastAsia="es-CO"/>
        </w:rPr>
        <w:t>Posibilidades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Entre las estrategias definidas para mejorar la cobertura en este nivel educativo se destacan los modelos educativos flexibles de educación que buscan atraer la atención de los estudiantes al sistema educativo; al igual que en los otros niveles académicos; también encontramos el mejoramiento de la infraestructura educativa, subsidio a la matricula, transporte escolar, apoyo y  acompañamiento a la población vulnerable con necesidades educativas especiales en el marco de la educación inclusiva con calidad, dotación de equipo de cómputo, y campañas de sensibilización (cuñas radiales, plegables, pendones, videos, entre otros).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Igualmente cada año se realizaran campañas de difusión para la realización de la pre-matrícula y la inclusión del menor al sistema educativo.</w:t>
      </w:r>
    </w:p>
    <w:p w:rsidR="0074062D" w:rsidRPr="00E50B4A" w:rsidRDefault="0074062D" w:rsidP="0074062D">
      <w:pPr>
        <w:ind w:left="-426"/>
        <w:jc w:val="both"/>
        <w:rPr>
          <w:rFonts w:asciiTheme="majorHAnsi" w:hAnsiTheme="majorHAnsi" w:cs="Arial"/>
          <w:sz w:val="24"/>
          <w:szCs w:val="24"/>
        </w:rPr>
      </w:pPr>
    </w:p>
    <w:p w:rsidR="0074062D" w:rsidRPr="00E50B4A" w:rsidRDefault="0074062D" w:rsidP="0074062D">
      <w:pPr>
        <w:ind w:left="-426"/>
        <w:rPr>
          <w:rFonts w:asciiTheme="majorHAnsi" w:hAnsiTheme="majorHAnsi" w:cs="Arial"/>
          <w:b/>
          <w:bCs/>
          <w:sz w:val="24"/>
          <w:szCs w:val="24"/>
          <w:lang w:eastAsia="es-CO"/>
        </w:rPr>
      </w:pPr>
      <w:r w:rsidRPr="00E50B4A">
        <w:rPr>
          <w:rFonts w:asciiTheme="majorHAnsi" w:hAnsiTheme="majorHAnsi" w:cs="Arial"/>
          <w:b/>
          <w:sz w:val="24"/>
          <w:szCs w:val="24"/>
        </w:rPr>
        <w:t>Tasa  Neta de cobertura escolar para educación básica primaria</w:t>
      </w:r>
    </w:p>
    <w:p w:rsidR="0074062D" w:rsidRPr="00E50B4A" w:rsidRDefault="0074062D" w:rsidP="0074062D">
      <w:pPr>
        <w:ind w:left="-426"/>
        <w:rPr>
          <w:rFonts w:asciiTheme="majorHAnsi" w:hAnsiTheme="majorHAnsi" w:cs="Arial"/>
          <w:noProof/>
          <w:sz w:val="24"/>
          <w:szCs w:val="24"/>
        </w:rPr>
      </w:pPr>
    </w:p>
    <w:p w:rsidR="0074062D" w:rsidRPr="00E50B4A" w:rsidRDefault="0074062D" w:rsidP="0074062D">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743200" cy="1060255"/>
            <wp:effectExtent l="0" t="0" r="19050" b="26035"/>
            <wp:docPr id="237"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 xml:space="preserve">FUENTE: SED CALDAS </w:t>
      </w:r>
      <w:r w:rsidR="001A3AD1" w:rsidRPr="00E50B4A">
        <w:rPr>
          <w:rFonts w:asciiTheme="majorHAnsi" w:hAnsiTheme="majorHAnsi" w:cs="Arial"/>
          <w:sz w:val="24"/>
        </w:rPr>
        <w:t>–</w:t>
      </w:r>
      <w:r w:rsidRPr="00E50B4A">
        <w:rPr>
          <w:rFonts w:asciiTheme="majorHAnsi" w:hAnsiTheme="majorHAnsi" w:cs="Arial"/>
          <w:sz w:val="24"/>
        </w:rPr>
        <w:t xml:space="preserve"> MEN</w:t>
      </w:r>
    </w:p>
    <w:p w:rsidR="001A3AD1" w:rsidRPr="00E50B4A" w:rsidRDefault="001A3AD1" w:rsidP="001A3AD1">
      <w:pPr>
        <w:rPr>
          <w:rFonts w:asciiTheme="majorHAnsi" w:hAnsiTheme="majorHAnsi"/>
          <w:sz w:val="24"/>
          <w:szCs w:val="24"/>
          <w:lang w:val="es-ES_tradnl" w:eastAsia="es-ES"/>
        </w:rPr>
      </w:pPr>
    </w:p>
    <w:p w:rsidR="0074062D" w:rsidRPr="00E50B4A" w:rsidRDefault="0074062D" w:rsidP="001A3AD1">
      <w:pPr>
        <w:ind w:left="-426"/>
        <w:jc w:val="center"/>
        <w:rPr>
          <w:rFonts w:asciiTheme="majorHAnsi" w:hAnsiTheme="majorHAnsi" w:cs="Arial"/>
          <w:noProof/>
          <w:sz w:val="24"/>
          <w:szCs w:val="24"/>
        </w:rPr>
      </w:pPr>
      <w:r w:rsidRPr="00E50B4A">
        <w:rPr>
          <w:rFonts w:asciiTheme="majorHAnsi" w:hAnsiTheme="majorHAnsi" w:cs="Arial"/>
          <w:noProof/>
          <w:sz w:val="24"/>
          <w:szCs w:val="24"/>
          <w:lang w:eastAsia="es-CO"/>
        </w:rPr>
        <w:drawing>
          <wp:inline distT="0" distB="0" distL="0" distR="0">
            <wp:extent cx="2405147" cy="1211720"/>
            <wp:effectExtent l="0" t="0" r="0" b="7620"/>
            <wp:docPr id="23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srcRect/>
                    <a:stretch>
                      <a:fillRect/>
                    </a:stretch>
                  </pic:blipFill>
                  <pic:spPr bwMode="auto">
                    <a:xfrm>
                      <a:off x="0" y="0"/>
                      <a:ext cx="2407494" cy="1212902"/>
                    </a:xfrm>
                    <a:prstGeom prst="rect">
                      <a:avLst/>
                    </a:prstGeom>
                    <a:noFill/>
                  </pic:spPr>
                </pic:pic>
              </a:graphicData>
            </a:graphic>
          </wp:inline>
        </w:drawing>
      </w: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FUENTE: Secretaria Educación Municipal - MEN</w:t>
      </w:r>
    </w:p>
    <w:p w:rsidR="001A3AD1" w:rsidRPr="00E50B4A" w:rsidRDefault="001A3AD1" w:rsidP="0074062D">
      <w:pPr>
        <w:autoSpaceDE w:val="0"/>
        <w:autoSpaceDN w:val="0"/>
        <w:adjustRightInd w:val="0"/>
        <w:ind w:left="-426"/>
        <w:jc w:val="both"/>
        <w:rPr>
          <w:rFonts w:asciiTheme="majorHAnsi" w:hAnsiTheme="majorHAnsi" w:cs="Arial"/>
          <w:b/>
          <w:sz w:val="24"/>
          <w:szCs w:val="24"/>
          <w:lang w:eastAsia="es-CO"/>
        </w:rPr>
      </w:pPr>
    </w:p>
    <w:p w:rsidR="0074062D" w:rsidRPr="00E50B4A" w:rsidRDefault="005274D8"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Definición del indicador:</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la tasa de estudiantes entre 6 y 10 años que ingresan al nivel educativo de básica primaria, con respecto a la población total proyectada por el DANE entre dichas edades en el Departamento.</w:t>
      </w:r>
    </w:p>
    <w:p w:rsidR="0074062D" w:rsidRPr="00E50B4A" w:rsidRDefault="0074062D" w:rsidP="0074062D">
      <w:pPr>
        <w:ind w:left="-426"/>
        <w:rPr>
          <w:rFonts w:asciiTheme="majorHAnsi" w:hAnsiTheme="majorHAnsi" w:cs="Arial"/>
          <w:b/>
          <w:sz w:val="24"/>
          <w:szCs w:val="24"/>
          <w:lang w:eastAsia="es-CO"/>
        </w:rPr>
      </w:pPr>
    </w:p>
    <w:p w:rsidR="00934551" w:rsidRPr="00E50B4A" w:rsidRDefault="00934551" w:rsidP="00934551">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Debilidades.</w:t>
      </w:r>
    </w:p>
    <w:p w:rsidR="00934551" w:rsidRPr="00E50B4A" w:rsidRDefault="00934551" w:rsidP="00934551">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w:t>
      </w:r>
      <w:r w:rsidR="0074062D" w:rsidRPr="00E50B4A">
        <w:rPr>
          <w:rFonts w:asciiTheme="majorHAnsi" w:hAnsiTheme="majorHAnsi" w:cs="Arial"/>
          <w:sz w:val="24"/>
          <w:szCs w:val="24"/>
          <w:lang w:eastAsia="es-CO"/>
        </w:rPr>
        <w:t>e observa una tendencia decreciente en la cobertura neta para el nivel educativo de básica primaria con una reducción de 4.7 puntos a partir del 2005, como resulta</w:t>
      </w:r>
      <w:r w:rsidR="001E3578" w:rsidRPr="00E50B4A">
        <w:rPr>
          <w:rFonts w:asciiTheme="majorHAnsi" w:hAnsiTheme="majorHAnsi" w:cs="Arial"/>
          <w:sz w:val="24"/>
          <w:szCs w:val="24"/>
          <w:lang w:eastAsia="es-CO"/>
        </w:rPr>
        <w:t>do del decrecimiento en la matrí</w:t>
      </w:r>
      <w:r w:rsidR="0074062D" w:rsidRPr="00E50B4A">
        <w:rPr>
          <w:rFonts w:asciiTheme="majorHAnsi" w:hAnsiTheme="majorHAnsi" w:cs="Arial"/>
          <w:sz w:val="24"/>
          <w:szCs w:val="24"/>
          <w:lang w:eastAsia="es-CO"/>
        </w:rPr>
        <w:t>cula; para el 2010 la tasa de cobertura neta registrada en el  Municipio es del 82.0%, la cual es</w:t>
      </w:r>
      <w:r w:rsidRPr="00E50B4A">
        <w:rPr>
          <w:rFonts w:asciiTheme="majorHAnsi" w:hAnsiTheme="majorHAnsi" w:cs="Arial"/>
          <w:sz w:val="24"/>
          <w:szCs w:val="24"/>
          <w:lang w:eastAsia="es-CO"/>
        </w:rPr>
        <w:t>ta por debajo de la departamental.</w:t>
      </w:r>
    </w:p>
    <w:p w:rsidR="0074062D" w:rsidRPr="00E50B4A" w:rsidRDefault="00934551" w:rsidP="00934551">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L</w:t>
      </w:r>
      <w:r w:rsidR="0074062D" w:rsidRPr="00E50B4A">
        <w:rPr>
          <w:rFonts w:asciiTheme="majorHAnsi" w:hAnsiTheme="majorHAnsi" w:cs="Arial"/>
          <w:sz w:val="24"/>
          <w:szCs w:val="24"/>
          <w:lang w:eastAsia="es-CO"/>
        </w:rPr>
        <w:t>a</w:t>
      </w:r>
      <w:r w:rsidR="00EC1E3A" w:rsidRPr="00E50B4A">
        <w:rPr>
          <w:rFonts w:asciiTheme="majorHAnsi" w:hAnsiTheme="majorHAnsi" w:cs="Arial"/>
          <w:sz w:val="24"/>
          <w:szCs w:val="24"/>
          <w:lang w:eastAsia="es-CO"/>
        </w:rPr>
        <w:t xml:space="preserve"> matrí</w:t>
      </w:r>
      <w:r w:rsidR="0074062D" w:rsidRPr="00E50B4A">
        <w:rPr>
          <w:rFonts w:asciiTheme="majorHAnsi" w:hAnsiTheme="majorHAnsi" w:cs="Arial"/>
          <w:sz w:val="24"/>
          <w:szCs w:val="24"/>
          <w:lang w:eastAsia="es-CO"/>
        </w:rPr>
        <w:t xml:space="preserve">cula en básica primaria, presenta una disminución considerable en cada vigencia desde el 2005 al 2010.    </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Los efectos combinados de la caída en la natalidad y fecundidad de la mujer, sumados a las migraciones intermunicipales y departamentales e internacionales, afecta directamente las metas de cobertura en el sistema educativo, igualmente algunos factores socio económicos y de imaginarios culturales que hacen que los niños deserten o no consideren el estudio como un factor importante para el progreso social.</w:t>
      </w:r>
    </w:p>
    <w:p w:rsidR="0074062D" w:rsidRPr="00E50B4A" w:rsidRDefault="0074062D" w:rsidP="0074062D">
      <w:pPr>
        <w:ind w:left="-426"/>
        <w:jc w:val="both"/>
        <w:rPr>
          <w:rFonts w:asciiTheme="majorHAnsi" w:hAnsiTheme="majorHAnsi" w:cs="Arial"/>
          <w:b/>
          <w:sz w:val="24"/>
          <w:szCs w:val="24"/>
          <w:lang w:eastAsia="es-CO"/>
        </w:rPr>
      </w:pPr>
      <w:r w:rsidRPr="00E50B4A">
        <w:rPr>
          <w:rFonts w:asciiTheme="majorHAnsi" w:hAnsiTheme="majorHAnsi" w:cs="Arial"/>
          <w:sz w:val="24"/>
          <w:szCs w:val="24"/>
        </w:rPr>
        <w:t>Posibilidades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Entre las estrategias definidas por la Administración Municipal y la Secretaría de Educación Municipal para la sostenibilidad de la cobertura se encuentran los siguientes proyectos: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Subsidio de Transporte Escolar en convenio con la Gobernación de Caldas y los Resguardos Indígenas, Subsidio del Paquete Escolar a los estudiantes del Municipio de Riosucio, Restaurantes Escolares, Mejoramiento, Construcción y Adecuación de las Instituciones Educativas, Mejoramiento de la Calidad Educativa con el apoyo en capacitaciones y realización de eventos.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Adicionalmente como estrategia para concientizar a los padres de familia y estudiantes con respecto a la importancia de la educación se realizan campañas de sensibilización que buscan  incentiven el ingreso de los niños, niñas y adolescentes al sistema educativo</w:t>
      </w:r>
    </w:p>
    <w:p w:rsidR="0074062D" w:rsidRPr="00E50B4A" w:rsidRDefault="0074062D" w:rsidP="0074062D">
      <w:pPr>
        <w:ind w:left="-426"/>
        <w:rPr>
          <w:rFonts w:asciiTheme="majorHAnsi" w:hAnsiTheme="majorHAnsi" w:cs="Arial"/>
          <w:b/>
          <w:sz w:val="24"/>
          <w:szCs w:val="24"/>
          <w:lang w:eastAsia="es-CO"/>
        </w:rPr>
      </w:pPr>
    </w:p>
    <w:p w:rsidR="0074062D" w:rsidRPr="00E50B4A" w:rsidRDefault="0074062D" w:rsidP="0074062D">
      <w:pPr>
        <w:ind w:left="-426"/>
        <w:jc w:val="both"/>
        <w:rPr>
          <w:rFonts w:asciiTheme="majorHAnsi" w:hAnsiTheme="majorHAnsi" w:cs="Arial"/>
          <w:b/>
          <w:sz w:val="24"/>
          <w:szCs w:val="24"/>
        </w:rPr>
      </w:pPr>
      <w:r w:rsidRPr="00E50B4A">
        <w:rPr>
          <w:rFonts w:asciiTheme="majorHAnsi" w:hAnsiTheme="majorHAnsi" w:cs="Arial"/>
          <w:b/>
          <w:sz w:val="24"/>
          <w:szCs w:val="24"/>
        </w:rPr>
        <w:t>Tasa  Neta de cobertura escolar para educación básica Secundaria</w:t>
      </w:r>
    </w:p>
    <w:p w:rsidR="0074062D" w:rsidRPr="00E50B4A" w:rsidRDefault="0074062D" w:rsidP="0074062D">
      <w:pPr>
        <w:ind w:left="-426"/>
        <w:jc w:val="both"/>
        <w:rPr>
          <w:rFonts w:asciiTheme="majorHAnsi" w:hAnsiTheme="majorHAnsi" w:cs="Arial"/>
          <w:b/>
          <w:sz w:val="24"/>
          <w:szCs w:val="24"/>
        </w:rPr>
      </w:pPr>
    </w:p>
    <w:p w:rsidR="0074062D" w:rsidRPr="00E50B4A" w:rsidRDefault="0074062D" w:rsidP="0074062D">
      <w:pPr>
        <w:pStyle w:val="Epgrafe"/>
        <w:ind w:left="-426"/>
        <w:rPr>
          <w:rFonts w:asciiTheme="majorHAnsi" w:hAnsiTheme="majorHAnsi" w:cs="Arial"/>
          <w:sz w:val="24"/>
        </w:rPr>
      </w:pP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noProof/>
          <w:sz w:val="24"/>
          <w:lang w:val="es-CO" w:eastAsia="es-CO"/>
        </w:rPr>
        <w:drawing>
          <wp:inline distT="0" distB="0" distL="0" distR="0">
            <wp:extent cx="2726371" cy="1262208"/>
            <wp:effectExtent l="0" t="0" r="17145" b="14605"/>
            <wp:docPr id="240"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74062D" w:rsidRPr="00E50B4A" w:rsidRDefault="0074062D" w:rsidP="0074062D">
      <w:pPr>
        <w:pStyle w:val="Epgrafe"/>
        <w:ind w:left="-426"/>
        <w:rPr>
          <w:rFonts w:asciiTheme="majorHAnsi" w:hAnsiTheme="majorHAnsi" w:cs="Arial"/>
          <w:sz w:val="24"/>
        </w:rPr>
      </w:pP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Ilustración 5 FUENTE: SED CALDAS – MEN</w:t>
      </w:r>
    </w:p>
    <w:p w:rsidR="0074062D" w:rsidRPr="00E50B4A" w:rsidRDefault="0074062D" w:rsidP="0074062D">
      <w:pPr>
        <w:ind w:left="-426"/>
        <w:rPr>
          <w:rFonts w:asciiTheme="majorHAnsi" w:hAnsiTheme="majorHAnsi"/>
          <w:sz w:val="24"/>
          <w:szCs w:val="24"/>
          <w:lang w:val="es-ES_tradnl"/>
        </w:rPr>
      </w:pPr>
    </w:p>
    <w:p w:rsidR="0074062D" w:rsidRPr="00E50B4A" w:rsidRDefault="0074062D" w:rsidP="0074062D">
      <w:pPr>
        <w:ind w:left="-426"/>
        <w:jc w:val="both"/>
        <w:rPr>
          <w:rFonts w:asciiTheme="majorHAnsi" w:hAnsiTheme="majorHAnsi" w:cs="Arial"/>
          <w:sz w:val="24"/>
          <w:szCs w:val="24"/>
        </w:rPr>
      </w:pPr>
    </w:p>
    <w:p w:rsidR="0074062D" w:rsidRPr="00E50B4A" w:rsidRDefault="0074062D" w:rsidP="0074062D">
      <w:pPr>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3433207" cy="1615627"/>
            <wp:effectExtent l="0" t="0" r="15240" b="22860"/>
            <wp:docPr id="241"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74062D" w:rsidRPr="00E50B4A" w:rsidRDefault="0074062D" w:rsidP="0074062D">
      <w:pPr>
        <w:pStyle w:val="Epgrafe"/>
        <w:ind w:left="-426"/>
        <w:rPr>
          <w:rFonts w:asciiTheme="majorHAnsi" w:hAnsiTheme="majorHAnsi" w:cs="Arial"/>
          <w:sz w:val="24"/>
        </w:rPr>
      </w:pP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Ilustración 6 FUENTE: SED CALDAS - MEN</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p>
    <w:p w:rsidR="0074062D" w:rsidRPr="00E50B4A" w:rsidRDefault="00934551"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 xml:space="preserve">Se </w:t>
      </w:r>
      <w:r w:rsidR="0074062D" w:rsidRPr="00E50B4A">
        <w:rPr>
          <w:rFonts w:asciiTheme="majorHAnsi" w:hAnsiTheme="majorHAnsi" w:cs="Arial"/>
          <w:sz w:val="24"/>
          <w:szCs w:val="24"/>
          <w:lang w:eastAsia="es-CO"/>
        </w:rPr>
        <w:t xml:space="preserve">observa como la tasa de cobertura escolar neta para el nivel de básica secundaria presenta una tendencia creciente con un aumento de 8.4 puntos con relación al 2005, alcanzando para el 2010 una cobertura neta del 65.4. </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Debilidades.</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rPr>
        <w:t>A pesar de que la gráfica y la estadística nos representan una tendencia al aumento de la matrícula en el nivel de básica secundaria igualmente se presentan deserción escolar por motivos como: el desempleo, índole cultural, desplazamiento forzoso, entre otros.</w:t>
      </w: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sz w:val="24"/>
          <w:szCs w:val="24"/>
          <w:lang w:eastAsia="es-CO"/>
        </w:rPr>
        <w:t>Posibilidades.</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Entre las estrategias definidas para mejorar la cobertura en este nivel educativo se ha tratado de incrementar la cobertura en los diferentes proyectos desarrollados como: transporte escolar, restaurante escolar, infraestructura educativa.</w:t>
      </w:r>
    </w:p>
    <w:p w:rsidR="0074062D" w:rsidRPr="00E50B4A" w:rsidRDefault="0074062D" w:rsidP="0074062D">
      <w:pPr>
        <w:ind w:left="-426"/>
        <w:jc w:val="both"/>
        <w:rPr>
          <w:rFonts w:asciiTheme="majorHAnsi" w:hAnsiTheme="majorHAnsi" w:cs="Arial"/>
          <w:sz w:val="24"/>
          <w:szCs w:val="24"/>
        </w:rPr>
      </w:pPr>
      <w:r w:rsidRPr="00E50B4A">
        <w:rPr>
          <w:rFonts w:asciiTheme="majorHAnsi" w:hAnsiTheme="majorHAnsi" w:cs="Arial"/>
          <w:sz w:val="24"/>
          <w:szCs w:val="24"/>
        </w:rPr>
        <w:t>Con el apoyo de Computadores para Educar se ha</w:t>
      </w:r>
      <w:r w:rsidR="00934551" w:rsidRPr="00E50B4A">
        <w:rPr>
          <w:rFonts w:asciiTheme="majorHAnsi" w:hAnsiTheme="majorHAnsi" w:cs="Arial"/>
          <w:sz w:val="24"/>
          <w:szCs w:val="24"/>
        </w:rPr>
        <w:t>n</w:t>
      </w:r>
      <w:r w:rsidRPr="00E50B4A">
        <w:rPr>
          <w:rFonts w:asciiTheme="majorHAnsi" w:hAnsiTheme="majorHAnsi" w:cs="Arial"/>
          <w:sz w:val="24"/>
          <w:szCs w:val="24"/>
        </w:rPr>
        <w:t xml:space="preserve"> ido incrementando las Instituciones Educativas beneficiadas con dicho programa que motiva a la población escolar a la permanencia en este ciclo educativo.  </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p>
    <w:p w:rsidR="0074062D" w:rsidRPr="00E50B4A" w:rsidRDefault="0074062D" w:rsidP="0074062D">
      <w:pPr>
        <w:ind w:left="-426"/>
        <w:jc w:val="both"/>
        <w:rPr>
          <w:rFonts w:asciiTheme="majorHAnsi" w:hAnsiTheme="majorHAnsi" w:cs="Arial"/>
          <w:b/>
          <w:sz w:val="24"/>
          <w:szCs w:val="24"/>
        </w:rPr>
      </w:pPr>
      <w:r w:rsidRPr="00E50B4A">
        <w:rPr>
          <w:rFonts w:asciiTheme="majorHAnsi" w:hAnsiTheme="majorHAnsi" w:cs="Arial"/>
          <w:b/>
          <w:sz w:val="24"/>
          <w:szCs w:val="24"/>
        </w:rPr>
        <w:t xml:space="preserve">Tasa  Neta de cobertura escolar para educación en Media  </w:t>
      </w:r>
    </w:p>
    <w:p w:rsidR="0074062D" w:rsidRPr="00E50B4A" w:rsidRDefault="002B3B4A" w:rsidP="002B3B4A">
      <w:pPr>
        <w:autoSpaceDE w:val="0"/>
        <w:autoSpaceDN w:val="0"/>
        <w:adjustRightInd w:val="0"/>
        <w:ind w:left="-426"/>
        <w:jc w:val="center"/>
        <w:rPr>
          <w:rFonts w:asciiTheme="majorHAnsi" w:hAnsiTheme="majorHAnsi" w:cs="Arial"/>
          <w:sz w:val="24"/>
          <w:szCs w:val="24"/>
          <w:lang w:eastAsia="es-CO"/>
        </w:rPr>
      </w:pPr>
      <w:r w:rsidRPr="00E50B4A">
        <w:rPr>
          <w:rFonts w:asciiTheme="majorHAnsi" w:hAnsiTheme="majorHAnsi" w:cs="Arial"/>
          <w:noProof/>
          <w:sz w:val="24"/>
          <w:szCs w:val="24"/>
          <w:lang w:eastAsia="es-CO"/>
        </w:rPr>
        <w:drawing>
          <wp:inline distT="0" distB="0" distL="0" distR="0">
            <wp:extent cx="2872226" cy="1396844"/>
            <wp:effectExtent l="0" t="0" r="23495" b="13335"/>
            <wp:docPr id="243"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74062D" w:rsidRPr="00E50B4A" w:rsidRDefault="0074062D" w:rsidP="0074062D">
      <w:pPr>
        <w:pStyle w:val="Epgrafe"/>
        <w:ind w:left="-426"/>
        <w:rPr>
          <w:rFonts w:asciiTheme="majorHAnsi" w:hAnsiTheme="majorHAnsi" w:cs="Arial"/>
          <w:noProof/>
          <w:sz w:val="24"/>
        </w:rPr>
      </w:pPr>
    </w:p>
    <w:p w:rsidR="0074062D" w:rsidRPr="00E50B4A" w:rsidRDefault="0074062D" w:rsidP="0074062D">
      <w:pPr>
        <w:pStyle w:val="Epgrafe"/>
        <w:ind w:left="-426"/>
        <w:rPr>
          <w:rFonts w:asciiTheme="majorHAnsi" w:hAnsiTheme="majorHAnsi" w:cs="Arial"/>
          <w:sz w:val="24"/>
        </w:rPr>
      </w:pP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Ilustración 7 FUENTE: SED CALDAS – MEN</w:t>
      </w:r>
    </w:p>
    <w:p w:rsidR="0074062D" w:rsidRPr="00E50B4A" w:rsidRDefault="0074062D" w:rsidP="0074062D">
      <w:pPr>
        <w:ind w:left="-426"/>
        <w:rPr>
          <w:rFonts w:asciiTheme="majorHAnsi" w:hAnsiTheme="majorHAnsi"/>
          <w:sz w:val="24"/>
          <w:szCs w:val="24"/>
          <w:lang w:val="es-ES_tradnl"/>
        </w:rPr>
      </w:pPr>
    </w:p>
    <w:p w:rsidR="0074062D" w:rsidRPr="00E50B4A" w:rsidRDefault="0074062D" w:rsidP="0074062D">
      <w:pPr>
        <w:pStyle w:val="normalp"/>
        <w:spacing w:after="0" w:afterAutospacing="0"/>
        <w:ind w:left="-426"/>
        <w:jc w:val="center"/>
        <w:rPr>
          <w:rFonts w:asciiTheme="majorHAnsi" w:hAnsiTheme="majorHAnsi" w:cs="Arial"/>
          <w:color w:val="auto"/>
          <w:sz w:val="24"/>
          <w:szCs w:val="24"/>
        </w:rPr>
      </w:pPr>
      <w:r w:rsidRPr="00E50B4A">
        <w:rPr>
          <w:rFonts w:asciiTheme="majorHAnsi" w:hAnsiTheme="majorHAnsi" w:cs="Arial"/>
          <w:noProof/>
          <w:color w:val="auto"/>
          <w:sz w:val="24"/>
          <w:szCs w:val="24"/>
          <w:lang w:val="es-CO" w:eastAsia="es-CO"/>
        </w:rPr>
        <w:drawing>
          <wp:inline distT="0" distB="0" distL="0" distR="0">
            <wp:extent cx="2664662" cy="1283864"/>
            <wp:effectExtent l="0" t="0" r="2540" b="0"/>
            <wp:docPr id="24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srcRect/>
                    <a:stretch>
                      <a:fillRect/>
                    </a:stretch>
                  </pic:blipFill>
                  <pic:spPr bwMode="auto">
                    <a:xfrm>
                      <a:off x="0" y="0"/>
                      <a:ext cx="2663850" cy="1283473"/>
                    </a:xfrm>
                    <a:prstGeom prst="rect">
                      <a:avLst/>
                    </a:prstGeom>
                    <a:noFill/>
                  </pic:spPr>
                </pic:pic>
              </a:graphicData>
            </a:graphic>
          </wp:inline>
        </w:drawing>
      </w:r>
    </w:p>
    <w:p w:rsidR="0074062D" w:rsidRPr="00E50B4A" w:rsidRDefault="0074062D" w:rsidP="0074062D">
      <w:pPr>
        <w:pStyle w:val="Epgrafe"/>
        <w:ind w:left="-426"/>
        <w:rPr>
          <w:rFonts w:asciiTheme="majorHAnsi" w:hAnsiTheme="majorHAnsi" w:cs="Arial"/>
          <w:sz w:val="24"/>
        </w:rPr>
      </w:pPr>
      <w:r w:rsidRPr="00E50B4A">
        <w:rPr>
          <w:rFonts w:asciiTheme="majorHAnsi" w:hAnsiTheme="majorHAnsi" w:cs="Arial"/>
          <w:sz w:val="24"/>
        </w:rPr>
        <w:t>Ilustración 8 FUENTE: SED CALDAS - MEN</w:t>
      </w:r>
    </w:p>
    <w:p w:rsidR="0074062D" w:rsidRPr="00E50B4A" w:rsidRDefault="0074062D" w:rsidP="0074062D">
      <w:pPr>
        <w:ind w:left="-426"/>
        <w:jc w:val="both"/>
        <w:rPr>
          <w:rFonts w:asciiTheme="majorHAnsi" w:hAnsiTheme="majorHAnsi" w:cs="Arial"/>
          <w:sz w:val="24"/>
          <w:szCs w:val="24"/>
        </w:rPr>
      </w:pP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la tasa de estudiantes entre 15 y 16 años que ingresan al nivel educativo de media, con respecto a la población total proyectada por el DANE, entre dichas edades en el Departamento.</w:t>
      </w:r>
    </w:p>
    <w:p w:rsidR="0074062D" w:rsidRPr="00E50B4A" w:rsidRDefault="0074062D" w:rsidP="0074062D">
      <w:pPr>
        <w:ind w:left="-426"/>
        <w:rPr>
          <w:rFonts w:asciiTheme="majorHAnsi" w:hAnsiTheme="majorHAnsi" w:cs="Arial"/>
          <w:b/>
          <w:sz w:val="24"/>
          <w:szCs w:val="24"/>
          <w:lang w:eastAsia="es-CO"/>
        </w:rPr>
      </w:pPr>
    </w:p>
    <w:p w:rsidR="0074062D" w:rsidRPr="00E50B4A" w:rsidRDefault="00934551"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w:t>
      </w:r>
      <w:r w:rsidR="0074062D" w:rsidRPr="00E50B4A">
        <w:rPr>
          <w:rFonts w:asciiTheme="majorHAnsi" w:hAnsiTheme="majorHAnsi" w:cs="Arial"/>
          <w:sz w:val="24"/>
          <w:szCs w:val="24"/>
          <w:lang w:eastAsia="es-CO"/>
        </w:rPr>
        <w:t>e observan como la tasa de cobertura escolar neta para el nivel de media, presenta una tendencia creciente con un aumento de 6.7 puntos con relación al 2005, alcanzando para el 2010 una cobertura neta del 35.0%. Este es el nivel académico donde menor tasa de cobertura se presenta.</w:t>
      </w: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8D574F" w:rsidRPr="00E50B4A">
        <w:rPr>
          <w:rFonts w:asciiTheme="majorHAnsi" w:hAnsiTheme="majorHAnsi" w:cs="Arial"/>
          <w:b/>
          <w:sz w:val="24"/>
          <w:szCs w:val="24"/>
          <w:lang w:eastAsia="es-CO"/>
        </w:rPr>
        <w:t>ebilidades</w:t>
      </w:r>
    </w:p>
    <w:p w:rsidR="0074062D" w:rsidRPr="00E50B4A" w:rsidRDefault="0074062D" w:rsidP="0074062D">
      <w:pPr>
        <w:pStyle w:val="textos"/>
        <w:ind w:left="-426"/>
        <w:rPr>
          <w:rFonts w:asciiTheme="majorHAnsi" w:hAnsiTheme="majorHAnsi" w:cs="Arial"/>
          <w:color w:val="auto"/>
          <w:sz w:val="24"/>
          <w:szCs w:val="24"/>
        </w:rPr>
      </w:pPr>
      <w:r w:rsidRPr="00E50B4A">
        <w:rPr>
          <w:rFonts w:asciiTheme="majorHAnsi" w:hAnsiTheme="majorHAnsi" w:cs="Arial"/>
          <w:color w:val="auto"/>
          <w:sz w:val="24"/>
          <w:szCs w:val="24"/>
        </w:rPr>
        <w:t xml:space="preserve">El eje cafetero por sus condiciones geográficas y económicas genera que a medida que aumenta el nivel académico, menor sea el número de estudiantes que ingresan al sistema educativo, ya que se ven obligados a migrar en búsqueda de mejores oportunidades o a  la inserción temprana en el mercado laboral. </w:t>
      </w:r>
    </w:p>
    <w:p w:rsidR="0074062D" w:rsidRPr="00E50B4A" w:rsidRDefault="0074062D" w:rsidP="0074062D">
      <w:pPr>
        <w:autoSpaceDE w:val="0"/>
        <w:autoSpaceDN w:val="0"/>
        <w:adjustRightInd w:val="0"/>
        <w:ind w:left="-426"/>
        <w:rPr>
          <w:rFonts w:asciiTheme="majorHAnsi" w:hAnsiTheme="majorHAnsi" w:cs="Arial"/>
          <w:sz w:val="24"/>
          <w:szCs w:val="24"/>
          <w:lang w:eastAsia="es-CO"/>
        </w:rPr>
      </w:pPr>
    </w:p>
    <w:p w:rsidR="0074062D" w:rsidRPr="00E50B4A" w:rsidRDefault="0074062D" w:rsidP="0074062D">
      <w:pPr>
        <w:autoSpaceDE w:val="0"/>
        <w:autoSpaceDN w:val="0"/>
        <w:adjustRightInd w:val="0"/>
        <w:ind w:left="-426"/>
        <w:rPr>
          <w:rFonts w:asciiTheme="majorHAnsi" w:hAnsiTheme="majorHAnsi" w:cs="Arial"/>
          <w:b/>
          <w:sz w:val="24"/>
          <w:szCs w:val="24"/>
          <w:lang w:eastAsia="es-CO"/>
        </w:rPr>
      </w:pPr>
      <w:r w:rsidRPr="00E50B4A">
        <w:rPr>
          <w:rFonts w:asciiTheme="majorHAnsi" w:hAnsiTheme="majorHAnsi" w:cs="Arial"/>
          <w:b/>
          <w:sz w:val="24"/>
          <w:szCs w:val="24"/>
          <w:lang w:eastAsia="es-CO"/>
        </w:rPr>
        <w:t>Posibilidades</w:t>
      </w:r>
    </w:p>
    <w:p w:rsidR="0074062D" w:rsidRPr="00E50B4A" w:rsidRDefault="0074062D" w:rsidP="0074062D">
      <w:pPr>
        <w:ind w:left="-426"/>
        <w:rPr>
          <w:rFonts w:asciiTheme="majorHAnsi" w:hAnsiTheme="majorHAnsi" w:cs="Arial"/>
          <w:sz w:val="24"/>
          <w:szCs w:val="24"/>
        </w:rPr>
      </w:pPr>
    </w:p>
    <w:p w:rsidR="0074062D" w:rsidRPr="00E50B4A" w:rsidRDefault="0074062D" w:rsidP="0074062D">
      <w:pPr>
        <w:pStyle w:val="NormalWeb"/>
        <w:ind w:left="-426"/>
        <w:jc w:val="both"/>
        <w:rPr>
          <w:rFonts w:asciiTheme="majorHAnsi" w:hAnsiTheme="majorHAnsi" w:cs="Arial"/>
        </w:rPr>
      </w:pPr>
      <w:r w:rsidRPr="00E50B4A">
        <w:rPr>
          <w:rFonts w:asciiTheme="majorHAnsi" w:hAnsiTheme="majorHAnsi" w:cs="Arial"/>
        </w:rPr>
        <w:t>Entre las estrategias definidas para mejorar la cobertura en este nivel educativo se encuentra el programa de educación para adultos, al cual pueden acceder los jóvenes a partir de los 15 años; igualmente se cuenta con la articulación de diferentes universidades e instituciones de la educación media técnica con la educación superior.</w:t>
      </w:r>
    </w:p>
    <w:p w:rsidR="0074062D" w:rsidRPr="00E50B4A" w:rsidRDefault="0074062D" w:rsidP="0074062D">
      <w:pPr>
        <w:autoSpaceDE w:val="0"/>
        <w:autoSpaceDN w:val="0"/>
        <w:adjustRightInd w:val="0"/>
        <w:ind w:left="-426"/>
        <w:jc w:val="both"/>
        <w:rPr>
          <w:rFonts w:asciiTheme="majorHAnsi" w:hAnsiTheme="majorHAnsi"/>
          <w:sz w:val="24"/>
          <w:szCs w:val="24"/>
        </w:rPr>
      </w:pPr>
      <w:r w:rsidRPr="00E50B4A">
        <w:rPr>
          <w:rFonts w:asciiTheme="majorHAnsi" w:hAnsiTheme="majorHAnsi" w:cs="Arial"/>
          <w:sz w:val="24"/>
          <w:szCs w:val="24"/>
        </w:rPr>
        <w:t xml:space="preserve">Desarrollar acciones desarrolladas  para la articulación de la educación media con el SENA y las universidades oficiales; conectividad y dotación de aulas interactivas y computadores personales a través del programa Computadores para Educar; inmersión en lengua extranjera (inglés) con el convenio con la Gobernación de Caldas programa “Caldas Bilingüe; transporte escolar e infraestructura educativa. </w:t>
      </w:r>
    </w:p>
    <w:p w:rsidR="0074062D" w:rsidRPr="00E50B4A" w:rsidRDefault="0074062D" w:rsidP="0074062D">
      <w:pPr>
        <w:ind w:left="-426"/>
        <w:rPr>
          <w:rFonts w:asciiTheme="majorHAnsi" w:hAnsiTheme="majorHAnsi" w:cs="Arial"/>
          <w:sz w:val="24"/>
          <w:szCs w:val="24"/>
        </w:rPr>
      </w:pPr>
    </w:p>
    <w:p w:rsidR="0074062D" w:rsidRPr="00E50B4A" w:rsidRDefault="0074062D" w:rsidP="0074062D">
      <w:pPr>
        <w:ind w:left="-426"/>
        <w:jc w:val="both"/>
        <w:rPr>
          <w:rFonts w:asciiTheme="majorHAnsi" w:hAnsiTheme="majorHAnsi" w:cs="Arial"/>
          <w:b/>
          <w:sz w:val="24"/>
          <w:szCs w:val="24"/>
        </w:rPr>
      </w:pPr>
      <w:r w:rsidRPr="00E50B4A">
        <w:rPr>
          <w:rFonts w:asciiTheme="majorHAnsi" w:hAnsiTheme="majorHAnsi" w:cs="Arial"/>
          <w:b/>
          <w:sz w:val="24"/>
          <w:szCs w:val="24"/>
        </w:rPr>
        <w:t>Tasa  de Deserción Escolar Inter-anual de transición a grado 11</w:t>
      </w:r>
    </w:p>
    <w:p w:rsidR="0074062D" w:rsidRPr="00E50B4A" w:rsidRDefault="0074062D" w:rsidP="0074062D">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827348" cy="1548309"/>
            <wp:effectExtent l="0" t="0" r="11430" b="13970"/>
            <wp:docPr id="246"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74062D" w:rsidRPr="00E50B4A" w:rsidRDefault="0074062D" w:rsidP="0074062D">
      <w:pPr>
        <w:pStyle w:val="Epgrafe"/>
        <w:ind w:left="-426"/>
        <w:jc w:val="left"/>
        <w:rPr>
          <w:rFonts w:asciiTheme="majorHAnsi" w:hAnsiTheme="majorHAnsi" w:cs="Arial"/>
          <w:sz w:val="24"/>
        </w:rPr>
      </w:pPr>
      <w:r w:rsidRPr="00E50B4A">
        <w:rPr>
          <w:rFonts w:asciiTheme="majorHAnsi" w:hAnsiTheme="majorHAnsi" w:cs="Arial"/>
          <w:sz w:val="24"/>
        </w:rPr>
        <w:t xml:space="preserve">Ilustración 9 FUENTE: SED CALDAS </w:t>
      </w:r>
      <w:r w:rsidR="008D574F" w:rsidRPr="00E50B4A">
        <w:rPr>
          <w:rFonts w:asciiTheme="majorHAnsi" w:hAnsiTheme="majorHAnsi" w:cs="Arial"/>
          <w:sz w:val="24"/>
        </w:rPr>
        <w:t>–</w:t>
      </w:r>
      <w:r w:rsidRPr="00E50B4A">
        <w:rPr>
          <w:rFonts w:asciiTheme="majorHAnsi" w:hAnsiTheme="majorHAnsi" w:cs="Arial"/>
          <w:sz w:val="24"/>
        </w:rPr>
        <w:t xml:space="preserve"> DANE</w:t>
      </w:r>
    </w:p>
    <w:p w:rsidR="008D574F" w:rsidRPr="00E50B4A" w:rsidRDefault="008D574F" w:rsidP="008D574F">
      <w:pPr>
        <w:rPr>
          <w:rFonts w:asciiTheme="majorHAnsi" w:hAnsiTheme="majorHAnsi"/>
          <w:sz w:val="24"/>
          <w:szCs w:val="24"/>
          <w:lang w:val="es-ES_tradnl" w:eastAsia="es-ES"/>
        </w:rPr>
      </w:pP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de estudiantes que se retiran del sistema educativo.</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p>
    <w:p w:rsidR="0074062D" w:rsidRPr="00E50B4A" w:rsidRDefault="00934551" w:rsidP="0074062D">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E</w:t>
      </w:r>
      <w:r w:rsidR="0074062D" w:rsidRPr="00E50B4A">
        <w:rPr>
          <w:rFonts w:asciiTheme="majorHAnsi" w:hAnsiTheme="majorHAnsi" w:cs="Arial"/>
          <w:sz w:val="24"/>
          <w:szCs w:val="24"/>
        </w:rPr>
        <w:t>n Riosucio se presenta gran disminución de la deserción escolar durante los últimos años, presentando una reducción de 4.4 puntos.</w:t>
      </w:r>
    </w:p>
    <w:p w:rsidR="0074062D" w:rsidRPr="00E50B4A" w:rsidRDefault="0074062D" w:rsidP="0074062D">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La deserción no se calcula por grupos étnicos, ni población víctima de conflicto ya que la información se saca de los formularios del DANE, los cuales solo registran la deserción sin este tipo de disgregación.</w:t>
      </w:r>
    </w:p>
    <w:p w:rsidR="0074062D" w:rsidRPr="00E50B4A" w:rsidRDefault="0074062D" w:rsidP="0074062D">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Debilidades.</w:t>
      </w:r>
    </w:p>
    <w:p w:rsidR="0074062D" w:rsidRPr="00E50B4A" w:rsidRDefault="0074062D" w:rsidP="0074062D">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El eje cafetero por sus condiciones geográficas y económicas es una de las zonas con mayor deserción en el país, después de los departamentos afectados por el conflicto armado. Entre las causas más comunes que generan deserción escolar son: factores económicos, socioculturales, el desempeño académico, la accesibilidad (promoción de acceso a niños en situación de vulnerabilidad al sistema educativo), la aceptabilidad (garantía de calidad) y la adaptabilidad (permanencia del niño en el sistema).</w:t>
      </w:r>
    </w:p>
    <w:p w:rsidR="0074062D" w:rsidRPr="00E50B4A" w:rsidRDefault="00AE48CB" w:rsidP="0074062D">
      <w:pPr>
        <w:ind w:left="-426"/>
        <w:jc w:val="both"/>
        <w:rPr>
          <w:rFonts w:asciiTheme="majorHAnsi" w:hAnsiTheme="majorHAnsi" w:cs="Arial"/>
          <w:sz w:val="24"/>
          <w:szCs w:val="24"/>
        </w:rPr>
      </w:pPr>
      <w:r w:rsidRPr="00E50B4A">
        <w:rPr>
          <w:rFonts w:asciiTheme="majorHAnsi" w:hAnsiTheme="majorHAnsi" w:cs="Arial"/>
          <w:sz w:val="24"/>
          <w:szCs w:val="24"/>
        </w:rPr>
        <w:t>En</w:t>
      </w:r>
      <w:r w:rsidR="0074062D" w:rsidRPr="00E50B4A">
        <w:rPr>
          <w:rFonts w:asciiTheme="majorHAnsi" w:hAnsiTheme="majorHAnsi" w:cs="Arial"/>
          <w:sz w:val="24"/>
          <w:szCs w:val="24"/>
        </w:rPr>
        <w:t xml:space="preserve">tre las estrategias establecidas para reducir la deserción escolar en Riosucio Caldas se </w:t>
      </w:r>
      <w:r w:rsidRPr="00E50B4A">
        <w:rPr>
          <w:rFonts w:asciiTheme="majorHAnsi" w:hAnsiTheme="majorHAnsi" w:cs="Arial"/>
          <w:sz w:val="24"/>
          <w:szCs w:val="24"/>
        </w:rPr>
        <w:t>continuara</w:t>
      </w:r>
      <w:r w:rsidR="0074062D" w:rsidRPr="00E50B4A">
        <w:rPr>
          <w:rFonts w:asciiTheme="majorHAnsi" w:hAnsiTheme="majorHAnsi" w:cs="Arial"/>
          <w:sz w:val="24"/>
          <w:szCs w:val="24"/>
        </w:rPr>
        <w:t xml:space="preserve"> con la difusión de la campaña de la pre-matrícula y la continuidad de los diferentes proyectos del Plan de Desarrollo Municipal en el sector educación.</w:t>
      </w:r>
    </w:p>
    <w:p w:rsidR="00AE48CB" w:rsidRPr="00E50B4A" w:rsidRDefault="00AE48CB" w:rsidP="00AE48CB">
      <w:pPr>
        <w:ind w:left="-426"/>
        <w:jc w:val="both"/>
        <w:rPr>
          <w:rFonts w:asciiTheme="majorHAnsi" w:hAnsiTheme="majorHAnsi" w:cs="Arial"/>
          <w:b/>
          <w:sz w:val="24"/>
          <w:szCs w:val="24"/>
        </w:rPr>
      </w:pPr>
      <w:r w:rsidRPr="00E50B4A">
        <w:rPr>
          <w:rFonts w:asciiTheme="majorHAnsi" w:hAnsiTheme="majorHAnsi" w:cs="Arial"/>
          <w:b/>
          <w:sz w:val="24"/>
          <w:szCs w:val="24"/>
        </w:rPr>
        <w:t>Tasa de repitencia en educación básica primaria</w:t>
      </w:r>
    </w:p>
    <w:p w:rsidR="00AE48CB" w:rsidRPr="00E50B4A" w:rsidRDefault="00AE48CB" w:rsidP="00AE48CB">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154169" cy="1312540"/>
            <wp:effectExtent l="0" t="0" r="0" b="2540"/>
            <wp:docPr id="24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2155194" cy="1313164"/>
                    </a:xfrm>
                    <a:prstGeom prst="rect">
                      <a:avLst/>
                    </a:prstGeom>
                    <a:noFill/>
                  </pic:spPr>
                </pic:pic>
              </a:graphicData>
            </a:graphic>
          </wp:inline>
        </w:drawing>
      </w:r>
    </w:p>
    <w:p w:rsidR="00AE48CB" w:rsidRPr="00E50B4A" w:rsidRDefault="00AE48CB" w:rsidP="00AE48CB">
      <w:pPr>
        <w:pStyle w:val="Epgrafe"/>
        <w:ind w:left="-426"/>
        <w:rPr>
          <w:rFonts w:asciiTheme="majorHAnsi" w:hAnsiTheme="majorHAnsi" w:cs="Arial"/>
          <w:sz w:val="24"/>
        </w:rPr>
      </w:pPr>
    </w:p>
    <w:p w:rsidR="00AE48CB" w:rsidRPr="00E50B4A" w:rsidRDefault="00AE48CB" w:rsidP="00AE48CB">
      <w:pPr>
        <w:pStyle w:val="Epgrafe"/>
        <w:ind w:left="-426"/>
        <w:rPr>
          <w:rFonts w:asciiTheme="majorHAnsi" w:hAnsiTheme="majorHAnsi" w:cs="Arial"/>
          <w:sz w:val="24"/>
        </w:rPr>
      </w:pPr>
      <w:r w:rsidRPr="00E50B4A">
        <w:rPr>
          <w:rFonts w:asciiTheme="majorHAnsi" w:hAnsiTheme="majorHAnsi" w:cs="Arial"/>
          <w:sz w:val="24"/>
        </w:rPr>
        <w:t>Ilustración 10 FUENTE: DANE – SED CALDAS</w:t>
      </w:r>
    </w:p>
    <w:p w:rsidR="00AE48CB" w:rsidRPr="00E50B4A" w:rsidRDefault="00AE48CB" w:rsidP="00AE48CB">
      <w:pPr>
        <w:ind w:left="-426"/>
        <w:jc w:val="center"/>
        <w:rPr>
          <w:rFonts w:asciiTheme="majorHAnsi" w:hAnsiTheme="majorHAnsi" w:cs="Arial"/>
          <w:sz w:val="24"/>
          <w:szCs w:val="24"/>
        </w:rPr>
      </w:pP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de estudiantes que reprobaron en básica primaria con respecto a la matricula en dicho nivel educativo.</w:t>
      </w:r>
    </w:p>
    <w:p w:rsidR="00AE48CB" w:rsidRPr="00E50B4A" w:rsidRDefault="00934551"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A</w:t>
      </w:r>
      <w:r w:rsidR="00AE48CB" w:rsidRPr="00E50B4A">
        <w:rPr>
          <w:rFonts w:asciiTheme="majorHAnsi" w:hAnsiTheme="majorHAnsi" w:cs="Arial"/>
          <w:sz w:val="24"/>
          <w:szCs w:val="24"/>
          <w:lang w:eastAsia="es-CO"/>
        </w:rPr>
        <w:t xml:space="preserve"> partir del 2006 se observa como el índice de repitencia ha logrado mantener un comportamiento decreciente, registrando un 4.6% para el 2010.</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Debilidades.</w:t>
      </w:r>
    </w:p>
    <w:p w:rsidR="00AE48CB" w:rsidRPr="00E50B4A" w:rsidRDefault="00AE48CB" w:rsidP="00AE48CB">
      <w:pPr>
        <w:pStyle w:val="Default"/>
        <w:ind w:left="-426"/>
        <w:jc w:val="both"/>
        <w:rPr>
          <w:rFonts w:asciiTheme="majorHAnsi" w:hAnsiTheme="majorHAnsi"/>
          <w:color w:val="auto"/>
        </w:rPr>
      </w:pPr>
      <w:r w:rsidRPr="00E50B4A">
        <w:rPr>
          <w:rFonts w:asciiTheme="majorHAnsi" w:hAnsiTheme="majorHAnsi"/>
          <w:color w:val="auto"/>
        </w:rPr>
        <w:t>Se ha identificado la necesidad de implementar nuevas estrategias de enseñanza que contribuyan a la motivación y asimilación del estudiante en los diferentes temas y áreas del conocimiento.</w:t>
      </w:r>
    </w:p>
    <w:p w:rsidR="00AE48CB" w:rsidRPr="00E50B4A" w:rsidRDefault="00AE48CB" w:rsidP="00AE48CB">
      <w:pPr>
        <w:autoSpaceDE w:val="0"/>
        <w:autoSpaceDN w:val="0"/>
        <w:adjustRightInd w:val="0"/>
        <w:ind w:left="-426"/>
        <w:jc w:val="both"/>
        <w:rPr>
          <w:rFonts w:asciiTheme="majorHAnsi" w:hAnsiTheme="majorHAnsi" w:cs="Arial"/>
          <w:b/>
          <w:sz w:val="24"/>
          <w:szCs w:val="24"/>
        </w:rPr>
      </w:pPr>
    </w:p>
    <w:p w:rsidR="00AE48CB" w:rsidRPr="00E50B4A" w:rsidRDefault="00AE48CB" w:rsidP="00AE48CB">
      <w:pPr>
        <w:autoSpaceDE w:val="0"/>
        <w:autoSpaceDN w:val="0"/>
        <w:adjustRightInd w:val="0"/>
        <w:ind w:left="-426"/>
        <w:jc w:val="both"/>
        <w:rPr>
          <w:rFonts w:asciiTheme="majorHAnsi" w:hAnsiTheme="majorHAnsi" w:cs="Arial"/>
          <w:b/>
          <w:sz w:val="24"/>
          <w:szCs w:val="24"/>
        </w:rPr>
      </w:pPr>
      <w:r w:rsidRPr="00E50B4A">
        <w:rPr>
          <w:rFonts w:asciiTheme="majorHAnsi" w:hAnsiTheme="majorHAnsi" w:cs="Arial"/>
          <w:b/>
          <w:sz w:val="24"/>
          <w:szCs w:val="24"/>
        </w:rPr>
        <w:t>Posibilidades.</w:t>
      </w:r>
    </w:p>
    <w:p w:rsidR="00AE48CB" w:rsidRPr="00E50B4A" w:rsidRDefault="00AE48CB" w:rsidP="00AE48CB">
      <w:pPr>
        <w:ind w:left="-426"/>
        <w:jc w:val="both"/>
        <w:rPr>
          <w:rFonts w:asciiTheme="majorHAnsi" w:hAnsiTheme="majorHAnsi" w:cs="Arial"/>
          <w:b/>
          <w:sz w:val="24"/>
          <w:szCs w:val="24"/>
        </w:rPr>
      </w:pPr>
      <w:r w:rsidRPr="00E50B4A">
        <w:rPr>
          <w:rFonts w:asciiTheme="majorHAnsi" w:hAnsiTheme="majorHAnsi" w:cs="Arial"/>
          <w:sz w:val="24"/>
          <w:szCs w:val="24"/>
        </w:rPr>
        <w:t xml:space="preserve">Entre las estrategias que contribuyen a reducir los índices de repitencia municipal, se encuentra docentes capacitados y pertinentes para cada área; adicionalmente  se apoya la parte nutricional de los estudiantes por medio del restaurante escolar, que busca </w:t>
      </w:r>
      <w:r w:rsidRPr="00E50B4A">
        <w:rPr>
          <w:rFonts w:asciiTheme="majorHAnsi" w:hAnsiTheme="majorHAnsi" w:cs="Arial"/>
          <w:sz w:val="24"/>
          <w:szCs w:val="24"/>
          <w:lang w:eastAsia="es-CO"/>
        </w:rPr>
        <w:t>garantizar el servicio de alimentación escolar durante la jornada escolar a las niñas y niños, adolescentes escolarizados en las áreas urbanas y rurales; al igual que dotación de los establecimientos educativos.</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Se debe fortalecer el proyecto de “Mejoramiento de la Calidad Educativa” con nuevas estrategias de capacitación docente y estudiante, que contribuyan al mejoramiento y disminución de la repitencia educativa.   Igualmente dar continuidad a los diferentes proyectos que se han venido desarrollando y que han generado un impacto positivo en la educación.</w:t>
      </w:r>
    </w:p>
    <w:p w:rsidR="00AE48CB" w:rsidRPr="00E50B4A" w:rsidRDefault="00AE48CB" w:rsidP="00AE48CB">
      <w:pPr>
        <w:ind w:left="-426"/>
        <w:rPr>
          <w:rFonts w:asciiTheme="majorHAnsi" w:hAnsiTheme="majorHAnsi" w:cs="Arial"/>
          <w:sz w:val="24"/>
          <w:szCs w:val="24"/>
        </w:rPr>
      </w:pPr>
      <w:r w:rsidRPr="00E50B4A">
        <w:rPr>
          <w:rFonts w:asciiTheme="majorHAnsi" w:hAnsiTheme="majorHAnsi" w:cs="Arial"/>
          <w:b/>
          <w:sz w:val="24"/>
          <w:szCs w:val="24"/>
        </w:rPr>
        <w:t>Tasa de repitencia en educación básica Secundaria</w:t>
      </w:r>
    </w:p>
    <w:p w:rsidR="00AE48CB" w:rsidRPr="00E50B4A" w:rsidRDefault="00AE48CB" w:rsidP="00AE48CB">
      <w:pPr>
        <w:ind w:left="-426"/>
        <w:rPr>
          <w:rFonts w:asciiTheme="majorHAnsi" w:hAnsiTheme="majorHAnsi" w:cs="Arial"/>
          <w:b/>
          <w:bCs/>
          <w:sz w:val="24"/>
          <w:szCs w:val="24"/>
        </w:rPr>
      </w:pPr>
    </w:p>
    <w:p w:rsidR="00AE48CB" w:rsidRPr="00E50B4A" w:rsidRDefault="00AE48CB" w:rsidP="00AE48CB">
      <w:pPr>
        <w:ind w:left="-426"/>
        <w:rPr>
          <w:rFonts w:asciiTheme="majorHAnsi" w:hAnsiTheme="majorHAnsi" w:cs="Arial"/>
          <w:sz w:val="24"/>
          <w:szCs w:val="24"/>
        </w:rPr>
      </w:pPr>
    </w:p>
    <w:p w:rsidR="00AE48CB" w:rsidRPr="00E50B4A" w:rsidRDefault="00AE48CB" w:rsidP="00AE48CB">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199048" cy="1329292"/>
            <wp:effectExtent l="0" t="0" r="0" b="4445"/>
            <wp:docPr id="24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srcRect/>
                    <a:stretch>
                      <a:fillRect/>
                    </a:stretch>
                  </pic:blipFill>
                  <pic:spPr bwMode="auto">
                    <a:xfrm>
                      <a:off x="0" y="0"/>
                      <a:ext cx="2200605" cy="1330233"/>
                    </a:xfrm>
                    <a:prstGeom prst="rect">
                      <a:avLst/>
                    </a:prstGeom>
                    <a:noFill/>
                  </pic:spPr>
                </pic:pic>
              </a:graphicData>
            </a:graphic>
          </wp:inline>
        </w:drawing>
      </w:r>
    </w:p>
    <w:p w:rsidR="00AE48CB" w:rsidRPr="00E50B4A" w:rsidRDefault="00AE48CB" w:rsidP="00AE48CB">
      <w:pPr>
        <w:pStyle w:val="Epgrafe"/>
        <w:ind w:left="-426"/>
        <w:rPr>
          <w:rFonts w:asciiTheme="majorHAnsi" w:hAnsiTheme="majorHAnsi" w:cs="Arial"/>
          <w:sz w:val="24"/>
        </w:rPr>
      </w:pPr>
      <w:r w:rsidRPr="00E50B4A">
        <w:rPr>
          <w:rFonts w:asciiTheme="majorHAnsi" w:hAnsiTheme="majorHAnsi" w:cs="Arial"/>
          <w:sz w:val="24"/>
        </w:rPr>
        <w:t>Ilustración 11 FUENTE: DANE – SED CALDAS</w:t>
      </w:r>
    </w:p>
    <w:p w:rsidR="00AE48CB" w:rsidRPr="00E50B4A" w:rsidRDefault="00AE48CB" w:rsidP="00AE48CB">
      <w:pPr>
        <w:pStyle w:val="Epgrafe"/>
        <w:ind w:left="-426"/>
        <w:rPr>
          <w:rFonts w:asciiTheme="majorHAnsi" w:hAnsiTheme="majorHAnsi" w:cs="Arial"/>
          <w:sz w:val="24"/>
        </w:rPr>
      </w:pP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de estudiantes que reprobaron en básica secundaria con respecto a la matricula en dicho nivel educativo.</w:t>
      </w: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FD7CAB" w:rsidRPr="00E50B4A">
        <w:rPr>
          <w:rFonts w:asciiTheme="majorHAnsi" w:hAnsiTheme="majorHAnsi" w:cs="Arial"/>
          <w:b/>
          <w:sz w:val="24"/>
          <w:szCs w:val="24"/>
          <w:lang w:eastAsia="es-CO"/>
        </w:rPr>
        <w:t>ebilidades</w:t>
      </w:r>
    </w:p>
    <w:p w:rsidR="00934551" w:rsidRPr="00E50B4A" w:rsidRDefault="00934551" w:rsidP="00934551">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La repitencia en el nivel académico de básica secundaria, a partir del 2005 se ha incrementado sustancialmente hasta el año 2010 pero conservando los requerimientos técnicos de repitencia que exige el Decreto 230/2002 y Decreto 1290/2009.</w:t>
      </w:r>
    </w:p>
    <w:p w:rsidR="00934551" w:rsidRPr="00E50B4A" w:rsidRDefault="00934551" w:rsidP="00934551">
      <w:pPr>
        <w:autoSpaceDE w:val="0"/>
        <w:autoSpaceDN w:val="0"/>
        <w:adjustRightInd w:val="0"/>
        <w:ind w:left="-426"/>
        <w:jc w:val="both"/>
        <w:rPr>
          <w:rFonts w:asciiTheme="majorHAnsi" w:hAnsiTheme="majorHAnsi" w:cs="Arial"/>
          <w:sz w:val="24"/>
          <w:szCs w:val="24"/>
          <w:lang w:eastAsia="es-CO"/>
        </w:rPr>
      </w:pPr>
    </w:p>
    <w:p w:rsidR="00934551" w:rsidRPr="00E50B4A" w:rsidRDefault="00934551" w:rsidP="00AE48CB">
      <w:pPr>
        <w:autoSpaceDE w:val="0"/>
        <w:autoSpaceDN w:val="0"/>
        <w:adjustRightInd w:val="0"/>
        <w:ind w:left="-426"/>
        <w:jc w:val="both"/>
        <w:rPr>
          <w:rFonts w:asciiTheme="majorHAnsi" w:hAnsiTheme="majorHAnsi" w:cs="Arial"/>
          <w:b/>
          <w:sz w:val="24"/>
          <w:szCs w:val="24"/>
          <w:lang w:eastAsia="es-CO"/>
        </w:rPr>
      </w:pPr>
    </w:p>
    <w:p w:rsidR="00AE48CB" w:rsidRPr="00E50B4A" w:rsidRDefault="00AE48CB" w:rsidP="00AE48CB">
      <w:pPr>
        <w:pStyle w:val="Default"/>
        <w:ind w:left="-426"/>
        <w:jc w:val="both"/>
        <w:rPr>
          <w:rFonts w:asciiTheme="majorHAnsi" w:hAnsiTheme="majorHAnsi"/>
          <w:color w:val="auto"/>
        </w:rPr>
      </w:pPr>
      <w:r w:rsidRPr="00E50B4A">
        <w:rPr>
          <w:rFonts w:asciiTheme="majorHAnsi" w:hAnsiTheme="majorHAnsi"/>
          <w:color w:val="auto"/>
        </w:rPr>
        <w:t>Al igual que en los demás niveles académicos, se encuentran como principales causas de repitencia,  los factores socioeconómicos, el involucramiento familiar, el n</w:t>
      </w:r>
      <w:r w:rsidRPr="00E50B4A">
        <w:rPr>
          <w:rFonts w:asciiTheme="majorHAnsi" w:hAnsiTheme="majorHAnsi"/>
          <w:bCs/>
          <w:color w:val="auto"/>
        </w:rPr>
        <w:t>ivel educativo de los padres de familia, y la metodología de la enseñanza, como se explicó anteriormente.</w:t>
      </w:r>
    </w:p>
    <w:p w:rsidR="00AE48CB" w:rsidRPr="00E50B4A" w:rsidRDefault="00AE48CB" w:rsidP="00AE48CB">
      <w:pPr>
        <w:pStyle w:val="Default"/>
        <w:ind w:left="-426"/>
        <w:rPr>
          <w:rFonts w:asciiTheme="majorHAnsi" w:hAnsiTheme="majorHAnsi"/>
          <w:color w:val="auto"/>
        </w:rPr>
      </w:pPr>
    </w:p>
    <w:p w:rsidR="00AE48CB" w:rsidRPr="00E50B4A" w:rsidRDefault="00FD7CAB" w:rsidP="00AE48CB">
      <w:pPr>
        <w:autoSpaceDE w:val="0"/>
        <w:autoSpaceDN w:val="0"/>
        <w:adjustRightInd w:val="0"/>
        <w:ind w:left="-426"/>
        <w:rPr>
          <w:rFonts w:asciiTheme="majorHAnsi" w:hAnsiTheme="majorHAnsi" w:cs="Arial"/>
          <w:b/>
          <w:sz w:val="24"/>
          <w:szCs w:val="24"/>
          <w:lang w:eastAsia="es-CO"/>
        </w:rPr>
      </w:pPr>
      <w:r w:rsidRPr="00E50B4A">
        <w:rPr>
          <w:rFonts w:asciiTheme="majorHAnsi" w:hAnsiTheme="majorHAnsi" w:cs="Arial"/>
          <w:b/>
          <w:sz w:val="24"/>
          <w:szCs w:val="24"/>
          <w:lang w:eastAsia="es-CO"/>
        </w:rPr>
        <w:t>Posibilidades</w:t>
      </w:r>
    </w:p>
    <w:p w:rsidR="00AE48CB" w:rsidRPr="00E50B4A" w:rsidRDefault="00AE48CB" w:rsidP="00AE48CB">
      <w:pPr>
        <w:ind w:left="-426"/>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Entre las estrategias que contribuyen a reducir los índices de repitencia a nivel departamental se encuentra docentes capacitados y pertinentes para cada área; igualmente se apoya la parte nutricional de los estudiantes por medio del restaurante escolar, que busca </w:t>
      </w:r>
      <w:r w:rsidRPr="00E50B4A">
        <w:rPr>
          <w:rFonts w:asciiTheme="majorHAnsi" w:hAnsiTheme="majorHAnsi" w:cs="Arial"/>
          <w:sz w:val="24"/>
          <w:szCs w:val="24"/>
          <w:lang w:eastAsia="es-CO"/>
        </w:rPr>
        <w:t>garantizar el servicio de alimentación escolar durante la jornada escolar a las niñas y niños, adolescentes escolarizados en las áreas urbanas y rurales; al igual que dotación de los establecimientos educativos.</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Se debe fortalecer el proyecto de “Mejoramiento de la Calidad Educativa” con nuevas estrategias de capacitación docente y estudiante, que contribuyan al mejoramiento y disminución de la repitencia educativa.   Igualmente dar continuidad a los diferentes proyectos que se han venido desarrollando y que han generado un impacto positivo en la educación.</w:t>
      </w:r>
    </w:p>
    <w:p w:rsidR="00AE48CB" w:rsidRPr="00E50B4A" w:rsidRDefault="00AE48CB" w:rsidP="00AE48CB">
      <w:pPr>
        <w:ind w:left="-426"/>
        <w:rPr>
          <w:rFonts w:asciiTheme="majorHAnsi" w:hAnsiTheme="majorHAnsi" w:cs="Arial"/>
          <w:b/>
          <w:bCs/>
          <w:sz w:val="24"/>
          <w:szCs w:val="24"/>
        </w:rPr>
      </w:pPr>
    </w:p>
    <w:p w:rsidR="00AE48CB" w:rsidRPr="00E50B4A" w:rsidRDefault="00AE48CB" w:rsidP="00AE48CB">
      <w:pPr>
        <w:ind w:left="-426"/>
        <w:rPr>
          <w:rFonts w:asciiTheme="majorHAnsi" w:hAnsiTheme="majorHAnsi" w:cs="Arial"/>
          <w:b/>
          <w:sz w:val="24"/>
          <w:szCs w:val="24"/>
        </w:rPr>
      </w:pPr>
      <w:r w:rsidRPr="00E50B4A">
        <w:rPr>
          <w:rFonts w:asciiTheme="majorHAnsi" w:hAnsiTheme="majorHAnsi" w:cs="Arial"/>
          <w:b/>
          <w:sz w:val="24"/>
          <w:szCs w:val="24"/>
        </w:rPr>
        <w:t xml:space="preserve">Tasa de repitencia en educación básica Media </w:t>
      </w:r>
    </w:p>
    <w:p w:rsidR="00AE48CB" w:rsidRPr="00E50B4A" w:rsidRDefault="00AE48CB" w:rsidP="00AE48CB">
      <w:pPr>
        <w:keepNext/>
        <w:ind w:left="-426"/>
        <w:jc w:val="center"/>
        <w:rPr>
          <w:rFonts w:asciiTheme="majorHAnsi" w:hAnsiTheme="majorHAnsi" w:cs="Arial"/>
          <w:b/>
          <w:bCs/>
          <w:sz w:val="24"/>
          <w:szCs w:val="24"/>
        </w:rPr>
      </w:pPr>
    </w:p>
    <w:p w:rsidR="00AE48CB" w:rsidRPr="00E50B4A" w:rsidRDefault="00AE48CB" w:rsidP="00AE48CB">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731980" cy="1385625"/>
            <wp:effectExtent l="0" t="0" r="11430" b="24130"/>
            <wp:docPr id="250"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AE48CB" w:rsidRPr="00E50B4A" w:rsidRDefault="00AE48CB" w:rsidP="00AE48CB">
      <w:pPr>
        <w:pStyle w:val="Epgrafe"/>
        <w:ind w:left="-426"/>
        <w:rPr>
          <w:rFonts w:asciiTheme="majorHAnsi" w:hAnsiTheme="majorHAnsi" w:cs="Arial"/>
          <w:sz w:val="24"/>
        </w:rPr>
      </w:pPr>
      <w:r w:rsidRPr="00E50B4A">
        <w:rPr>
          <w:rFonts w:asciiTheme="majorHAnsi" w:hAnsiTheme="majorHAnsi" w:cs="Arial"/>
          <w:sz w:val="24"/>
        </w:rPr>
        <w:t>Ilustración 12 FUENTE: DANE – SED CALDAS</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de estudiantes que reprobaron en bási</w:t>
      </w:r>
      <w:r w:rsidR="005D78A0" w:rsidRPr="00E50B4A">
        <w:rPr>
          <w:rFonts w:asciiTheme="majorHAnsi" w:hAnsiTheme="majorHAnsi" w:cs="Arial"/>
          <w:sz w:val="24"/>
          <w:szCs w:val="24"/>
          <w:lang w:eastAsia="es-CO"/>
        </w:rPr>
        <w:t>ca media con respecto a la matrí</w:t>
      </w:r>
      <w:r w:rsidRPr="00E50B4A">
        <w:rPr>
          <w:rFonts w:asciiTheme="majorHAnsi" w:hAnsiTheme="majorHAnsi" w:cs="Arial"/>
          <w:sz w:val="24"/>
          <w:szCs w:val="24"/>
          <w:lang w:eastAsia="es-CO"/>
        </w:rPr>
        <w:t>cula en dicho nivel educativo.</w:t>
      </w:r>
    </w:p>
    <w:p w:rsidR="00AE48CB" w:rsidRPr="00E50B4A" w:rsidRDefault="00934551"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w:t>
      </w:r>
      <w:r w:rsidR="00AE48CB" w:rsidRPr="00E50B4A">
        <w:rPr>
          <w:rFonts w:asciiTheme="majorHAnsi" w:hAnsiTheme="majorHAnsi" w:cs="Arial"/>
          <w:sz w:val="24"/>
          <w:szCs w:val="24"/>
          <w:lang w:eastAsia="es-CO"/>
        </w:rPr>
        <w:t>e observa una tendencia creciente de repitencia desde el 2005 al 2008 con un incremento de 1.9 puntos; sin embargo a partir del 2009 al 2010 se ha ido disminuyendo la tasa de repitencia en este nivel con una disminución de 1.1 puntos.</w:t>
      </w:r>
    </w:p>
    <w:p w:rsidR="00AE48CB" w:rsidRPr="00E50B4A" w:rsidRDefault="00934551"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A</w:t>
      </w:r>
      <w:r w:rsidR="00AE48CB" w:rsidRPr="00E50B4A">
        <w:rPr>
          <w:rFonts w:asciiTheme="majorHAnsi" w:hAnsiTheme="majorHAnsi" w:cs="Arial"/>
          <w:sz w:val="24"/>
          <w:szCs w:val="24"/>
          <w:lang w:eastAsia="es-CO"/>
        </w:rPr>
        <w:t xml:space="preserve"> medida que aumenta el nivel educativo disminuye la tasa de repitencia.</w:t>
      </w:r>
    </w:p>
    <w:p w:rsidR="00AE48CB" w:rsidRPr="00E50B4A" w:rsidRDefault="00AE48CB" w:rsidP="00AE48CB">
      <w:pPr>
        <w:pStyle w:val="NormalWeb"/>
        <w:ind w:left="-426"/>
        <w:jc w:val="both"/>
        <w:rPr>
          <w:rFonts w:asciiTheme="majorHAnsi" w:hAnsiTheme="majorHAnsi" w:cs="Arial"/>
        </w:rPr>
      </w:pPr>
      <w:r w:rsidRPr="00E50B4A">
        <w:rPr>
          <w:rFonts w:asciiTheme="majorHAnsi" w:hAnsiTheme="majorHAnsi" w:cs="Arial"/>
        </w:rPr>
        <w:t>Al igual que para básica primaria y secundaria se ha cumplido los lineamientos nacionales, referentes a los decretos que reglamentan la promoción de los educandos en Colombia.</w:t>
      </w: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FD7CAB" w:rsidRPr="00E50B4A">
        <w:rPr>
          <w:rFonts w:asciiTheme="majorHAnsi" w:hAnsiTheme="majorHAnsi" w:cs="Arial"/>
          <w:b/>
          <w:sz w:val="24"/>
          <w:szCs w:val="24"/>
          <w:lang w:eastAsia="es-CO"/>
        </w:rPr>
        <w:t>ebilidades</w:t>
      </w:r>
    </w:p>
    <w:p w:rsidR="00AE48CB" w:rsidRPr="00E50B4A" w:rsidRDefault="00AE48CB" w:rsidP="00AE48CB">
      <w:pPr>
        <w:pStyle w:val="Default"/>
        <w:ind w:left="-426"/>
        <w:jc w:val="both"/>
        <w:rPr>
          <w:rFonts w:asciiTheme="majorHAnsi" w:hAnsiTheme="majorHAnsi"/>
          <w:color w:val="auto"/>
        </w:rPr>
      </w:pPr>
      <w:r w:rsidRPr="00E50B4A">
        <w:rPr>
          <w:rFonts w:asciiTheme="majorHAnsi" w:hAnsiTheme="majorHAnsi"/>
          <w:color w:val="auto"/>
        </w:rPr>
        <w:t>Al igual que en los demás niveles académicos, se encuentran como principales causas de repitencia,  los factores socioeconómicos, el involucramiento familiar, el n</w:t>
      </w:r>
      <w:r w:rsidRPr="00E50B4A">
        <w:rPr>
          <w:rFonts w:asciiTheme="majorHAnsi" w:hAnsiTheme="majorHAnsi"/>
          <w:bCs/>
          <w:color w:val="auto"/>
        </w:rPr>
        <w:t>ivel educativo de los padres de familia, y la metodología de la enseñanza.</w:t>
      </w:r>
    </w:p>
    <w:p w:rsidR="00AE48CB" w:rsidRPr="00E50B4A" w:rsidRDefault="00AE48CB" w:rsidP="00AE48CB">
      <w:pPr>
        <w:pStyle w:val="Default"/>
        <w:ind w:left="-426"/>
        <w:rPr>
          <w:rFonts w:asciiTheme="majorHAnsi" w:hAnsiTheme="majorHAnsi"/>
          <w:b/>
          <w:color w:val="auto"/>
        </w:rPr>
      </w:pPr>
    </w:p>
    <w:p w:rsidR="00AE48CB" w:rsidRPr="00E50B4A" w:rsidRDefault="00FD7CAB" w:rsidP="00FD7CA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rPr>
        <w:t>Posibilidades</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Entre las estrategias que contribuyen a reducir los índices de repitencia municipal, se encuentra</w:t>
      </w:r>
      <w:r w:rsidR="005D78A0" w:rsidRPr="00E50B4A">
        <w:rPr>
          <w:rFonts w:asciiTheme="majorHAnsi" w:hAnsiTheme="majorHAnsi" w:cs="Arial"/>
          <w:sz w:val="24"/>
          <w:szCs w:val="24"/>
        </w:rPr>
        <w:t>n</w:t>
      </w:r>
      <w:r w:rsidRPr="00E50B4A">
        <w:rPr>
          <w:rFonts w:asciiTheme="majorHAnsi" w:hAnsiTheme="majorHAnsi" w:cs="Arial"/>
          <w:sz w:val="24"/>
          <w:szCs w:val="24"/>
        </w:rPr>
        <w:t xml:space="preserve"> docentes capacitados y pertinentes para cada área; adicionalmente  se apoya la parte nutricional de los estudiantes por medio del restaurante escolar, que busca </w:t>
      </w:r>
      <w:r w:rsidRPr="00E50B4A">
        <w:rPr>
          <w:rFonts w:asciiTheme="majorHAnsi" w:hAnsiTheme="majorHAnsi" w:cs="Arial"/>
          <w:sz w:val="24"/>
          <w:szCs w:val="24"/>
          <w:lang w:eastAsia="es-CO"/>
        </w:rPr>
        <w:t>garantizar el servicio de alimentación escolar durante la jornada escolar a las niñas y niños, adolescentes escolarizados en las áreas urbanas y rurales; al igual que dotación de los establecimientos educativos, las cuales han generado el impacto que se esperaba, mejorando los indicadores de eficiencia interna de la Secretaría de Educación.</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Se debe fortalecer el proyecto de “Mejoramiento de la Calidad Educativa” con nuevas estrategias de capacitación docente y estudiante, que contribuyan al mejoramiento y disminución de la repitencia educativa.   Igualmente dar continuidad a los diferentes proyectos que se han venido desarrollando y que han generado un impacto positivo en la educación.</w:t>
      </w:r>
    </w:p>
    <w:p w:rsidR="00AE48CB" w:rsidRPr="00E50B4A" w:rsidRDefault="00AE48CB" w:rsidP="00AE48CB">
      <w:pPr>
        <w:ind w:left="-426"/>
        <w:rPr>
          <w:rFonts w:asciiTheme="majorHAnsi" w:hAnsiTheme="majorHAnsi" w:cs="Arial"/>
          <w:sz w:val="24"/>
          <w:szCs w:val="24"/>
        </w:rPr>
      </w:pPr>
    </w:p>
    <w:p w:rsidR="00AE48CB" w:rsidRPr="00E50B4A" w:rsidRDefault="00AE48CB" w:rsidP="00AE48CB">
      <w:pPr>
        <w:ind w:left="-426"/>
        <w:jc w:val="both"/>
        <w:rPr>
          <w:rFonts w:asciiTheme="majorHAnsi" w:hAnsiTheme="majorHAnsi" w:cs="Arial"/>
          <w:b/>
          <w:sz w:val="24"/>
          <w:szCs w:val="24"/>
        </w:rPr>
      </w:pPr>
      <w:bookmarkStart w:id="1" w:name="_Toc256606601"/>
      <w:bookmarkStart w:id="2" w:name="_Toc257386211"/>
      <w:bookmarkStart w:id="3" w:name="_Toc259540171"/>
      <w:bookmarkStart w:id="4" w:name="_Toc265131751"/>
      <w:bookmarkStart w:id="5" w:name="_Toc271635358"/>
      <w:r w:rsidRPr="00E50B4A">
        <w:rPr>
          <w:rFonts w:asciiTheme="majorHAnsi" w:hAnsiTheme="majorHAnsi" w:cs="Arial"/>
          <w:b/>
          <w:sz w:val="24"/>
          <w:szCs w:val="24"/>
        </w:rPr>
        <w:t>Puntaje promedio en las pruebas ICFES</w:t>
      </w:r>
    </w:p>
    <w:p w:rsidR="00934551" w:rsidRPr="00E50B4A" w:rsidRDefault="00934551" w:rsidP="00AE48CB">
      <w:pPr>
        <w:ind w:left="-426"/>
        <w:jc w:val="both"/>
        <w:rPr>
          <w:rFonts w:asciiTheme="majorHAnsi" w:hAnsiTheme="majorHAnsi" w:cs="Arial"/>
          <w:b/>
          <w:sz w:val="24"/>
          <w:szCs w:val="24"/>
        </w:rPr>
      </w:pPr>
    </w:p>
    <w:p w:rsidR="00AE48CB" w:rsidRPr="00E50B4A" w:rsidRDefault="00934551" w:rsidP="00934551">
      <w:pPr>
        <w:ind w:left="-426"/>
        <w:jc w:val="both"/>
        <w:rPr>
          <w:rFonts w:asciiTheme="majorHAnsi" w:hAnsiTheme="majorHAnsi" w:cs="Arial"/>
          <w:b/>
          <w:bCs/>
          <w:sz w:val="24"/>
          <w:szCs w:val="24"/>
        </w:rPr>
      </w:pPr>
      <w:r w:rsidRPr="00E50B4A">
        <w:rPr>
          <w:rFonts w:asciiTheme="majorHAnsi" w:hAnsiTheme="majorHAnsi" w:cs="Arial"/>
          <w:sz w:val="24"/>
          <w:szCs w:val="24"/>
          <w:lang w:eastAsia="es-CO"/>
        </w:rPr>
        <w:t>Indica el puntaje promedio de los estudiantes de grado once en Caldas, en las Pruebas Saber 11, anteriormente conocidas como pruebas ICFES.</w:t>
      </w:r>
      <w:bookmarkEnd w:id="1"/>
      <w:bookmarkEnd w:id="2"/>
      <w:bookmarkEnd w:id="3"/>
      <w:bookmarkEnd w:id="4"/>
      <w:bookmarkEnd w:id="5"/>
    </w:p>
    <w:p w:rsidR="00AE48CB" w:rsidRPr="00E50B4A" w:rsidRDefault="00AE48CB" w:rsidP="00ED361F">
      <w:pPr>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187829" cy="1405926"/>
            <wp:effectExtent l="0" t="0" r="3175" b="3810"/>
            <wp:docPr id="5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srcRect/>
                    <a:stretch>
                      <a:fillRect/>
                    </a:stretch>
                  </pic:blipFill>
                  <pic:spPr bwMode="auto">
                    <a:xfrm>
                      <a:off x="0" y="0"/>
                      <a:ext cx="2193795" cy="1409760"/>
                    </a:xfrm>
                    <a:prstGeom prst="rect">
                      <a:avLst/>
                    </a:prstGeom>
                    <a:noFill/>
                  </pic:spPr>
                </pic:pic>
              </a:graphicData>
            </a:graphic>
          </wp:inline>
        </w:drawing>
      </w:r>
    </w:p>
    <w:p w:rsidR="00AE48CB" w:rsidRPr="00E50B4A" w:rsidRDefault="00AE48CB" w:rsidP="00AE48CB">
      <w:pPr>
        <w:keepNext/>
        <w:ind w:left="-426"/>
        <w:jc w:val="center"/>
        <w:rPr>
          <w:rFonts w:asciiTheme="majorHAnsi" w:hAnsiTheme="majorHAnsi" w:cs="Arial"/>
          <w:sz w:val="24"/>
          <w:szCs w:val="24"/>
        </w:rPr>
      </w:pPr>
    </w:p>
    <w:p w:rsidR="00AE48CB" w:rsidRPr="00E50B4A" w:rsidRDefault="00AE48CB" w:rsidP="00AE48CB">
      <w:pPr>
        <w:pStyle w:val="Epgrafe"/>
        <w:ind w:left="-426"/>
        <w:rPr>
          <w:rFonts w:asciiTheme="majorHAnsi" w:hAnsiTheme="majorHAnsi" w:cs="Arial"/>
          <w:sz w:val="24"/>
        </w:rPr>
      </w:pPr>
      <w:r w:rsidRPr="00E50B4A">
        <w:rPr>
          <w:rFonts w:asciiTheme="majorHAnsi" w:hAnsiTheme="majorHAnsi" w:cs="Arial"/>
          <w:sz w:val="24"/>
        </w:rPr>
        <w:t>Ilustración 13  FUENTE: ICFES</w:t>
      </w:r>
    </w:p>
    <w:p w:rsidR="00934551" w:rsidRPr="00E50B4A" w:rsidRDefault="00934551" w:rsidP="00AE48CB">
      <w:pPr>
        <w:autoSpaceDE w:val="0"/>
        <w:autoSpaceDN w:val="0"/>
        <w:adjustRightInd w:val="0"/>
        <w:ind w:left="-426"/>
        <w:jc w:val="both"/>
        <w:rPr>
          <w:rFonts w:asciiTheme="majorHAnsi" w:hAnsiTheme="majorHAnsi" w:cs="Arial"/>
          <w:sz w:val="24"/>
          <w:szCs w:val="24"/>
          <w:lang w:eastAsia="es-CO"/>
        </w:rPr>
      </w:pP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FD7CAB" w:rsidRPr="00E50B4A">
        <w:rPr>
          <w:rFonts w:asciiTheme="majorHAnsi" w:hAnsiTheme="majorHAnsi" w:cs="Arial"/>
          <w:b/>
          <w:sz w:val="24"/>
          <w:szCs w:val="24"/>
          <w:lang w:eastAsia="es-CO"/>
        </w:rPr>
        <w:t>ebilidades.</w:t>
      </w:r>
    </w:p>
    <w:p w:rsidR="001912DF" w:rsidRPr="00E50B4A" w:rsidRDefault="001912DF" w:rsidP="001912DF">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En el comportamiento del puntaje promedio en las pruebas ICFES a partir del 2007, ha permanecido relativamente constante, después de una reducción significativa, manteniéndose en un nivel de desempeño medio bajo, no superando los 45 puntos. En el 2010, se registra un promedio de 44.31 puntos.</w:t>
      </w: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 xml:space="preserve">Son varios los factores asociados a la calidad educativa que influyen directamente en el rendimiento académico de los estudiantes, entre ellos formación de docentes tanto en el área disciplinar como en pedagogía, ambientes escolares, dotación de recursos tecnológicos y didácticos, compromiso y motivación de docentes, estudiantes, padres de familia, control al desarrollo de planes de estudios, cumplimiento de horas de estudio y jornada laboral, nombramiento tardío de docentes, problemas socioeconómicos, entre otros. </w:t>
      </w: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Otro factor importante son los escasos hábitos de lectura, que no generan un aprendizaje y pensamiento crítico y analítico del estudiante frente a lo académico y lo cotidiano.</w:t>
      </w: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Al igual que con las pruebas saber 5 y 9, la falta de recursos ha generado que las estrategias definidas no siempre puedan ser llevadas a cabo.</w:t>
      </w:r>
    </w:p>
    <w:p w:rsidR="00AE48CB" w:rsidRPr="00E50B4A" w:rsidRDefault="00AE48CB" w:rsidP="00AE48CB">
      <w:pPr>
        <w:rPr>
          <w:rFonts w:asciiTheme="majorHAnsi" w:hAnsiTheme="majorHAnsi" w:cs="Arial"/>
          <w:b/>
          <w:sz w:val="24"/>
          <w:szCs w:val="24"/>
          <w:lang w:eastAsia="es-CO"/>
        </w:rPr>
      </w:pPr>
      <w:r w:rsidRPr="00E50B4A">
        <w:rPr>
          <w:rFonts w:asciiTheme="majorHAnsi" w:hAnsiTheme="majorHAnsi" w:cs="Arial"/>
          <w:b/>
          <w:sz w:val="24"/>
          <w:szCs w:val="24"/>
          <w:lang w:eastAsia="es-CO"/>
        </w:rPr>
        <w:br w:type="page"/>
      </w:r>
    </w:p>
    <w:p w:rsidR="00AE48CB" w:rsidRPr="00E50B4A" w:rsidRDefault="00FD7CAB" w:rsidP="00AE48CB">
      <w:pPr>
        <w:autoSpaceDE w:val="0"/>
        <w:autoSpaceDN w:val="0"/>
        <w:adjustRightInd w:val="0"/>
        <w:ind w:left="-426"/>
        <w:rPr>
          <w:rFonts w:asciiTheme="majorHAnsi" w:hAnsiTheme="majorHAnsi" w:cs="Arial"/>
          <w:b/>
          <w:sz w:val="24"/>
          <w:szCs w:val="24"/>
          <w:lang w:eastAsia="es-CO"/>
        </w:rPr>
      </w:pPr>
      <w:r w:rsidRPr="00E50B4A">
        <w:rPr>
          <w:rFonts w:asciiTheme="majorHAnsi" w:hAnsiTheme="majorHAnsi" w:cs="Arial"/>
          <w:b/>
          <w:sz w:val="24"/>
          <w:szCs w:val="24"/>
          <w:lang w:eastAsia="es-CO"/>
        </w:rPr>
        <w:t>Posibilidades.</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Entre las estrategias definidas para mejorar el desempeño de los estudiantes en las Pruebas Saber 11 se encuentra: Formación de docentes no solo en el área disciplinar sino en lo pedagógico, didáctico e investigativo que se haga visible en la formación de competencias de los estudiantes. Formación en las </w:t>
      </w:r>
      <w:r w:rsidR="005D78A0" w:rsidRPr="00E50B4A">
        <w:rPr>
          <w:rFonts w:asciiTheme="majorHAnsi" w:hAnsiTheme="majorHAnsi" w:cs="Arial"/>
          <w:sz w:val="24"/>
          <w:szCs w:val="24"/>
        </w:rPr>
        <w:t>áreas de Inglés, Ciencias Sociales, Física, Química, Lenguaje, Filosofía,  Biología, y M</w:t>
      </w:r>
      <w:r w:rsidRPr="00E50B4A">
        <w:rPr>
          <w:rFonts w:asciiTheme="majorHAnsi" w:hAnsiTheme="majorHAnsi" w:cs="Arial"/>
          <w:sz w:val="24"/>
          <w:szCs w:val="24"/>
        </w:rPr>
        <w:t>atemáticas.</w:t>
      </w:r>
    </w:p>
    <w:p w:rsidR="00AE48CB" w:rsidRPr="00E50B4A" w:rsidRDefault="00F37160" w:rsidP="00AE48CB">
      <w:pPr>
        <w:ind w:left="-426"/>
        <w:jc w:val="both"/>
        <w:rPr>
          <w:rFonts w:asciiTheme="majorHAnsi" w:hAnsiTheme="majorHAnsi" w:cs="Arial"/>
          <w:sz w:val="24"/>
          <w:szCs w:val="24"/>
        </w:rPr>
      </w:pPr>
      <w:r w:rsidRPr="00E50B4A">
        <w:rPr>
          <w:rFonts w:asciiTheme="majorHAnsi" w:hAnsiTheme="majorHAnsi" w:cs="Arial"/>
          <w:sz w:val="24"/>
          <w:szCs w:val="24"/>
        </w:rPr>
        <w:t>R</w:t>
      </w:r>
      <w:r w:rsidR="00AE48CB" w:rsidRPr="00E50B4A">
        <w:rPr>
          <w:rFonts w:asciiTheme="majorHAnsi" w:hAnsiTheme="majorHAnsi" w:cs="Arial"/>
          <w:sz w:val="24"/>
          <w:szCs w:val="24"/>
        </w:rPr>
        <w:t>ealiza</w:t>
      </w:r>
      <w:r w:rsidRPr="00E50B4A">
        <w:rPr>
          <w:rFonts w:asciiTheme="majorHAnsi" w:hAnsiTheme="majorHAnsi" w:cs="Arial"/>
          <w:sz w:val="24"/>
          <w:szCs w:val="24"/>
        </w:rPr>
        <w:t>r</w:t>
      </w:r>
      <w:r w:rsidR="00AE48CB" w:rsidRPr="00E50B4A">
        <w:rPr>
          <w:rFonts w:asciiTheme="majorHAnsi" w:hAnsiTheme="majorHAnsi" w:cs="Arial"/>
          <w:sz w:val="24"/>
          <w:szCs w:val="24"/>
        </w:rPr>
        <w:t xml:space="preserve"> capacitaciones a docentes y estudiante en preparación para las pruebas de estado.</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Control permanente para verificar el cumplimiento de la normatividad referente a planes de estudios, metodologías de las áreas, sistemas de evaluación, eficacia de la formación docente, cumplimiento de la jornada escolar y jornada laboral, uso pedagógico de los medios y tecnologías de la comunicación e información, de tal manera que se garantice el mejoramiento de la calidad del servicio educativo.</w:t>
      </w:r>
    </w:p>
    <w:p w:rsidR="00AE48CB" w:rsidRPr="00E50B4A" w:rsidRDefault="00FD7CA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F</w:t>
      </w:r>
      <w:r w:rsidR="00AE48CB" w:rsidRPr="00E50B4A">
        <w:rPr>
          <w:rFonts w:asciiTheme="majorHAnsi" w:hAnsiTheme="majorHAnsi" w:cs="Arial"/>
          <w:sz w:val="24"/>
          <w:szCs w:val="24"/>
        </w:rPr>
        <w:t>ormación de docentes en las diferentes áreas de aplicación de las Pruebas ICFES. en coherencia con los estándares de competencias definidos por el MEN y las competencias comunicativas que son transversales al currículo como la interpretativa, la argumentativa y la propositiva; de acuerdo con la políticas nacionales ubicar a los docentes en las áreas específicas para las cuales concursaron y fueron nombrados;   fortalecer la ev</w:t>
      </w:r>
      <w:r w:rsidR="00331398" w:rsidRPr="00E50B4A">
        <w:rPr>
          <w:rFonts w:asciiTheme="majorHAnsi" w:hAnsiTheme="majorHAnsi" w:cs="Arial"/>
          <w:sz w:val="24"/>
          <w:szCs w:val="24"/>
        </w:rPr>
        <w:t>aluación de perío</w:t>
      </w:r>
      <w:r w:rsidR="00AE48CB" w:rsidRPr="00E50B4A">
        <w:rPr>
          <w:rFonts w:asciiTheme="majorHAnsi" w:hAnsiTheme="majorHAnsi" w:cs="Arial"/>
          <w:sz w:val="24"/>
          <w:szCs w:val="24"/>
        </w:rPr>
        <w:t xml:space="preserve">do de prueba y la evaluación anual de desempeño laboral de docentes y directivos para el mejoramiento de la gestión académica, administrativa, directiva y comunitaria. </w:t>
      </w:r>
    </w:p>
    <w:p w:rsidR="00AE48CB" w:rsidRPr="00E50B4A" w:rsidRDefault="00AE48CB" w:rsidP="00AE48CB">
      <w:pPr>
        <w:autoSpaceDE w:val="0"/>
        <w:autoSpaceDN w:val="0"/>
        <w:adjustRightInd w:val="0"/>
        <w:ind w:left="-426"/>
        <w:jc w:val="both"/>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Ejercer el control permanente por parte del grupo de inspección y vigilancia, para verificar el cumplimiento de la normatividad referente a planes de estudios, metodologías de las áreas, sistemas de evaluación, eficacia de la formación docente, cumplimiento de la jornada escolar y jornada laboral, uso pedagógico de los medios y tecnologías de la comunicación e información, de tal manera que se garantice el mejoramiento de la calidad del servicio educativo.</w:t>
      </w:r>
    </w:p>
    <w:p w:rsidR="00AE48CB" w:rsidRPr="00E50B4A" w:rsidRDefault="00AE48CB" w:rsidP="00AE48CB">
      <w:pPr>
        <w:ind w:left="-426"/>
        <w:rPr>
          <w:rFonts w:asciiTheme="majorHAnsi" w:hAnsiTheme="majorHAnsi" w:cs="Arial"/>
          <w:b/>
          <w:bCs/>
          <w:sz w:val="24"/>
          <w:szCs w:val="24"/>
        </w:rPr>
      </w:pPr>
    </w:p>
    <w:p w:rsidR="00AE48CB" w:rsidRPr="00E50B4A" w:rsidRDefault="00AE48CB" w:rsidP="00AE48CB">
      <w:pPr>
        <w:ind w:left="-426"/>
        <w:jc w:val="both"/>
        <w:rPr>
          <w:rFonts w:asciiTheme="majorHAnsi" w:hAnsiTheme="majorHAnsi" w:cs="Arial"/>
          <w:b/>
          <w:iCs/>
          <w:sz w:val="24"/>
          <w:szCs w:val="24"/>
        </w:rPr>
      </w:pPr>
      <w:r w:rsidRPr="00E50B4A">
        <w:rPr>
          <w:rFonts w:asciiTheme="majorHAnsi" w:hAnsiTheme="majorHAnsi" w:cs="Arial"/>
          <w:b/>
          <w:iCs/>
          <w:sz w:val="24"/>
          <w:szCs w:val="24"/>
        </w:rPr>
        <w:t>Número de niños,  niñas  y adolescentes  que  recibieron educación sexual y reproductiva</w:t>
      </w:r>
    </w:p>
    <w:p w:rsidR="001912DF" w:rsidRPr="00E50B4A" w:rsidRDefault="001912DF" w:rsidP="001912DF">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de los niños, niñas y adolescentes en Caldas que recibieron orientación en Educación Sexual y Reproductiva.</w:t>
      </w:r>
    </w:p>
    <w:p w:rsidR="001912DF" w:rsidRPr="00E50B4A" w:rsidRDefault="001912DF" w:rsidP="00AE48CB">
      <w:pPr>
        <w:ind w:left="-426"/>
        <w:jc w:val="both"/>
        <w:rPr>
          <w:rFonts w:asciiTheme="majorHAnsi" w:hAnsiTheme="majorHAnsi" w:cs="Arial"/>
          <w:sz w:val="24"/>
          <w:szCs w:val="24"/>
        </w:rPr>
      </w:pPr>
    </w:p>
    <w:p w:rsidR="00AE48CB" w:rsidRPr="00E50B4A" w:rsidRDefault="00AE48CB" w:rsidP="00AE48CB">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131730" cy="1319027"/>
            <wp:effectExtent l="0" t="0" r="1905" b="0"/>
            <wp:docPr id="59"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srcRect/>
                    <a:stretch>
                      <a:fillRect/>
                    </a:stretch>
                  </pic:blipFill>
                  <pic:spPr bwMode="auto">
                    <a:xfrm>
                      <a:off x="0" y="0"/>
                      <a:ext cx="2137173" cy="1322395"/>
                    </a:xfrm>
                    <a:prstGeom prst="rect">
                      <a:avLst/>
                    </a:prstGeom>
                    <a:noFill/>
                  </pic:spPr>
                </pic:pic>
              </a:graphicData>
            </a:graphic>
          </wp:inline>
        </w:drawing>
      </w:r>
    </w:p>
    <w:p w:rsidR="00AE48CB" w:rsidRPr="00E50B4A" w:rsidRDefault="00AE48CB" w:rsidP="00AE48CB">
      <w:pPr>
        <w:pStyle w:val="Epgrafe"/>
        <w:ind w:left="-426"/>
        <w:rPr>
          <w:rFonts w:asciiTheme="majorHAnsi" w:hAnsiTheme="majorHAnsi" w:cs="Arial"/>
          <w:sz w:val="24"/>
        </w:rPr>
      </w:pPr>
      <w:r w:rsidRPr="00E50B4A">
        <w:rPr>
          <w:rFonts w:asciiTheme="majorHAnsi" w:hAnsiTheme="majorHAnsi" w:cs="Arial"/>
          <w:sz w:val="24"/>
        </w:rPr>
        <w:t>Ilustración 14  FUENTE: SED CALDAS</w:t>
      </w: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p>
    <w:p w:rsidR="00AE48CB" w:rsidRPr="00E50B4A" w:rsidRDefault="001912DF" w:rsidP="001912DF">
      <w:pPr>
        <w:jc w:val="both"/>
        <w:rPr>
          <w:rFonts w:asciiTheme="majorHAnsi" w:hAnsiTheme="majorHAnsi" w:cs="Arial"/>
          <w:sz w:val="24"/>
          <w:szCs w:val="24"/>
        </w:rPr>
      </w:pPr>
      <w:r w:rsidRPr="00E50B4A">
        <w:rPr>
          <w:rFonts w:asciiTheme="majorHAnsi" w:hAnsiTheme="majorHAnsi" w:cs="Arial"/>
          <w:sz w:val="24"/>
          <w:szCs w:val="24"/>
          <w:lang w:eastAsia="es-CO"/>
        </w:rPr>
        <w:t>D</w:t>
      </w:r>
      <w:r w:rsidR="00331398" w:rsidRPr="00E50B4A">
        <w:rPr>
          <w:rFonts w:asciiTheme="majorHAnsi" w:hAnsiTheme="majorHAnsi" w:cs="Arial"/>
          <w:sz w:val="24"/>
          <w:szCs w:val="24"/>
          <w:lang w:eastAsia="es-CO"/>
        </w:rPr>
        <w:t>urante el perí</w:t>
      </w:r>
      <w:r w:rsidR="00AE48CB" w:rsidRPr="00E50B4A">
        <w:rPr>
          <w:rFonts w:asciiTheme="majorHAnsi" w:hAnsiTheme="majorHAnsi" w:cs="Arial"/>
          <w:sz w:val="24"/>
          <w:szCs w:val="24"/>
          <w:lang w:eastAsia="es-CO"/>
        </w:rPr>
        <w:t xml:space="preserve">odo analizado se ha brindado orientación sexual y reproductiva al 100% de  los niños, niñas y Adolescentes del Municipio que asisten a los Establecimientos Educativos, </w:t>
      </w:r>
      <w:r w:rsidR="00AE48CB" w:rsidRPr="00E50B4A">
        <w:rPr>
          <w:rStyle w:val="Textoennegrita"/>
          <w:rFonts w:asciiTheme="majorHAnsi" w:hAnsiTheme="majorHAnsi" w:cs="Arial"/>
          <w:sz w:val="24"/>
          <w:szCs w:val="24"/>
        </w:rPr>
        <w:t>acogiéndose la Secretaría de Educación a los lineamientos establecidos por el Ministerio de Educación Nacional.</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FD7CAB" w:rsidRPr="00E50B4A">
        <w:rPr>
          <w:rFonts w:asciiTheme="majorHAnsi" w:hAnsiTheme="majorHAnsi" w:cs="Arial"/>
          <w:b/>
          <w:sz w:val="24"/>
          <w:szCs w:val="24"/>
          <w:lang w:eastAsia="es-CO"/>
        </w:rPr>
        <w:t>ebilidades</w:t>
      </w: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A pesar de contar con una cobertura de un 100% en estudiantes que reciben educación sexual hace falta recursos para implementar nuevas estrategias de enseñanza con material didáctico y tecnológico.</w:t>
      </w:r>
    </w:p>
    <w:p w:rsidR="001912DF" w:rsidRPr="00E50B4A" w:rsidRDefault="001912DF"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Es importante que sean los mismos jóvenes quienes diseñen y participen activamente en la educción sexual y se dispongan estrategias comunicacionales alternas, que permitan una adecuada recepción de los mensajes desde el libre desarrollo de la personalidad , autonomía de la voluntad y responsabilidad individual y colectiva.</w:t>
      </w:r>
    </w:p>
    <w:p w:rsidR="001912DF" w:rsidRPr="00E50B4A" w:rsidRDefault="001912DF" w:rsidP="00AE48CB">
      <w:pPr>
        <w:autoSpaceDE w:val="0"/>
        <w:autoSpaceDN w:val="0"/>
        <w:adjustRightInd w:val="0"/>
        <w:ind w:left="-426"/>
        <w:jc w:val="both"/>
        <w:rPr>
          <w:rFonts w:asciiTheme="majorHAnsi" w:hAnsiTheme="majorHAnsi" w:cs="Arial"/>
          <w:sz w:val="24"/>
          <w:szCs w:val="24"/>
        </w:rPr>
      </w:pPr>
    </w:p>
    <w:p w:rsidR="00FD7CAB" w:rsidRPr="00E50B4A" w:rsidRDefault="00FD7CAB" w:rsidP="00AE48CB">
      <w:pPr>
        <w:autoSpaceDE w:val="0"/>
        <w:autoSpaceDN w:val="0"/>
        <w:adjustRightInd w:val="0"/>
        <w:ind w:left="-426"/>
        <w:jc w:val="both"/>
        <w:rPr>
          <w:rFonts w:asciiTheme="majorHAnsi" w:hAnsiTheme="majorHAnsi" w:cs="Arial"/>
          <w:b/>
          <w:sz w:val="24"/>
          <w:szCs w:val="24"/>
        </w:rPr>
      </w:pPr>
      <w:r w:rsidRPr="00E50B4A">
        <w:rPr>
          <w:rFonts w:asciiTheme="majorHAnsi" w:hAnsiTheme="majorHAnsi" w:cs="Arial"/>
          <w:b/>
          <w:sz w:val="24"/>
          <w:szCs w:val="24"/>
        </w:rPr>
        <w:t>Posibilidades</w:t>
      </w:r>
    </w:p>
    <w:p w:rsidR="00AE48CB" w:rsidRPr="00E50B4A" w:rsidRDefault="00FD7CA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A</w:t>
      </w:r>
      <w:r w:rsidR="00AE48CB" w:rsidRPr="00E50B4A">
        <w:rPr>
          <w:rFonts w:asciiTheme="majorHAnsi" w:hAnsiTheme="majorHAnsi" w:cs="Arial"/>
          <w:sz w:val="24"/>
          <w:szCs w:val="24"/>
        </w:rPr>
        <w:t xml:space="preserve"> través de la formación de docentes de los Establecimientos Educativos y la conformación de mesas municipales interinstitucionales (IPS, Administración Municipal, sector educativo, ICBF, comisarías de familia.), que apoyan el programa, además de la entrega de materiales educativos y la aplicación de indicadores de proceso a los Establecimientos Educativos que van recibiendo la formación, según los últimos lineamientos del MEN.</w:t>
      </w:r>
    </w:p>
    <w:p w:rsidR="00AE48CB" w:rsidRPr="00E50B4A" w:rsidRDefault="00AE48CB" w:rsidP="00AE48CB">
      <w:pPr>
        <w:autoSpaceDE w:val="0"/>
        <w:autoSpaceDN w:val="0"/>
        <w:adjustRightInd w:val="0"/>
        <w:ind w:left="-426"/>
        <w:jc w:val="both"/>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La Secretaría de Educación participa activamente en las mesas de salud  Mental con la participación de profesionales  y docentes, en la aplicación de la política de salud sexual y reproductiva.</w:t>
      </w:r>
    </w:p>
    <w:p w:rsidR="00AE48CB" w:rsidRPr="00E50B4A" w:rsidRDefault="00AE48CB" w:rsidP="00AE48CB">
      <w:pPr>
        <w:ind w:left="-426"/>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Continuar con la capacitación y formación docente y de estudiantes a través del proyecto “Mejoramiento de la Calidad Educativa” y mejorar la dotación de las Instituciones Educativas con material didáctico y audiovisual como ayuda complementaria a la Educación Sexual y Reproductiva.</w:t>
      </w:r>
    </w:p>
    <w:p w:rsidR="00AE48CB" w:rsidRPr="00E50B4A" w:rsidRDefault="00AE48CB" w:rsidP="00AE48CB">
      <w:pPr>
        <w:ind w:left="-426"/>
        <w:rPr>
          <w:rFonts w:asciiTheme="majorHAnsi" w:hAnsiTheme="majorHAnsi" w:cs="Arial"/>
          <w:b/>
          <w:bCs/>
          <w:sz w:val="24"/>
          <w:szCs w:val="24"/>
        </w:rPr>
      </w:pPr>
    </w:p>
    <w:p w:rsidR="00AE48CB" w:rsidRPr="00E50B4A" w:rsidRDefault="00AE48CB" w:rsidP="00AE48CB">
      <w:pPr>
        <w:ind w:left="-426"/>
        <w:rPr>
          <w:rFonts w:asciiTheme="majorHAnsi" w:hAnsiTheme="majorHAnsi" w:cs="Arial"/>
          <w:b/>
          <w:bCs/>
          <w:sz w:val="24"/>
          <w:szCs w:val="24"/>
        </w:rPr>
      </w:pPr>
      <w:r w:rsidRPr="00E50B4A">
        <w:rPr>
          <w:rFonts w:asciiTheme="majorHAnsi" w:hAnsiTheme="majorHAnsi" w:cs="Arial"/>
          <w:b/>
          <w:iCs/>
          <w:sz w:val="24"/>
          <w:szCs w:val="24"/>
        </w:rPr>
        <w:t>Porcentaje de Gobiernos Escolares operando</w:t>
      </w:r>
    </w:p>
    <w:p w:rsidR="00AE48CB" w:rsidRPr="00E50B4A" w:rsidRDefault="00AE48CB" w:rsidP="00AE48CB">
      <w:pPr>
        <w:ind w:left="-426"/>
        <w:rPr>
          <w:rFonts w:asciiTheme="majorHAnsi" w:hAnsiTheme="majorHAnsi" w:cs="Arial"/>
          <w:sz w:val="24"/>
          <w:szCs w:val="24"/>
        </w:rPr>
      </w:pP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En las Instituciones Educativas el Gobierno Escolar es la instancia principal de participación y de orientación académica y administrativa.</w:t>
      </w:r>
    </w:p>
    <w:p w:rsidR="00AE48CB" w:rsidRPr="00E50B4A" w:rsidRDefault="00AE48CB" w:rsidP="00AE48CB">
      <w:pPr>
        <w:autoSpaceDE w:val="0"/>
        <w:autoSpaceDN w:val="0"/>
        <w:adjustRightInd w:val="0"/>
        <w:ind w:left="-426"/>
        <w:jc w:val="both"/>
        <w:rPr>
          <w:rFonts w:asciiTheme="majorHAnsi" w:hAnsiTheme="majorHAnsi" w:cs="Arial"/>
          <w:sz w:val="24"/>
          <w:szCs w:val="24"/>
        </w:rPr>
      </w:pPr>
    </w:p>
    <w:p w:rsidR="00AE48CB" w:rsidRPr="00E50B4A" w:rsidRDefault="00AE48CB"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Aunque los Personeros y Personeras Estudiantiles no son los representantes de los estudiantes ante los consejos directivos de los colegios, si son líderes juveniles con la capacidad de generar participación en la comunidad estudiantil, y tienen la posibilidad de tramitar ante la misma comunidad, ante el Rector o ante las directivas del Plantel cualquier inquietud encaminada a defender los derechos de los Estudiantes; Los Personeros y Personeras Estudiantiles, son quienes reciben, evalúan y le dan el trámite a las quejas de los Estudiantes, cuando sienten que están siendo vulnerados sus Derechos Humanos o su derecho a la educación.</w:t>
      </w:r>
    </w:p>
    <w:p w:rsidR="00AE48CB" w:rsidRPr="00E50B4A" w:rsidRDefault="00AE48CB" w:rsidP="00AE48CB">
      <w:pPr>
        <w:ind w:left="-426"/>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Un 80% de los establecimientos educativos se encuentran ubicados al interior de los resguardos indígenas, dichos establecimientos cuentan con su propio gobierno escolar llamado Cabildo Estudiantil el cual opera como una estrategia curricular para el fortalecimiento de la organización indígena e involucra a los estudiantes en los procesos de formación democrática y liderazgo.  </w:t>
      </w:r>
    </w:p>
    <w:p w:rsidR="00AE48CB" w:rsidRPr="00E50B4A" w:rsidRDefault="00AE48CB" w:rsidP="00AE48CB">
      <w:pPr>
        <w:ind w:left="-426"/>
        <w:jc w:val="center"/>
        <w:rPr>
          <w:rFonts w:asciiTheme="majorHAnsi" w:hAnsiTheme="majorHAnsi" w:cs="Arial"/>
          <w:sz w:val="24"/>
          <w:szCs w:val="24"/>
        </w:rPr>
      </w:pPr>
    </w:p>
    <w:p w:rsidR="00AE48CB" w:rsidRPr="00E50B4A" w:rsidRDefault="00AE48CB" w:rsidP="00AE48CB">
      <w:pPr>
        <w:keepNext/>
        <w:ind w:left="-426"/>
        <w:jc w:val="center"/>
        <w:rPr>
          <w:rFonts w:asciiTheme="majorHAnsi" w:hAnsiTheme="majorHAnsi" w:cs="Arial"/>
          <w:sz w:val="24"/>
          <w:szCs w:val="24"/>
        </w:rPr>
      </w:pPr>
      <w:r w:rsidRPr="00E50B4A">
        <w:rPr>
          <w:rFonts w:asciiTheme="majorHAnsi" w:hAnsiTheme="majorHAnsi" w:cs="Arial"/>
          <w:noProof/>
          <w:sz w:val="24"/>
          <w:szCs w:val="24"/>
          <w:lang w:eastAsia="es-CO"/>
        </w:rPr>
        <w:drawing>
          <wp:inline distT="0" distB="0" distL="0" distR="0">
            <wp:extent cx="2163720" cy="1340746"/>
            <wp:effectExtent l="0" t="0" r="8255" b="0"/>
            <wp:docPr id="2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srcRect/>
                    <a:stretch>
                      <a:fillRect/>
                    </a:stretch>
                  </pic:blipFill>
                  <pic:spPr bwMode="auto">
                    <a:xfrm>
                      <a:off x="0" y="0"/>
                      <a:ext cx="2164120" cy="1340994"/>
                    </a:xfrm>
                    <a:prstGeom prst="rect">
                      <a:avLst/>
                    </a:prstGeom>
                    <a:noFill/>
                  </pic:spPr>
                </pic:pic>
              </a:graphicData>
            </a:graphic>
          </wp:inline>
        </w:drawing>
      </w:r>
    </w:p>
    <w:p w:rsidR="00AE48CB" w:rsidRPr="00E50B4A" w:rsidRDefault="00AE48CB" w:rsidP="00AE48CB">
      <w:pPr>
        <w:pStyle w:val="Epgrafe"/>
        <w:ind w:left="-426"/>
        <w:rPr>
          <w:rFonts w:asciiTheme="majorHAnsi" w:hAnsiTheme="majorHAnsi" w:cs="Arial"/>
          <w:noProof/>
          <w:sz w:val="24"/>
          <w:lang w:val="es-CO" w:eastAsia="es-CO"/>
        </w:rPr>
      </w:pPr>
      <w:r w:rsidRPr="00E50B4A">
        <w:rPr>
          <w:rFonts w:asciiTheme="majorHAnsi" w:hAnsiTheme="majorHAnsi" w:cs="Arial"/>
          <w:sz w:val="24"/>
        </w:rPr>
        <w:t>Ilustración 15 FUENTE: SED CALDAS</w:t>
      </w:r>
    </w:p>
    <w:p w:rsidR="00AE48CB" w:rsidRPr="00E50B4A" w:rsidRDefault="00AE48CB" w:rsidP="00AE48CB">
      <w:pPr>
        <w:ind w:left="-426"/>
        <w:jc w:val="center"/>
        <w:rPr>
          <w:rFonts w:asciiTheme="majorHAnsi" w:hAnsiTheme="majorHAnsi" w:cs="Arial"/>
          <w:noProof/>
          <w:sz w:val="24"/>
          <w:szCs w:val="24"/>
          <w:lang w:eastAsia="es-CO"/>
        </w:rPr>
      </w:pP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r w:rsidRPr="00E50B4A">
        <w:rPr>
          <w:rFonts w:asciiTheme="majorHAnsi" w:hAnsiTheme="majorHAnsi" w:cs="Arial"/>
          <w:sz w:val="24"/>
          <w:szCs w:val="24"/>
          <w:lang w:eastAsia="es-CO"/>
        </w:rPr>
        <w:t>Indica el porcentaje Establecimientos Educativos que cuentan con Gobiernos Escolares operando.</w:t>
      </w:r>
    </w:p>
    <w:p w:rsidR="00AE48CB" w:rsidRPr="00E50B4A" w:rsidRDefault="00AE48CB" w:rsidP="00AE48CB">
      <w:pPr>
        <w:autoSpaceDE w:val="0"/>
        <w:autoSpaceDN w:val="0"/>
        <w:adjustRightInd w:val="0"/>
        <w:ind w:left="-426"/>
        <w:jc w:val="both"/>
        <w:rPr>
          <w:rFonts w:asciiTheme="majorHAnsi" w:hAnsiTheme="majorHAnsi" w:cs="Arial"/>
          <w:sz w:val="24"/>
          <w:szCs w:val="24"/>
          <w:lang w:eastAsia="es-CO"/>
        </w:rPr>
      </w:pPr>
    </w:p>
    <w:p w:rsidR="00AE48CB" w:rsidRPr="00E50B4A" w:rsidRDefault="001912DF" w:rsidP="00AE48CB">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lang w:eastAsia="es-CO"/>
        </w:rPr>
        <w:t>S</w:t>
      </w:r>
      <w:r w:rsidR="00967248" w:rsidRPr="00E50B4A">
        <w:rPr>
          <w:rFonts w:asciiTheme="majorHAnsi" w:hAnsiTheme="majorHAnsi" w:cs="Arial"/>
          <w:sz w:val="24"/>
          <w:szCs w:val="24"/>
          <w:lang w:eastAsia="es-CO"/>
        </w:rPr>
        <w:t>e observa como durante el perí</w:t>
      </w:r>
      <w:r w:rsidR="00AE48CB" w:rsidRPr="00E50B4A">
        <w:rPr>
          <w:rFonts w:asciiTheme="majorHAnsi" w:hAnsiTheme="majorHAnsi" w:cs="Arial"/>
          <w:sz w:val="24"/>
          <w:szCs w:val="24"/>
          <w:lang w:eastAsia="es-CO"/>
        </w:rPr>
        <w:t xml:space="preserve">odo analizado se encuentra que en 100% de  los </w:t>
      </w:r>
      <w:r w:rsidR="00724F51" w:rsidRPr="00E50B4A">
        <w:rPr>
          <w:rFonts w:asciiTheme="majorHAnsi" w:hAnsiTheme="majorHAnsi" w:cs="Arial"/>
          <w:sz w:val="24"/>
          <w:szCs w:val="24"/>
          <w:lang w:eastAsia="es-CO"/>
        </w:rPr>
        <w:t>establecimientos educativos del m</w:t>
      </w:r>
      <w:r w:rsidR="00AE48CB" w:rsidRPr="00E50B4A">
        <w:rPr>
          <w:rFonts w:asciiTheme="majorHAnsi" w:hAnsiTheme="majorHAnsi" w:cs="Arial"/>
          <w:sz w:val="24"/>
          <w:szCs w:val="24"/>
          <w:lang w:eastAsia="es-CO"/>
        </w:rPr>
        <w:t xml:space="preserve">unicipio de Riosucio, están operando los Gobiernos Escolares, tal cual lo estipula el </w:t>
      </w:r>
      <w:r w:rsidR="00AE48CB" w:rsidRPr="00E50B4A">
        <w:rPr>
          <w:rFonts w:asciiTheme="majorHAnsi" w:hAnsiTheme="majorHAnsi" w:cs="Arial"/>
          <w:sz w:val="24"/>
          <w:szCs w:val="24"/>
        </w:rPr>
        <w:t>Art. 142 de la ley 0115 del 08 de febrero del 1994, donde se obliga a cada establecimiento educativo del Estado a tener un gobierno escolar conformado por el rector, el Consejo Directivo y el Consejo Académico como entes de participación democrática que consideran las iniciativas de los estudiantes, de los educadores, de los administradores y de los padres de familia en aspectos tales como la adopción y verificación del reglamento escolar, la organización de las actividades sociales, deportivas, culturales, artísticas y comunitarias, la conformación de organizaciones juveniles y demás acciones que redunden en la práctica  y la cultura de la participación en la vida escolar.</w:t>
      </w:r>
    </w:p>
    <w:p w:rsidR="00AE48CB" w:rsidRPr="00E50B4A" w:rsidRDefault="00AE48CB" w:rsidP="00AE48CB">
      <w:pPr>
        <w:ind w:left="-426"/>
        <w:jc w:val="both"/>
        <w:rPr>
          <w:rFonts w:asciiTheme="majorHAnsi" w:hAnsiTheme="majorHAnsi" w:cs="Arial"/>
          <w:sz w:val="24"/>
          <w:szCs w:val="24"/>
        </w:rPr>
      </w:pP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r w:rsidRPr="00E50B4A">
        <w:rPr>
          <w:rFonts w:asciiTheme="majorHAnsi" w:hAnsiTheme="majorHAnsi" w:cs="Arial"/>
          <w:b/>
          <w:sz w:val="24"/>
          <w:szCs w:val="24"/>
          <w:lang w:eastAsia="es-CO"/>
        </w:rPr>
        <w:t>D</w:t>
      </w:r>
      <w:r w:rsidR="00FD7CAB" w:rsidRPr="00E50B4A">
        <w:rPr>
          <w:rFonts w:asciiTheme="majorHAnsi" w:hAnsiTheme="majorHAnsi" w:cs="Arial"/>
          <w:b/>
          <w:sz w:val="24"/>
          <w:szCs w:val="24"/>
          <w:lang w:eastAsia="es-CO"/>
        </w:rPr>
        <w:t>ebilidades</w:t>
      </w:r>
    </w:p>
    <w:p w:rsidR="00192F46" w:rsidRPr="00E50B4A" w:rsidRDefault="00AE48CB" w:rsidP="00192F46">
      <w:pPr>
        <w:autoSpaceDE w:val="0"/>
        <w:autoSpaceDN w:val="0"/>
        <w:adjustRightInd w:val="0"/>
        <w:ind w:left="-426"/>
        <w:jc w:val="both"/>
        <w:rPr>
          <w:rFonts w:asciiTheme="majorHAnsi" w:hAnsiTheme="majorHAnsi" w:cs="Arial"/>
          <w:sz w:val="24"/>
          <w:szCs w:val="24"/>
        </w:rPr>
      </w:pPr>
      <w:r w:rsidRPr="00E50B4A">
        <w:rPr>
          <w:rFonts w:asciiTheme="majorHAnsi" w:hAnsiTheme="majorHAnsi" w:cs="Arial"/>
          <w:sz w:val="24"/>
          <w:szCs w:val="24"/>
        </w:rPr>
        <w:t>Los  gobiernos escolares están conformados según la ley, sin embargo aún no se hace visible la cultura de la participación democrática de forma consciente para la toma de</w:t>
      </w:r>
      <w:r w:rsidR="00192F46" w:rsidRPr="00E50B4A">
        <w:rPr>
          <w:rFonts w:asciiTheme="majorHAnsi" w:hAnsiTheme="majorHAnsi" w:cs="Arial"/>
          <w:sz w:val="24"/>
          <w:szCs w:val="24"/>
        </w:rPr>
        <w:t xml:space="preserve"> decisiones de la vida escolar.</w:t>
      </w:r>
    </w:p>
    <w:p w:rsidR="007378E9" w:rsidRPr="00E50B4A" w:rsidRDefault="00192F46" w:rsidP="00192F46">
      <w:pPr>
        <w:autoSpaceDE w:val="0"/>
        <w:autoSpaceDN w:val="0"/>
        <w:adjustRightInd w:val="0"/>
        <w:ind w:left="-426"/>
        <w:jc w:val="both"/>
        <w:rPr>
          <w:rFonts w:asciiTheme="majorHAnsi" w:eastAsia="MS PMincho" w:hAnsiTheme="majorHAnsi" w:cstheme="minorHAnsi"/>
          <w:sz w:val="24"/>
          <w:szCs w:val="24"/>
        </w:rPr>
      </w:pPr>
      <w:r w:rsidRPr="00E50B4A">
        <w:rPr>
          <w:rFonts w:asciiTheme="majorHAnsi" w:hAnsiTheme="majorHAnsi" w:cs="Arial"/>
          <w:sz w:val="24"/>
          <w:szCs w:val="24"/>
        </w:rPr>
        <w:t>E</w:t>
      </w:r>
      <w:r w:rsidR="007378E9" w:rsidRPr="00E50B4A">
        <w:rPr>
          <w:rFonts w:asciiTheme="majorHAnsi" w:eastAsia="MS PMincho" w:hAnsiTheme="majorHAnsi" w:cstheme="minorHAnsi"/>
          <w:sz w:val="24"/>
          <w:szCs w:val="24"/>
        </w:rPr>
        <w:t>n todas las instituciones educativas opera el gobierno escolar, pero  no existen procesos de acompañamiento por parte de las instituciones responsables a las mesas escolares para el fomento de convivencia y tampoco hay red de personerías estudiantiles que permitan una adecuada interrelación entre los mestizos urbanos  y los indígenas.</w:t>
      </w:r>
    </w:p>
    <w:p w:rsidR="00FD7CAB" w:rsidRPr="00E50B4A" w:rsidRDefault="00FD7CAB" w:rsidP="00AE48CB">
      <w:pPr>
        <w:ind w:left="-426"/>
        <w:jc w:val="both"/>
        <w:rPr>
          <w:rFonts w:asciiTheme="majorHAnsi" w:hAnsiTheme="majorHAnsi" w:cs="Arial"/>
          <w:b/>
          <w:sz w:val="24"/>
          <w:szCs w:val="24"/>
        </w:rPr>
      </w:pPr>
      <w:r w:rsidRPr="00E50B4A">
        <w:rPr>
          <w:rFonts w:asciiTheme="majorHAnsi" w:hAnsiTheme="majorHAnsi" w:cs="Arial"/>
          <w:b/>
          <w:sz w:val="24"/>
          <w:szCs w:val="24"/>
        </w:rPr>
        <w:t>Posibilidades.</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En cumplimiento de la ley 115 de 1994 y de los componentes del Proyecto Educativo Institucional, al iniciar el año escolar los Establecimientos Educativos, nombran los representantes a los distintos órganos del gobierno escolar mediante elección democrática (personero estudiantil, consejo de estudiantes, Asociación de padres de familia, escuela de padres, Consejo de Padres, Consejo Directivo y Consejo Académico); se eligen juntas directivas, se elaboran reglamentos y manuales de funciones y planes operativos para la vigencia del año escolar;  se llevan registros, actas y documentos como evidencias del proceso de operatividad del mismo en cada uno de los establecimientos educativos. </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Igualmente en la organización de los cabildos estudiantiles participan estudiantes, docentes y cabildantes de las comunidades, los cuales cuentan con el acompañamiento de la Guardia Estudiantil Embera como grupo de apoyo que vela por el buen funcionamiento del control interno de los establecimientos educativos.  </w:t>
      </w:r>
    </w:p>
    <w:p w:rsidR="00AE48CB" w:rsidRPr="00E50B4A" w:rsidRDefault="00AE48CB" w:rsidP="00AE48CB">
      <w:pPr>
        <w:ind w:left="-426"/>
        <w:jc w:val="both"/>
        <w:rPr>
          <w:rFonts w:asciiTheme="majorHAnsi" w:hAnsiTheme="majorHAnsi" w:cs="Arial"/>
          <w:sz w:val="24"/>
          <w:szCs w:val="24"/>
        </w:rPr>
      </w:pP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 xml:space="preserve">Fortalecer la formación de docentes y directivos en el tema de participación democrática, de igual manera propiciar escenarios de capacitación para los estudiantes, padres de familia y comunidad en general en este mismo tema. </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Buscar estrategias pedagógicas que permitan la coherencia entre los contenidos curriculares de democracia, constitución política, valores humanos, ciudadanía, solución de conflictos, y la vivencia institucional para crear sentido de pertenencia y responsabilidad social en la gestión escolar; esto es relación teórico - práctica.</w:t>
      </w:r>
    </w:p>
    <w:p w:rsidR="00AE48CB" w:rsidRPr="00E50B4A" w:rsidRDefault="00AE48CB" w:rsidP="00AE48CB">
      <w:pPr>
        <w:ind w:left="-426"/>
        <w:jc w:val="both"/>
        <w:rPr>
          <w:rFonts w:asciiTheme="majorHAnsi" w:hAnsiTheme="majorHAnsi" w:cs="Arial"/>
          <w:sz w:val="24"/>
          <w:szCs w:val="24"/>
        </w:rPr>
      </w:pPr>
      <w:r w:rsidRPr="00E50B4A">
        <w:rPr>
          <w:rFonts w:asciiTheme="majorHAnsi" w:hAnsiTheme="majorHAnsi" w:cs="Arial"/>
          <w:sz w:val="24"/>
          <w:szCs w:val="24"/>
        </w:rPr>
        <w:t>Ejercer control sobre la conformación y funcionamiento del gobierno escolar mediante formación permanente y que se conviertan en agentes dinamizadores, conformación de mesas de Paz, entre otros.</w:t>
      </w:r>
    </w:p>
    <w:p w:rsidR="00AE48CB" w:rsidRPr="00E50B4A" w:rsidRDefault="00AE48CB" w:rsidP="00AE48CB">
      <w:pPr>
        <w:autoSpaceDE w:val="0"/>
        <w:autoSpaceDN w:val="0"/>
        <w:adjustRightInd w:val="0"/>
        <w:ind w:left="-426"/>
        <w:jc w:val="both"/>
        <w:rPr>
          <w:rFonts w:asciiTheme="majorHAnsi" w:hAnsiTheme="majorHAnsi" w:cs="Arial"/>
          <w:b/>
          <w:sz w:val="24"/>
          <w:szCs w:val="24"/>
          <w:lang w:eastAsia="es-CO"/>
        </w:rPr>
      </w:pPr>
    </w:p>
    <w:p w:rsidR="00FD7CAB" w:rsidRPr="00E50B4A" w:rsidRDefault="00FD7CAB" w:rsidP="00FD7CAB">
      <w:pPr>
        <w:jc w:val="center"/>
        <w:rPr>
          <w:rFonts w:asciiTheme="majorHAnsi" w:hAnsiTheme="majorHAnsi"/>
          <w:b/>
          <w:sz w:val="24"/>
          <w:szCs w:val="24"/>
        </w:rPr>
      </w:pPr>
      <w:r w:rsidRPr="00E50B4A">
        <w:rPr>
          <w:rFonts w:asciiTheme="majorHAnsi" w:hAnsiTheme="majorHAnsi"/>
          <w:b/>
          <w:sz w:val="24"/>
          <w:szCs w:val="24"/>
        </w:rPr>
        <w:t>Derecho al Deporte en NNA.</w:t>
      </w:r>
    </w:p>
    <w:p w:rsidR="00FD7CAB" w:rsidRPr="00E50B4A" w:rsidRDefault="00FD7CAB" w:rsidP="00FD7CAB">
      <w:pPr>
        <w:jc w:val="both"/>
        <w:rPr>
          <w:rFonts w:asciiTheme="majorHAnsi" w:hAnsiTheme="majorHAnsi"/>
          <w:sz w:val="24"/>
          <w:szCs w:val="24"/>
        </w:rPr>
      </w:pPr>
      <w:r w:rsidRPr="00E50B4A">
        <w:rPr>
          <w:rFonts w:asciiTheme="majorHAnsi" w:hAnsiTheme="majorHAnsi"/>
          <w:sz w:val="24"/>
          <w:szCs w:val="24"/>
        </w:rPr>
        <w:t>El PMD plantea la práctica, del deporte, la recreación  y la actividad física como un derecho fundamental de los NNA que redundara en un mejor bienestar social  y en sector  la prevención de conductas que atentan contra la vida e integridad de ésta población.</w:t>
      </w:r>
    </w:p>
    <w:p w:rsidR="00FD7CAB" w:rsidRPr="00E50B4A" w:rsidRDefault="00FD7CAB" w:rsidP="00FD7CAB">
      <w:pPr>
        <w:jc w:val="center"/>
        <w:rPr>
          <w:rFonts w:asciiTheme="majorHAnsi" w:hAnsiTheme="majorHAnsi"/>
          <w:b/>
          <w:sz w:val="24"/>
          <w:szCs w:val="24"/>
        </w:rPr>
      </w:pPr>
    </w:p>
    <w:p w:rsidR="00FD7CAB" w:rsidRPr="00E50B4A" w:rsidRDefault="00FD7CAB" w:rsidP="00FD7CAB">
      <w:pPr>
        <w:jc w:val="center"/>
        <w:rPr>
          <w:rFonts w:asciiTheme="majorHAnsi" w:hAnsiTheme="majorHAnsi"/>
          <w:b/>
          <w:sz w:val="24"/>
          <w:szCs w:val="24"/>
        </w:rPr>
      </w:pPr>
      <w:r w:rsidRPr="00E50B4A">
        <w:rPr>
          <w:rFonts w:asciiTheme="majorHAnsi" w:hAnsiTheme="majorHAnsi"/>
          <w:b/>
          <w:sz w:val="24"/>
          <w:szCs w:val="24"/>
        </w:rPr>
        <w:t>Debilidades del deporte, la recreación  y la actividad física en NNA</w:t>
      </w:r>
    </w:p>
    <w:p w:rsidR="00FD7CAB" w:rsidRPr="00E50B4A" w:rsidRDefault="00FD7CAB" w:rsidP="00FD7CAB">
      <w:pPr>
        <w:jc w:val="both"/>
        <w:rPr>
          <w:rFonts w:asciiTheme="majorHAnsi" w:hAnsiTheme="majorHAnsi"/>
          <w:sz w:val="24"/>
          <w:szCs w:val="24"/>
        </w:rPr>
      </w:pPr>
    </w:p>
    <w:p w:rsidR="00FD7CAB" w:rsidRPr="00E50B4A" w:rsidRDefault="00FD7CAB" w:rsidP="00FD7CAB">
      <w:pPr>
        <w:jc w:val="both"/>
        <w:rPr>
          <w:rFonts w:asciiTheme="majorHAnsi" w:hAnsiTheme="majorHAnsi"/>
          <w:sz w:val="24"/>
          <w:szCs w:val="24"/>
        </w:rPr>
      </w:pPr>
      <w:r w:rsidRPr="00E50B4A">
        <w:rPr>
          <w:rFonts w:asciiTheme="majorHAnsi" w:hAnsiTheme="majorHAnsi"/>
          <w:sz w:val="24"/>
          <w:szCs w:val="24"/>
        </w:rPr>
        <w:t xml:space="preserve">Se presentan problemas de salud por el sedentarismo en NNA, alcoholismo y drogadicción por el mal uso del tiempo libre. Existe baja cobertura de los programas de la secretaría de deporte pues hay poca presencia en los resguardos indígenas. Se evidencia ausencia en la diversificación del deporte y la poca difusión que tienen los deportes y juegos tradicionales de las comunidades indígenas. </w:t>
      </w:r>
      <w:r w:rsidR="006202D8" w:rsidRPr="00E50B4A">
        <w:rPr>
          <w:rFonts w:asciiTheme="majorHAnsi" w:hAnsiTheme="majorHAnsi"/>
          <w:sz w:val="24"/>
          <w:szCs w:val="24"/>
        </w:rPr>
        <w:t>Falta</w:t>
      </w:r>
      <w:r w:rsidRPr="00E50B4A">
        <w:rPr>
          <w:rFonts w:asciiTheme="majorHAnsi" w:hAnsiTheme="majorHAnsi"/>
          <w:sz w:val="24"/>
          <w:szCs w:val="24"/>
        </w:rPr>
        <w:t xml:space="preserve"> establecer procesos serios de integración entre la secretaría de deporte y sus pares en los resguardos para mejorar presencia.</w:t>
      </w:r>
    </w:p>
    <w:p w:rsidR="00FD7CAB" w:rsidRPr="00E50B4A" w:rsidRDefault="00FD7CAB" w:rsidP="00FD7CAB">
      <w:pPr>
        <w:jc w:val="both"/>
        <w:rPr>
          <w:rFonts w:asciiTheme="majorHAnsi" w:eastAsia="MS PMincho" w:hAnsiTheme="majorHAnsi" w:cs="Arial"/>
          <w:sz w:val="24"/>
          <w:szCs w:val="24"/>
        </w:rPr>
      </w:pPr>
      <w:r w:rsidRPr="00E50B4A">
        <w:rPr>
          <w:rFonts w:asciiTheme="majorHAnsi" w:eastAsia="MS PMincho" w:hAnsiTheme="majorHAnsi" w:cs="Arial"/>
          <w:sz w:val="24"/>
          <w:szCs w:val="24"/>
        </w:rPr>
        <w:t xml:space="preserve">A partir del año 2001, se empieza a evidenciar un descenso en los procesos recreo-deportivos del municipio los cuales se ven reflejados en la falta de práctica por parte de la generación  de los nacidos a partir de 1990 y que para el año 2001 conformaban los niños, niñas, adolescentes y jóvenes, lo que represento unas escases de logros y representaciones deportivas de altura, dentro de los certámenes departamentales, salvo contadas excepciones que contaron con el apoyo particular. Esta generación es la que en la actualidad ronda entre los 18 y 22 años, los cuales están inmersos en actividades nada relacionadas con la actividad física, por tanto nuestro enfoque debe ser hacia la generación nacidos a partir del año 2000 los que para estos momentos de 2012 son nuestros niños, niñas y jóvenes, futuros representantes y recuperadores del posicionamiento del deporte Riosuceño. </w:t>
      </w:r>
    </w:p>
    <w:p w:rsidR="00FD7CAB" w:rsidRPr="00E50B4A" w:rsidRDefault="00FD7CAB" w:rsidP="00FD7CAB">
      <w:pPr>
        <w:spacing w:line="240" w:lineRule="auto"/>
        <w:jc w:val="both"/>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Falta de apoyo en la básica primaria:</w:t>
      </w:r>
      <w:r w:rsidRPr="00E50B4A">
        <w:rPr>
          <w:rFonts w:asciiTheme="majorHAnsi" w:eastAsia="MS PMincho" w:hAnsiTheme="majorHAnsi" w:cs="Arial"/>
          <w:sz w:val="24"/>
          <w:szCs w:val="24"/>
        </w:rPr>
        <w:t xml:space="preserve"> es inaudito que en una sociedad donde la prioridad son los niños y las niñas y donde se maneja cualquier cantidad de programas y políticas, referentes a ellos, aun no se cuente en la básica primaria con una cátedra fundamentada y dirigida por personal idóneo en educación básica con énfasis en educación física recreación deporte y salud que sea parte fundamental del PEI como proyecto de cada institución desde donde se propenda por el desarrollo integral del ser y la formación y continuidad de la base social y deportiva del país </w:t>
      </w:r>
    </w:p>
    <w:p w:rsidR="00FD7CAB" w:rsidRPr="00E50B4A" w:rsidRDefault="006202D8"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b/>
          <w:sz w:val="24"/>
          <w:szCs w:val="24"/>
          <w:u w:val="single"/>
        </w:rPr>
        <w:t>D</w:t>
      </w:r>
      <w:r w:rsidR="00FD7CAB" w:rsidRPr="00E50B4A">
        <w:rPr>
          <w:rFonts w:asciiTheme="majorHAnsi" w:eastAsia="MS PMincho" w:hAnsiTheme="majorHAnsi" w:cs="Arial"/>
          <w:b/>
          <w:sz w:val="24"/>
          <w:szCs w:val="24"/>
          <w:u w:val="single"/>
        </w:rPr>
        <w:t>eterioro, inoperatividad y déficits de escenarios deportivos:</w:t>
      </w:r>
      <w:r w:rsidR="00FD7CAB" w:rsidRPr="00E50B4A">
        <w:rPr>
          <w:rFonts w:asciiTheme="majorHAnsi" w:eastAsia="MS PMincho" w:hAnsiTheme="majorHAnsi" w:cs="Arial"/>
          <w:sz w:val="24"/>
          <w:szCs w:val="24"/>
        </w:rPr>
        <w:t xml:space="preserve"> la falta de un mantenimiento continuo y preventivo de los escenarios y parques recreativos a llevado a su deterioro paulatino, igualmente la violencia y el uso inadecuado por parte de jóvenes que descargan su descontento contra estos, además de la ola invernal hacen que se empeore a un más la situación a tal punto que la asignación presupuestada para tal fin sea insuficiente,</w:t>
      </w:r>
      <w:r w:rsidR="00FD7CAB" w:rsidRPr="00E50B4A">
        <w:rPr>
          <w:rFonts w:asciiTheme="majorHAnsi" w:hAnsiTheme="majorHAnsi"/>
          <w:sz w:val="24"/>
          <w:szCs w:val="24"/>
        </w:rPr>
        <w:t xml:space="preserve"> </w:t>
      </w:r>
      <w:r w:rsidR="00FD7CAB" w:rsidRPr="00E50B4A">
        <w:rPr>
          <w:rFonts w:asciiTheme="majorHAnsi" w:eastAsia="MS PMincho" w:hAnsiTheme="majorHAnsi" w:cs="Arial"/>
          <w:sz w:val="24"/>
          <w:szCs w:val="24"/>
        </w:rPr>
        <w:t>llegando a un punto tal que se hace imposible una recuperación de estos, por tanto se hace necesario reglamentar el uso de los escenarios deportivos comprometiendo a los usuarios con el cuidado mantenimiento y porque no de alguna manera con su sostenimiento y el sentido de pertenencia por lo nuestro.</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Esta determinada la necesidad de construcción de escenarios deportivos como la pista  ciclocrós, patinódromo y un sitio para práctica de deportes extremos skate.</w:t>
      </w:r>
    </w:p>
    <w:p w:rsidR="00FD7CAB" w:rsidRPr="00E50B4A" w:rsidRDefault="00FD7CAB" w:rsidP="00FD7CAB">
      <w:pPr>
        <w:spacing w:line="240" w:lineRule="auto"/>
        <w:jc w:val="both"/>
        <w:rPr>
          <w:rFonts w:asciiTheme="majorHAnsi" w:eastAsia="MS PMincho" w:hAnsiTheme="majorHAnsi" w:cs="Arial"/>
          <w:sz w:val="24"/>
          <w:szCs w:val="24"/>
        </w:rPr>
      </w:pP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b/>
          <w:sz w:val="24"/>
          <w:szCs w:val="24"/>
        </w:rPr>
        <w:t>Posibilidades</w:t>
      </w:r>
      <w:r w:rsidRPr="00E50B4A">
        <w:rPr>
          <w:rFonts w:asciiTheme="majorHAnsi" w:eastAsia="MS PMincho" w:hAnsiTheme="majorHAnsi" w:cs="Arial"/>
          <w:sz w:val="24"/>
          <w:szCs w:val="24"/>
        </w:rPr>
        <w:t>.</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 xml:space="preserve">El Plan decenal del deporte que </w:t>
      </w:r>
      <w:r w:rsidR="00967248" w:rsidRPr="00E50B4A">
        <w:rPr>
          <w:rFonts w:asciiTheme="majorHAnsi" w:eastAsia="MS PMincho" w:hAnsiTheme="majorHAnsi" w:cs="Arial"/>
          <w:sz w:val="24"/>
          <w:szCs w:val="24"/>
        </w:rPr>
        <w:t>se elaborara en el presente perí</w:t>
      </w:r>
      <w:r w:rsidRPr="00E50B4A">
        <w:rPr>
          <w:rFonts w:asciiTheme="majorHAnsi" w:eastAsia="MS PMincho" w:hAnsiTheme="majorHAnsi" w:cs="Arial"/>
          <w:sz w:val="24"/>
          <w:szCs w:val="24"/>
        </w:rPr>
        <w:t>odo administrativo será fundamental para garantizar el derecho al deporte, la recreación y la actividad física en NNA, las escuelas de formación deportiva tiene dentro de su población objeto a NNA.</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El mantenimiento de los escenarios deportivos y la reglamentación con enfoque de NNA para garantizar su utilización son labores inaplazables. Los campeonatos inter – colegiados. La planeación de ciclo vías, ciclo rutas, caminatas eco deportivas y extremas, tomas deportivas, tendrán énfasis en la población de NNA.</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 xml:space="preserve"> Con el fin de capacitar a madres comunitarias de hogares comunitarios se hará presencia con monitores con el fin de que ellas sirvan de multiplicadores en los niños de 0 a 5 años, de actividad física y deportiva. Así mismo una vez focalizado grupo de adolescentes en riesgo de drogadicción, delincuencia o reclutamiento forzado habrá presencia institucional de la secretaria de deporte para prevenir aquellos comportamientos.</w:t>
      </w:r>
    </w:p>
    <w:p w:rsidR="00FD7CAB" w:rsidRPr="00E50B4A" w:rsidRDefault="00FD7CAB" w:rsidP="00FD7CAB">
      <w:pPr>
        <w:spacing w:line="240" w:lineRule="auto"/>
        <w:jc w:val="center"/>
        <w:rPr>
          <w:rFonts w:asciiTheme="majorHAnsi" w:eastAsia="MS PMincho" w:hAnsiTheme="majorHAnsi" w:cs="Arial"/>
          <w:b/>
          <w:sz w:val="24"/>
          <w:szCs w:val="24"/>
          <w:u w:val="single"/>
        </w:rPr>
      </w:pPr>
    </w:p>
    <w:p w:rsidR="00FD7CAB" w:rsidRPr="00E50B4A" w:rsidRDefault="00FD7CAB" w:rsidP="00FD7CAB">
      <w:pPr>
        <w:spacing w:line="240" w:lineRule="auto"/>
        <w:jc w:val="center"/>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Derecho a la Cultura en NNA</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Gran parte de la oferta de servicios de la oficina de cultura del municipio tienen a los NNA como población objeto, es así como las escuelas de formación etnocultural y artística tienen aproximadamente 2000 NNA matriculados.</w:t>
      </w:r>
    </w:p>
    <w:p w:rsidR="00FD7CAB" w:rsidRPr="00E50B4A" w:rsidRDefault="00FD7CAB" w:rsidP="00FD7CAB">
      <w:pPr>
        <w:spacing w:line="240" w:lineRule="auto"/>
        <w:jc w:val="center"/>
        <w:rPr>
          <w:rFonts w:asciiTheme="majorHAnsi" w:eastAsia="MS PMincho" w:hAnsiTheme="majorHAnsi" w:cs="Arial"/>
          <w:b/>
          <w:sz w:val="24"/>
          <w:szCs w:val="24"/>
          <w:u w:val="single"/>
        </w:rPr>
      </w:pPr>
    </w:p>
    <w:p w:rsidR="00FD7CAB" w:rsidRPr="00E50B4A" w:rsidRDefault="00FD7CAB" w:rsidP="00FD7CAB">
      <w:pPr>
        <w:spacing w:line="240" w:lineRule="auto"/>
        <w:jc w:val="center"/>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Debilidades culturales en NNA</w:t>
      </w:r>
    </w:p>
    <w:p w:rsidR="00FD7CAB" w:rsidRPr="00E50B4A" w:rsidRDefault="00FD7CAB" w:rsidP="00FD7CAB">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El presupuesto destinado a cultura es poco, además hay gran influencia de la sociedad de consumo y las nuevas tecnologías que hace que algunos jóvenes no se interesen por procesos culturales que refuerzan la identidad con el municipio.</w:t>
      </w:r>
      <w:r w:rsidR="00943F22" w:rsidRPr="00E50B4A">
        <w:rPr>
          <w:rFonts w:asciiTheme="majorHAnsi" w:eastAsia="MS PMincho" w:hAnsiTheme="majorHAnsi" w:cs="Arial"/>
          <w:sz w:val="24"/>
          <w:szCs w:val="24"/>
        </w:rPr>
        <w:t xml:space="preserve"> Falta integrar la oferta cultural NNA de la zona urbana con los resguardos indígenas y buscar integración por medio de los intercambios de saberes culturales.</w:t>
      </w:r>
    </w:p>
    <w:p w:rsidR="00FD7CAB" w:rsidRPr="00E50B4A" w:rsidRDefault="00FD7CAB" w:rsidP="00FD7CAB">
      <w:pPr>
        <w:spacing w:line="240" w:lineRule="auto"/>
        <w:jc w:val="center"/>
        <w:rPr>
          <w:rFonts w:asciiTheme="majorHAnsi" w:eastAsia="MS PMincho" w:hAnsiTheme="majorHAnsi" w:cs="Arial"/>
          <w:b/>
          <w:sz w:val="24"/>
          <w:szCs w:val="24"/>
          <w:u w:val="single"/>
        </w:rPr>
      </w:pPr>
    </w:p>
    <w:p w:rsidR="00FD7CAB" w:rsidRPr="00E50B4A" w:rsidRDefault="00FD7CAB" w:rsidP="00FD7CAB">
      <w:pPr>
        <w:spacing w:line="240" w:lineRule="auto"/>
        <w:jc w:val="center"/>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Posibilidades</w:t>
      </w:r>
    </w:p>
    <w:p w:rsidR="00FD7CAB" w:rsidRPr="00E50B4A" w:rsidRDefault="00FD7CAB" w:rsidP="00FD7CAB">
      <w:pPr>
        <w:pStyle w:val="Sinespaciado"/>
        <w:jc w:val="both"/>
        <w:rPr>
          <w:rFonts w:asciiTheme="majorHAnsi" w:eastAsia="MS PMincho" w:hAnsiTheme="majorHAnsi" w:cs="Arial"/>
          <w:sz w:val="24"/>
          <w:szCs w:val="24"/>
        </w:rPr>
      </w:pPr>
      <w:r w:rsidRPr="00E50B4A">
        <w:rPr>
          <w:rFonts w:asciiTheme="majorHAnsi" w:eastAsia="MS PMincho" w:hAnsiTheme="majorHAnsi" w:cs="Arial"/>
          <w:sz w:val="24"/>
          <w:szCs w:val="24"/>
        </w:rPr>
        <w:t>Fortalecimiento de los programas y procesos  de las escuelas  de formación etnocultural y artísticos que se ofrecen a la comunidad para garantizar el acceso a la cultura a la primera infancia, infancia, adolescencia, adulto, adulto mayor, personas en condición de discapacidad y en estado de vulnerabilidad.</w:t>
      </w:r>
    </w:p>
    <w:p w:rsidR="00FD7CAB" w:rsidRPr="00E50B4A" w:rsidRDefault="00FD7CAB" w:rsidP="00FD7CAB">
      <w:pPr>
        <w:pStyle w:val="Sinespaciado"/>
        <w:rPr>
          <w:rFonts w:asciiTheme="majorHAnsi" w:eastAsia="MS PMincho" w:hAnsiTheme="majorHAnsi" w:cs="Arial"/>
          <w:sz w:val="24"/>
          <w:szCs w:val="24"/>
        </w:rPr>
      </w:pPr>
    </w:p>
    <w:p w:rsidR="00FD7CAB" w:rsidRPr="00E50B4A" w:rsidRDefault="00FD7CAB" w:rsidP="00FD7CAB">
      <w:pPr>
        <w:pStyle w:val="Sinespaciado"/>
        <w:jc w:val="both"/>
        <w:rPr>
          <w:rFonts w:asciiTheme="majorHAnsi" w:eastAsia="MS PMincho" w:hAnsiTheme="majorHAnsi" w:cs="Arial"/>
          <w:sz w:val="24"/>
          <w:szCs w:val="24"/>
        </w:rPr>
      </w:pPr>
      <w:r w:rsidRPr="00E50B4A">
        <w:rPr>
          <w:rFonts w:asciiTheme="majorHAnsi" w:eastAsia="MS PMincho" w:hAnsiTheme="majorHAnsi" w:cs="Arial"/>
          <w:sz w:val="24"/>
          <w:szCs w:val="24"/>
        </w:rPr>
        <w:t>Establecer programas de recuperación de memoria histórica en NNA mestizos y adolescentes a través de intercambios generaciones puesto en escena en los abuelos cantan, cuentan y recrean historias a las nuevas generaciones.</w:t>
      </w:r>
    </w:p>
    <w:p w:rsidR="00FD7CAB" w:rsidRPr="00E50B4A" w:rsidRDefault="00FD7CAB" w:rsidP="00FD7CAB">
      <w:pPr>
        <w:pStyle w:val="Sinespaciado"/>
        <w:jc w:val="both"/>
        <w:rPr>
          <w:rFonts w:asciiTheme="majorHAnsi" w:eastAsia="MS PMincho" w:hAnsiTheme="majorHAnsi" w:cs="Arial"/>
          <w:sz w:val="24"/>
          <w:szCs w:val="24"/>
        </w:rPr>
      </w:pPr>
    </w:p>
    <w:p w:rsidR="00FD7CAB" w:rsidRPr="00E50B4A" w:rsidRDefault="00967248" w:rsidP="00FD7CAB">
      <w:pPr>
        <w:pStyle w:val="Sinespaciado"/>
        <w:jc w:val="both"/>
        <w:rPr>
          <w:rFonts w:asciiTheme="majorHAnsi" w:eastAsia="MS PMincho" w:hAnsiTheme="majorHAnsi" w:cs="Arial"/>
          <w:sz w:val="24"/>
          <w:szCs w:val="24"/>
        </w:rPr>
      </w:pPr>
      <w:r w:rsidRPr="00E50B4A">
        <w:rPr>
          <w:rFonts w:asciiTheme="majorHAnsi" w:eastAsia="MS PMincho" w:hAnsiTheme="majorHAnsi" w:cs="Arial"/>
          <w:sz w:val="24"/>
          <w:szCs w:val="24"/>
        </w:rPr>
        <w:t>También se integrará</w:t>
      </w:r>
      <w:r w:rsidR="00FD7CAB" w:rsidRPr="00E50B4A">
        <w:rPr>
          <w:rFonts w:asciiTheme="majorHAnsi" w:eastAsia="MS PMincho" w:hAnsiTheme="majorHAnsi" w:cs="Arial"/>
          <w:sz w:val="24"/>
          <w:szCs w:val="24"/>
        </w:rPr>
        <w:t>n al programa de vigías del patrimonio a jóvenes con el fin de preservar sitios con valor cultural para el municipio. Se posibilitara la participación de los NNA en el consejo de cultura y serán protagonistas de proyectos como cine al muro, retretas a la calle y calles sabias.</w:t>
      </w:r>
    </w:p>
    <w:p w:rsidR="00FD7CAB" w:rsidRPr="00E50B4A" w:rsidRDefault="00FD7CAB" w:rsidP="00FD7CAB">
      <w:pPr>
        <w:pStyle w:val="Sinespaciado"/>
        <w:jc w:val="both"/>
        <w:rPr>
          <w:rFonts w:asciiTheme="majorHAnsi" w:eastAsia="MS PMincho" w:hAnsiTheme="majorHAnsi" w:cs="Arial"/>
          <w:sz w:val="24"/>
          <w:szCs w:val="24"/>
        </w:rPr>
      </w:pPr>
    </w:p>
    <w:p w:rsidR="00FD7CAB" w:rsidRPr="00E50B4A" w:rsidRDefault="00FD7CAB" w:rsidP="00FD7CAB">
      <w:pPr>
        <w:pStyle w:val="Sinespaciado"/>
        <w:jc w:val="both"/>
        <w:rPr>
          <w:rFonts w:asciiTheme="majorHAnsi" w:eastAsia="MS PMincho" w:hAnsiTheme="majorHAnsi" w:cs="Arial"/>
          <w:sz w:val="24"/>
          <w:szCs w:val="24"/>
        </w:rPr>
      </w:pPr>
      <w:r w:rsidRPr="00E50B4A">
        <w:rPr>
          <w:rFonts w:asciiTheme="majorHAnsi" w:eastAsia="MS PMincho" w:hAnsiTheme="majorHAnsi" w:cs="Arial"/>
          <w:sz w:val="24"/>
          <w:szCs w:val="24"/>
        </w:rPr>
        <w:t>Impulsar el amor por la lectura y la escritura desde la primera infancia para hacer de Riosucio un municipio culto y ciudadanos libres  a través del conocimiento es objetivo que se complementa con festivales de lectura, bibliotecas itinerantes para NNA.</w:t>
      </w:r>
    </w:p>
    <w:p w:rsidR="00FD7CAB" w:rsidRPr="00E50B4A" w:rsidRDefault="00FD7CAB" w:rsidP="00FD7CAB">
      <w:pPr>
        <w:pStyle w:val="Sinespaciado"/>
        <w:rPr>
          <w:rFonts w:asciiTheme="majorHAnsi" w:eastAsia="MS PMincho" w:hAnsiTheme="majorHAnsi" w:cs="Arial"/>
          <w:sz w:val="24"/>
          <w:szCs w:val="24"/>
        </w:rPr>
      </w:pPr>
    </w:p>
    <w:p w:rsidR="00FD7CAB" w:rsidRPr="00E50B4A" w:rsidRDefault="00FD7CAB" w:rsidP="00FD7CAB">
      <w:pPr>
        <w:pStyle w:val="Sinespaciado"/>
        <w:rPr>
          <w:rFonts w:asciiTheme="majorHAnsi" w:eastAsia="MS PMincho" w:hAnsiTheme="majorHAnsi" w:cs="Arial"/>
          <w:sz w:val="24"/>
          <w:szCs w:val="24"/>
        </w:rPr>
      </w:pPr>
      <w:r w:rsidRPr="00E50B4A">
        <w:rPr>
          <w:rFonts w:asciiTheme="majorHAnsi" w:eastAsia="MS PMincho" w:hAnsiTheme="majorHAnsi" w:cs="Arial"/>
          <w:sz w:val="24"/>
          <w:szCs w:val="24"/>
        </w:rPr>
        <w:t>Es necesario emprender procesos de acompañamientos a instituciones educativas en la promoción de lectura y  concursos estudiantiles de cuento, poesía y ortografía, además se dotara una biblioteca rural.</w:t>
      </w:r>
    </w:p>
    <w:p w:rsidR="00FD7CAB" w:rsidRPr="00E50B4A" w:rsidRDefault="00FD7CAB" w:rsidP="00FD7CAB">
      <w:pPr>
        <w:pStyle w:val="Sinespaciado"/>
        <w:rPr>
          <w:rFonts w:asciiTheme="majorHAnsi" w:eastAsia="MS PMincho" w:hAnsiTheme="majorHAnsi" w:cs="Arial"/>
          <w:sz w:val="24"/>
          <w:szCs w:val="24"/>
        </w:rPr>
      </w:pPr>
    </w:p>
    <w:p w:rsidR="00192F46" w:rsidRPr="00E50B4A" w:rsidRDefault="00192F46" w:rsidP="00FD7CAB">
      <w:pPr>
        <w:pStyle w:val="Sinespaciado"/>
        <w:rPr>
          <w:rFonts w:asciiTheme="majorHAnsi" w:eastAsia="MS PMincho" w:hAnsiTheme="majorHAnsi" w:cs="Arial"/>
          <w:sz w:val="24"/>
          <w:szCs w:val="24"/>
        </w:rPr>
      </w:pPr>
    </w:p>
    <w:p w:rsidR="00192F46" w:rsidRPr="00E50B4A" w:rsidRDefault="00192F46" w:rsidP="00FD7CAB">
      <w:pPr>
        <w:pStyle w:val="Sinespaciado"/>
        <w:rPr>
          <w:rFonts w:asciiTheme="majorHAnsi" w:eastAsia="MS PMincho" w:hAnsiTheme="majorHAnsi" w:cs="Arial"/>
          <w:sz w:val="24"/>
          <w:szCs w:val="24"/>
        </w:rPr>
      </w:pPr>
    </w:p>
    <w:p w:rsidR="00FD7CAB" w:rsidRPr="00E50B4A" w:rsidRDefault="00FD7CAB" w:rsidP="00FD7CAB">
      <w:pPr>
        <w:pStyle w:val="Sinespaciado"/>
        <w:jc w:val="both"/>
        <w:rPr>
          <w:rFonts w:asciiTheme="majorHAnsi" w:eastAsia="MS PMincho" w:hAnsiTheme="majorHAnsi" w:cs="Arial"/>
          <w:sz w:val="24"/>
          <w:szCs w:val="24"/>
        </w:rPr>
      </w:pPr>
    </w:p>
    <w:p w:rsidR="00FD7CAB" w:rsidRPr="00E50B4A" w:rsidRDefault="00FD7CAB" w:rsidP="00FD7CAB">
      <w:pPr>
        <w:pStyle w:val="Sinespaciado"/>
        <w:jc w:val="center"/>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Derecho a la participación en NNA</w:t>
      </w:r>
    </w:p>
    <w:p w:rsidR="00FD7CAB" w:rsidRPr="00E50B4A" w:rsidRDefault="00FD7CAB" w:rsidP="00FD7CAB">
      <w:pPr>
        <w:spacing w:line="240" w:lineRule="auto"/>
        <w:jc w:val="both"/>
        <w:rPr>
          <w:rFonts w:asciiTheme="majorHAnsi" w:eastAsia="MS PMincho" w:hAnsiTheme="majorHAnsi" w:cs="Arial"/>
          <w:sz w:val="24"/>
          <w:szCs w:val="24"/>
        </w:rPr>
      </w:pPr>
    </w:p>
    <w:p w:rsidR="00784949" w:rsidRPr="00E50B4A" w:rsidRDefault="00784949" w:rsidP="00784949">
      <w:pPr>
        <w:spacing w:line="240" w:lineRule="auto"/>
        <w:jc w:val="both"/>
        <w:rPr>
          <w:rFonts w:asciiTheme="majorHAnsi" w:eastAsia="MS PMincho" w:hAnsiTheme="majorHAnsi" w:cs="Arial"/>
          <w:sz w:val="24"/>
          <w:szCs w:val="24"/>
        </w:rPr>
      </w:pPr>
      <w:r w:rsidRPr="00E50B4A">
        <w:rPr>
          <w:rFonts w:asciiTheme="majorHAnsi" w:eastAsia="MS PMincho" w:hAnsiTheme="majorHAnsi" w:cs="Arial"/>
          <w:sz w:val="24"/>
          <w:szCs w:val="24"/>
        </w:rPr>
        <w:t xml:space="preserve">Es fundamental </w:t>
      </w:r>
      <w:r w:rsidR="008432E8" w:rsidRPr="00E50B4A">
        <w:rPr>
          <w:rFonts w:asciiTheme="majorHAnsi" w:eastAsia="MS PMincho" w:hAnsiTheme="majorHAnsi" w:cs="Arial"/>
          <w:sz w:val="24"/>
          <w:szCs w:val="24"/>
        </w:rPr>
        <w:t>para los NNA tener espacios organizativos y participativos en los cuales puedan cultivar la ciudadanía temprana y ejercer la democracia directa que permitan ser tenidos en cuenta en las decisiones importantes en la escuela, la familia y el Estado</w:t>
      </w:r>
    </w:p>
    <w:p w:rsidR="008432E8" w:rsidRPr="00E50B4A" w:rsidRDefault="008432E8" w:rsidP="00784949">
      <w:pPr>
        <w:rPr>
          <w:rFonts w:asciiTheme="majorHAnsi" w:eastAsia="MS PMincho" w:hAnsiTheme="majorHAnsi" w:cs="Arial"/>
          <w:b/>
          <w:sz w:val="24"/>
          <w:szCs w:val="24"/>
          <w:u w:val="single"/>
        </w:rPr>
      </w:pPr>
    </w:p>
    <w:p w:rsidR="008432E8" w:rsidRPr="00E50B4A" w:rsidRDefault="008432E8" w:rsidP="00784949">
      <w:pPr>
        <w:rPr>
          <w:rFonts w:asciiTheme="majorHAnsi" w:eastAsia="MS PMincho" w:hAnsiTheme="majorHAnsi" w:cs="Arial"/>
          <w:sz w:val="24"/>
          <w:szCs w:val="24"/>
        </w:rPr>
      </w:pPr>
      <w:r w:rsidRPr="00E50B4A">
        <w:rPr>
          <w:rFonts w:asciiTheme="majorHAnsi" w:eastAsia="MS PMincho" w:hAnsiTheme="majorHAnsi" w:cs="Arial"/>
          <w:b/>
          <w:sz w:val="24"/>
          <w:szCs w:val="24"/>
          <w:u w:val="single"/>
        </w:rPr>
        <w:t>Debilidades.</w:t>
      </w:r>
    </w:p>
    <w:p w:rsidR="008432E8" w:rsidRPr="00E50B4A" w:rsidRDefault="008432E8" w:rsidP="008432E8">
      <w:pPr>
        <w:jc w:val="both"/>
        <w:rPr>
          <w:rFonts w:asciiTheme="majorHAnsi" w:eastAsia="MS PMincho" w:hAnsiTheme="majorHAnsi" w:cs="Arial"/>
          <w:sz w:val="24"/>
          <w:szCs w:val="24"/>
        </w:rPr>
      </w:pPr>
      <w:r w:rsidRPr="00E50B4A">
        <w:rPr>
          <w:rFonts w:asciiTheme="majorHAnsi" w:eastAsia="MS PMincho" w:hAnsiTheme="majorHAnsi" w:cs="Arial"/>
          <w:sz w:val="24"/>
          <w:szCs w:val="24"/>
        </w:rPr>
        <w:t>No existen los espacios de deliberación y consultivos necesarios para que NNA intervengan en la vida municipal, si bien existen los gobiernos escolares, a los cuales nos referimos anteriormente, estos no agotan el derecho a la participación de sector poblacional aludido.</w:t>
      </w:r>
    </w:p>
    <w:p w:rsidR="009A56D9" w:rsidRPr="00E50B4A" w:rsidRDefault="009A56D9" w:rsidP="009A56D9">
      <w:pPr>
        <w:jc w:val="both"/>
        <w:rPr>
          <w:rFonts w:asciiTheme="majorHAnsi" w:hAnsiTheme="majorHAnsi" w:cstheme="minorHAnsi"/>
          <w:sz w:val="24"/>
          <w:szCs w:val="24"/>
        </w:rPr>
      </w:pPr>
      <w:r w:rsidRPr="00E50B4A">
        <w:rPr>
          <w:rFonts w:asciiTheme="majorHAnsi" w:hAnsiTheme="majorHAnsi" w:cstheme="minorHAnsi"/>
          <w:sz w:val="24"/>
          <w:szCs w:val="24"/>
        </w:rPr>
        <w:t xml:space="preserve">En el municipio no existe política pública de juventud, el Consejo Municipal de la Juventud (CMJ) no fue operativo en los últimos años y es evidente la ausencia de recursos económicos en el presupuesto municipal para atender los programas de juventud. Es imperativa la reactivación de dicho Consejo para el empoderamiento de los jóvenes del municipio frente a la administración municipal. </w:t>
      </w:r>
    </w:p>
    <w:p w:rsidR="009A56D9" w:rsidRPr="00E50B4A" w:rsidRDefault="009A56D9" w:rsidP="009A56D9">
      <w:pPr>
        <w:jc w:val="both"/>
        <w:rPr>
          <w:rFonts w:asciiTheme="majorHAnsi" w:hAnsiTheme="majorHAnsi" w:cstheme="minorHAnsi"/>
          <w:sz w:val="24"/>
          <w:szCs w:val="24"/>
        </w:rPr>
      </w:pPr>
      <w:r w:rsidRPr="00E50B4A">
        <w:rPr>
          <w:rFonts w:asciiTheme="majorHAnsi" w:hAnsiTheme="majorHAnsi" w:cstheme="minorHAnsi"/>
          <w:sz w:val="24"/>
          <w:szCs w:val="24"/>
        </w:rPr>
        <w:t>Así mismo no se ha implementado con seriedad la participación de los NNA en el consejo municipal de política social, experiencias exitosas como Concejales por un día tampoco se implementaron en el pasado reciente.</w:t>
      </w:r>
    </w:p>
    <w:p w:rsidR="009A56D9" w:rsidRPr="00E50B4A" w:rsidRDefault="009A56D9" w:rsidP="009A56D9">
      <w:pPr>
        <w:jc w:val="center"/>
        <w:rPr>
          <w:rFonts w:asciiTheme="majorHAnsi" w:hAnsiTheme="majorHAnsi" w:cstheme="minorHAnsi"/>
          <w:b/>
          <w:sz w:val="24"/>
          <w:szCs w:val="24"/>
          <w:u w:val="single"/>
        </w:rPr>
      </w:pPr>
      <w:r w:rsidRPr="00E50B4A">
        <w:rPr>
          <w:rFonts w:asciiTheme="majorHAnsi" w:hAnsiTheme="majorHAnsi" w:cstheme="minorHAnsi"/>
          <w:b/>
          <w:sz w:val="24"/>
          <w:szCs w:val="24"/>
          <w:u w:val="single"/>
        </w:rPr>
        <w:t>Posibilidades.</w:t>
      </w:r>
    </w:p>
    <w:p w:rsidR="009A56D9" w:rsidRPr="00E50B4A" w:rsidRDefault="009A56D9" w:rsidP="009A56D9">
      <w:pPr>
        <w:jc w:val="both"/>
        <w:rPr>
          <w:rFonts w:asciiTheme="majorHAnsi" w:hAnsiTheme="majorHAnsi" w:cstheme="minorHAnsi"/>
          <w:sz w:val="24"/>
          <w:szCs w:val="24"/>
        </w:rPr>
      </w:pPr>
      <w:r w:rsidRPr="00E50B4A">
        <w:rPr>
          <w:rFonts w:asciiTheme="majorHAnsi" w:hAnsiTheme="majorHAnsi" w:cstheme="minorHAnsi"/>
          <w:sz w:val="24"/>
          <w:szCs w:val="24"/>
        </w:rPr>
        <w:t>Es indispensable abrir escenarios de participación directa, la administración pública debe ser garante para que los NNA intervengan en sus acciones como sujetos de derechos en marco del Estado Social de Derecho que pregona nuestra constitución. Una administración pública cercana a los NNA nos proponemos con iniciativas como el Consejo municipal Infantil, el gabinete infantil, el consejo municipal de la juventud y el acompañamiento a la red municipal de personeros estudiantiles de la mano del ministerio público.</w:t>
      </w:r>
    </w:p>
    <w:p w:rsidR="00137D7D" w:rsidRPr="00E50B4A" w:rsidRDefault="00137D7D" w:rsidP="009A56D9">
      <w:pPr>
        <w:jc w:val="both"/>
        <w:rPr>
          <w:rFonts w:asciiTheme="majorHAnsi" w:hAnsiTheme="majorHAnsi" w:cstheme="minorHAnsi"/>
          <w:sz w:val="24"/>
          <w:szCs w:val="24"/>
        </w:rPr>
      </w:pPr>
      <w:r w:rsidRPr="00E50B4A">
        <w:rPr>
          <w:rFonts w:asciiTheme="majorHAnsi" w:hAnsiTheme="majorHAnsi" w:cstheme="minorHAnsi"/>
          <w:sz w:val="24"/>
          <w:szCs w:val="24"/>
        </w:rPr>
        <w:t>Otro aspecto importante de intervención para mejorar los niveles de participación del NNA será la inclusión de Niños  jóvenes en las veedurías ciudadana y estrategias para posibilitar su participación en las organizaciones indígenas de base  de acuerdo a los planes de vida y en las juntas de acción comunal.</w:t>
      </w:r>
    </w:p>
    <w:p w:rsidR="006202D8" w:rsidRPr="00E50B4A" w:rsidRDefault="006202D8" w:rsidP="009A56D9">
      <w:pPr>
        <w:jc w:val="both"/>
        <w:rPr>
          <w:rFonts w:asciiTheme="majorHAnsi" w:hAnsiTheme="majorHAnsi" w:cstheme="minorHAnsi"/>
          <w:sz w:val="24"/>
          <w:szCs w:val="24"/>
        </w:rPr>
      </w:pPr>
      <w:r w:rsidRPr="00E50B4A">
        <w:rPr>
          <w:rFonts w:asciiTheme="majorHAnsi" w:hAnsiTheme="majorHAnsi" w:cstheme="minorHAnsi"/>
          <w:sz w:val="24"/>
          <w:szCs w:val="24"/>
        </w:rPr>
        <w:t>Proyectos como el Consejo Municipal y  el gabinete municipal, de la mano con la participación  de NNA de manera regular al consejo de política social son pasos para hacer efectiva la participación en los asuntos públicos de los NNA, además de ejercicio de rendición de cuenta con enfoque de NNA y participación de este sector poblacional en la veedurías ciudadana para efectos de control social.</w:t>
      </w:r>
    </w:p>
    <w:p w:rsidR="006202D8" w:rsidRPr="00E50B4A" w:rsidRDefault="006202D8" w:rsidP="009A56D9">
      <w:pPr>
        <w:jc w:val="both"/>
        <w:rPr>
          <w:rFonts w:asciiTheme="majorHAnsi" w:hAnsiTheme="majorHAnsi" w:cstheme="minorHAnsi"/>
          <w:sz w:val="24"/>
          <w:szCs w:val="24"/>
        </w:rPr>
      </w:pPr>
    </w:p>
    <w:p w:rsidR="00137D7D" w:rsidRPr="00E50B4A" w:rsidRDefault="00137D7D" w:rsidP="00137D7D">
      <w:pPr>
        <w:jc w:val="center"/>
        <w:rPr>
          <w:rFonts w:asciiTheme="majorHAnsi" w:hAnsiTheme="majorHAnsi" w:cstheme="minorHAnsi"/>
          <w:b/>
          <w:sz w:val="24"/>
          <w:szCs w:val="24"/>
          <w:u w:val="single"/>
        </w:rPr>
      </w:pPr>
    </w:p>
    <w:p w:rsidR="00137D7D" w:rsidRPr="00E50B4A" w:rsidRDefault="00137D7D" w:rsidP="00137D7D">
      <w:pPr>
        <w:jc w:val="center"/>
        <w:rPr>
          <w:rFonts w:asciiTheme="majorHAnsi" w:hAnsiTheme="majorHAnsi" w:cstheme="minorHAnsi"/>
          <w:b/>
          <w:sz w:val="24"/>
          <w:szCs w:val="24"/>
          <w:u w:val="single"/>
        </w:rPr>
      </w:pPr>
      <w:r w:rsidRPr="00E50B4A">
        <w:rPr>
          <w:rFonts w:asciiTheme="majorHAnsi" w:hAnsiTheme="majorHAnsi" w:cstheme="minorHAnsi"/>
          <w:b/>
          <w:sz w:val="24"/>
          <w:szCs w:val="24"/>
          <w:u w:val="single"/>
        </w:rPr>
        <w:t>EJE No4</w:t>
      </w:r>
    </w:p>
    <w:p w:rsidR="00137D7D" w:rsidRPr="00E50B4A" w:rsidRDefault="00137D7D" w:rsidP="00137D7D">
      <w:pPr>
        <w:jc w:val="center"/>
        <w:rPr>
          <w:rFonts w:asciiTheme="majorHAnsi" w:hAnsiTheme="majorHAnsi" w:cstheme="minorHAnsi"/>
          <w:b/>
          <w:sz w:val="24"/>
          <w:szCs w:val="24"/>
          <w:u w:val="single"/>
        </w:rPr>
      </w:pPr>
      <w:r w:rsidRPr="00E50B4A">
        <w:rPr>
          <w:rFonts w:asciiTheme="majorHAnsi" w:hAnsiTheme="majorHAnsi" w:cstheme="minorHAnsi"/>
          <w:b/>
          <w:sz w:val="24"/>
          <w:szCs w:val="24"/>
          <w:u w:val="single"/>
        </w:rPr>
        <w:t>Derechos colectivos, ambiente y territorio</w:t>
      </w:r>
    </w:p>
    <w:p w:rsidR="00137D7D" w:rsidRPr="00E50B4A" w:rsidRDefault="00137D7D" w:rsidP="00137D7D">
      <w:pPr>
        <w:jc w:val="center"/>
        <w:rPr>
          <w:rFonts w:asciiTheme="majorHAnsi" w:hAnsiTheme="majorHAnsi" w:cstheme="minorHAnsi"/>
          <w:b/>
          <w:sz w:val="24"/>
          <w:szCs w:val="24"/>
          <w:u w:val="single"/>
        </w:rPr>
      </w:pPr>
    </w:p>
    <w:p w:rsidR="008A5D83" w:rsidRPr="00E50B4A" w:rsidRDefault="008A5D83" w:rsidP="008A5D83">
      <w:pPr>
        <w:jc w:val="both"/>
        <w:rPr>
          <w:rFonts w:asciiTheme="majorHAnsi" w:hAnsiTheme="majorHAnsi" w:cstheme="minorHAnsi"/>
          <w:sz w:val="24"/>
          <w:szCs w:val="24"/>
        </w:rPr>
      </w:pPr>
      <w:r w:rsidRPr="00E50B4A">
        <w:rPr>
          <w:rFonts w:asciiTheme="majorHAnsi" w:hAnsiTheme="majorHAnsi" w:cstheme="minorHAnsi"/>
          <w:sz w:val="24"/>
          <w:szCs w:val="24"/>
        </w:rPr>
        <w:t xml:space="preserve">El cuarto eje estratégico del PMD incluye temas en cuales los NNA tendrán un especial protagonismo como son: Movilidad, medio ambiente, vivienda, </w:t>
      </w:r>
      <w:r w:rsidR="000F4B80" w:rsidRPr="00E50B4A">
        <w:rPr>
          <w:rFonts w:asciiTheme="majorHAnsi" w:hAnsiTheme="majorHAnsi" w:cstheme="minorHAnsi"/>
          <w:sz w:val="24"/>
          <w:szCs w:val="24"/>
        </w:rPr>
        <w:t>espacio p</w:t>
      </w:r>
      <w:r w:rsidR="00816C64" w:rsidRPr="00E50B4A">
        <w:rPr>
          <w:rFonts w:asciiTheme="majorHAnsi" w:hAnsiTheme="majorHAnsi" w:cstheme="minorHAnsi"/>
          <w:sz w:val="24"/>
          <w:szCs w:val="24"/>
        </w:rPr>
        <w:t>úblico</w:t>
      </w:r>
      <w:r w:rsidR="000F4B80" w:rsidRPr="00E50B4A">
        <w:rPr>
          <w:rFonts w:asciiTheme="majorHAnsi" w:hAnsiTheme="majorHAnsi" w:cstheme="minorHAnsi"/>
          <w:sz w:val="24"/>
          <w:szCs w:val="24"/>
        </w:rPr>
        <w:t>,</w:t>
      </w:r>
      <w:r w:rsidRPr="00E50B4A">
        <w:rPr>
          <w:rFonts w:asciiTheme="majorHAnsi" w:hAnsiTheme="majorHAnsi" w:cstheme="minorHAnsi"/>
          <w:sz w:val="24"/>
          <w:szCs w:val="24"/>
        </w:rPr>
        <w:t xml:space="preserve"> infraestructura</w:t>
      </w:r>
      <w:r w:rsidR="000F4B80" w:rsidRPr="00E50B4A">
        <w:rPr>
          <w:rFonts w:asciiTheme="majorHAnsi" w:hAnsiTheme="majorHAnsi" w:cstheme="minorHAnsi"/>
          <w:sz w:val="24"/>
          <w:szCs w:val="24"/>
        </w:rPr>
        <w:t xml:space="preserve">, </w:t>
      </w:r>
      <w:r w:rsidRPr="00E50B4A">
        <w:rPr>
          <w:rFonts w:asciiTheme="majorHAnsi" w:hAnsiTheme="majorHAnsi" w:cstheme="minorHAnsi"/>
          <w:sz w:val="24"/>
          <w:szCs w:val="24"/>
        </w:rPr>
        <w:t>equipamento urbano.</w:t>
      </w:r>
    </w:p>
    <w:p w:rsidR="00816C64" w:rsidRPr="00E50B4A" w:rsidRDefault="00816C64" w:rsidP="00816C64">
      <w:pPr>
        <w:jc w:val="center"/>
        <w:rPr>
          <w:rFonts w:asciiTheme="majorHAnsi" w:hAnsiTheme="majorHAnsi" w:cstheme="minorHAnsi"/>
          <w:b/>
          <w:sz w:val="24"/>
          <w:szCs w:val="24"/>
          <w:u w:val="single"/>
        </w:rPr>
      </w:pPr>
      <w:r w:rsidRPr="00E50B4A">
        <w:rPr>
          <w:rFonts w:asciiTheme="majorHAnsi" w:hAnsiTheme="majorHAnsi" w:cstheme="minorHAnsi"/>
          <w:b/>
          <w:sz w:val="24"/>
          <w:szCs w:val="24"/>
          <w:u w:val="single"/>
        </w:rPr>
        <w:t>Debilidades para NNA</w:t>
      </w:r>
    </w:p>
    <w:p w:rsidR="00816C64" w:rsidRPr="00E50B4A" w:rsidRDefault="00816C64" w:rsidP="00816C64">
      <w:pPr>
        <w:jc w:val="both"/>
        <w:rPr>
          <w:rFonts w:asciiTheme="majorHAnsi" w:hAnsiTheme="majorHAnsi" w:cstheme="minorHAnsi"/>
          <w:sz w:val="24"/>
          <w:szCs w:val="24"/>
        </w:rPr>
      </w:pPr>
      <w:r w:rsidRPr="00E50B4A">
        <w:rPr>
          <w:rFonts w:asciiTheme="majorHAnsi" w:hAnsiTheme="majorHAnsi" w:cstheme="minorHAnsi"/>
          <w:sz w:val="24"/>
          <w:szCs w:val="24"/>
          <w:u w:val="single"/>
        </w:rPr>
        <w:t>Movilidad.</w:t>
      </w:r>
      <w:r w:rsidRPr="00E50B4A">
        <w:rPr>
          <w:rFonts w:asciiTheme="majorHAnsi" w:hAnsiTheme="majorHAnsi" w:cstheme="minorHAnsi"/>
          <w:sz w:val="24"/>
          <w:szCs w:val="24"/>
        </w:rPr>
        <w:t xml:space="preserve"> Falta de señalización y campañas pedagógicas sobre responsabilidad vial, exceso de velocidad de vehículos que ponen en peligro los NNA, además del peligro que conlleva la salida de los escolares en la zona urbana del municipio por la congestión de tráfico. No hay andenes por algunas vías y muchos de los existentes no cump</w:t>
      </w:r>
      <w:r w:rsidR="00B9752E" w:rsidRPr="00E50B4A">
        <w:rPr>
          <w:rFonts w:asciiTheme="majorHAnsi" w:hAnsiTheme="majorHAnsi" w:cstheme="minorHAnsi"/>
          <w:sz w:val="24"/>
          <w:szCs w:val="24"/>
        </w:rPr>
        <w:t>len con la seguridad para niños y no se involucra a este sector población en campañas de prevención de accidentalidad vial.</w:t>
      </w:r>
    </w:p>
    <w:p w:rsidR="00816C64" w:rsidRPr="00E50B4A" w:rsidRDefault="00816C64" w:rsidP="00816C64">
      <w:pPr>
        <w:jc w:val="both"/>
        <w:rPr>
          <w:rFonts w:asciiTheme="majorHAnsi" w:hAnsiTheme="majorHAnsi" w:cstheme="minorHAnsi"/>
          <w:sz w:val="24"/>
          <w:szCs w:val="24"/>
        </w:rPr>
      </w:pPr>
      <w:r w:rsidRPr="00E50B4A">
        <w:rPr>
          <w:rFonts w:asciiTheme="majorHAnsi" w:hAnsiTheme="majorHAnsi" w:cstheme="minorHAnsi"/>
          <w:sz w:val="24"/>
          <w:szCs w:val="24"/>
          <w:u w:val="single"/>
        </w:rPr>
        <w:t>Medio ambiente</w:t>
      </w:r>
      <w:r w:rsidR="00956817" w:rsidRPr="00E50B4A">
        <w:rPr>
          <w:rFonts w:asciiTheme="majorHAnsi" w:hAnsiTheme="majorHAnsi" w:cstheme="minorHAnsi"/>
          <w:sz w:val="24"/>
          <w:szCs w:val="24"/>
          <w:u w:val="single"/>
        </w:rPr>
        <w:t xml:space="preserve"> y gestión del riesgo</w:t>
      </w:r>
      <w:r w:rsidRPr="00E50B4A">
        <w:rPr>
          <w:rFonts w:asciiTheme="majorHAnsi" w:hAnsiTheme="majorHAnsi" w:cstheme="minorHAnsi"/>
          <w:sz w:val="24"/>
          <w:szCs w:val="24"/>
          <w:u w:val="single"/>
        </w:rPr>
        <w:t>.</w:t>
      </w:r>
      <w:r w:rsidRPr="00E50B4A">
        <w:rPr>
          <w:rFonts w:asciiTheme="majorHAnsi" w:hAnsiTheme="majorHAnsi" w:cstheme="minorHAnsi"/>
          <w:sz w:val="24"/>
          <w:szCs w:val="24"/>
        </w:rPr>
        <w:t xml:space="preserve"> </w:t>
      </w:r>
      <w:r w:rsidR="00B9752E" w:rsidRPr="00E50B4A">
        <w:rPr>
          <w:rFonts w:asciiTheme="majorHAnsi" w:hAnsiTheme="majorHAnsi" w:cstheme="minorHAnsi"/>
          <w:sz w:val="24"/>
          <w:szCs w:val="24"/>
        </w:rPr>
        <w:t>Poca difusión de la política de educación ambiental en las instituciones educativas  y participación de NNA en programas de protección ambiental, no hay una cultura de prevención del riesgo en instituciones educativas ni al interior de las familia.</w:t>
      </w:r>
    </w:p>
    <w:p w:rsidR="00B9752E" w:rsidRPr="00E50B4A" w:rsidRDefault="00B9752E" w:rsidP="00816C64">
      <w:pPr>
        <w:jc w:val="both"/>
        <w:rPr>
          <w:rFonts w:asciiTheme="majorHAnsi" w:hAnsiTheme="majorHAnsi" w:cstheme="minorHAnsi"/>
          <w:sz w:val="24"/>
          <w:szCs w:val="24"/>
        </w:rPr>
      </w:pPr>
      <w:r w:rsidRPr="00E50B4A">
        <w:rPr>
          <w:rFonts w:asciiTheme="majorHAnsi" w:hAnsiTheme="majorHAnsi" w:cstheme="minorHAnsi"/>
          <w:sz w:val="24"/>
          <w:szCs w:val="24"/>
          <w:u w:val="single"/>
        </w:rPr>
        <w:t>Vivienda.</w:t>
      </w:r>
      <w:r w:rsidRPr="00E50B4A">
        <w:rPr>
          <w:rFonts w:asciiTheme="majorHAnsi" w:hAnsiTheme="majorHAnsi" w:cstheme="minorHAnsi"/>
          <w:sz w:val="24"/>
          <w:szCs w:val="24"/>
        </w:rPr>
        <w:t xml:space="preserve"> No hay programas de construcción o mejoramiento de vivienda con énfasis en madres cabeza de hogar con niños menores de seis años.</w:t>
      </w:r>
    </w:p>
    <w:p w:rsidR="005771E2" w:rsidRPr="00E50B4A" w:rsidRDefault="005771E2" w:rsidP="005771E2">
      <w:pPr>
        <w:jc w:val="center"/>
        <w:rPr>
          <w:rFonts w:asciiTheme="majorHAnsi" w:hAnsiTheme="majorHAnsi" w:cstheme="minorHAnsi"/>
          <w:b/>
          <w:sz w:val="24"/>
          <w:szCs w:val="24"/>
        </w:rPr>
      </w:pPr>
      <w:r w:rsidRPr="00E50B4A">
        <w:rPr>
          <w:rFonts w:asciiTheme="majorHAnsi" w:hAnsiTheme="majorHAnsi" w:cstheme="minorHAnsi"/>
          <w:b/>
          <w:sz w:val="24"/>
          <w:szCs w:val="24"/>
        </w:rPr>
        <w:t>Posibilidades.</w:t>
      </w:r>
    </w:p>
    <w:p w:rsidR="005771E2" w:rsidRPr="00E50B4A" w:rsidRDefault="005771E2" w:rsidP="005771E2">
      <w:pPr>
        <w:jc w:val="both"/>
        <w:rPr>
          <w:rFonts w:asciiTheme="majorHAnsi" w:hAnsiTheme="majorHAnsi" w:cstheme="minorHAnsi"/>
          <w:sz w:val="24"/>
          <w:szCs w:val="24"/>
        </w:rPr>
      </w:pPr>
      <w:r w:rsidRPr="00E50B4A">
        <w:rPr>
          <w:rFonts w:asciiTheme="majorHAnsi" w:hAnsiTheme="majorHAnsi" w:cstheme="minorHAnsi"/>
          <w:b/>
          <w:sz w:val="24"/>
          <w:szCs w:val="24"/>
        </w:rPr>
        <w:t>Movilidad.</w:t>
      </w:r>
      <w:r w:rsidRPr="00E50B4A">
        <w:rPr>
          <w:rFonts w:asciiTheme="majorHAnsi" w:hAnsiTheme="majorHAnsi" w:cstheme="minorHAnsi"/>
          <w:sz w:val="24"/>
          <w:szCs w:val="24"/>
        </w:rPr>
        <w:t xml:space="preserve"> Acercar a los NNA para el fortalecimiento de la responsabilidad vial en el municipio a través de capacitaciones y la prestación del servicio social obligatorio en acciones que favorezcan la movilidad y su seguridad. La señalización en zonas escolares y el control del transporte  son fundamentales.</w:t>
      </w:r>
    </w:p>
    <w:p w:rsidR="005771E2" w:rsidRPr="00E50B4A" w:rsidRDefault="005771E2" w:rsidP="005771E2">
      <w:pPr>
        <w:jc w:val="both"/>
        <w:rPr>
          <w:rFonts w:asciiTheme="majorHAnsi" w:hAnsiTheme="majorHAnsi" w:cstheme="minorHAnsi"/>
          <w:sz w:val="24"/>
          <w:szCs w:val="24"/>
        </w:rPr>
      </w:pPr>
      <w:r w:rsidRPr="00E50B4A">
        <w:rPr>
          <w:rFonts w:asciiTheme="majorHAnsi" w:hAnsiTheme="majorHAnsi" w:cstheme="minorHAnsi"/>
          <w:b/>
          <w:sz w:val="24"/>
          <w:szCs w:val="24"/>
        </w:rPr>
        <w:t xml:space="preserve">Medio ambiente y gestión de riesgo. </w:t>
      </w:r>
      <w:r w:rsidRPr="00E50B4A">
        <w:rPr>
          <w:rFonts w:asciiTheme="majorHAnsi" w:hAnsiTheme="majorHAnsi" w:cstheme="minorHAnsi"/>
          <w:sz w:val="24"/>
          <w:szCs w:val="24"/>
        </w:rPr>
        <w:t>Educación ambiental en colegios urbanos y rurales, articulación con los grupos ambientales indígenas y presencia de NNA en comités ambientales. Paseos y mingas ecológicas para NNA e involucramiento en la conservación del agua. Realizaciones de saneamientos básico con acciones preferenciales a familias con niños menores de 6 años, será clave involucra NNA en campañas para proteger los derechos de los animales. En los establecimientos educativos se realizaran simulacros y se institucionalizara el programa bomberos por un día que busca crear conciencia de prevención temprana en niños. Además se contempla un completo estudio acerca de las vulnerabilidades y amenazas de las instituciones educativas desde la gestión del riesgo y jornadas de sensibilización acerca del cambio climático.</w:t>
      </w:r>
    </w:p>
    <w:p w:rsidR="005771E2" w:rsidRPr="00E50B4A" w:rsidRDefault="005771E2" w:rsidP="005771E2">
      <w:pPr>
        <w:jc w:val="both"/>
        <w:rPr>
          <w:rFonts w:asciiTheme="majorHAnsi" w:hAnsiTheme="majorHAnsi" w:cstheme="minorHAnsi"/>
          <w:sz w:val="24"/>
          <w:szCs w:val="24"/>
        </w:rPr>
      </w:pPr>
      <w:r w:rsidRPr="00E50B4A">
        <w:rPr>
          <w:rFonts w:asciiTheme="majorHAnsi" w:hAnsiTheme="majorHAnsi" w:cstheme="minorHAnsi"/>
          <w:b/>
          <w:sz w:val="24"/>
          <w:szCs w:val="24"/>
        </w:rPr>
        <w:t>Vivienda.</w:t>
      </w:r>
      <w:r w:rsidRPr="00E50B4A">
        <w:rPr>
          <w:rFonts w:asciiTheme="majorHAnsi" w:hAnsiTheme="majorHAnsi" w:cstheme="minorHAnsi"/>
          <w:sz w:val="24"/>
          <w:szCs w:val="24"/>
        </w:rPr>
        <w:t xml:space="preserve"> Es clave crear mecanismos de preferencia para mejoramientos o construcciones de vivienda a familias con niños menores de 6 años.</w:t>
      </w:r>
    </w:p>
    <w:p w:rsidR="005771E2" w:rsidRPr="00E50B4A" w:rsidRDefault="005771E2" w:rsidP="005771E2">
      <w:pPr>
        <w:jc w:val="both"/>
        <w:rPr>
          <w:rFonts w:asciiTheme="majorHAnsi" w:hAnsiTheme="majorHAnsi" w:cstheme="minorHAnsi"/>
          <w:sz w:val="24"/>
          <w:szCs w:val="24"/>
          <w:u w:val="single"/>
        </w:rPr>
      </w:pPr>
    </w:p>
    <w:p w:rsidR="005771E2" w:rsidRPr="00E50B4A" w:rsidRDefault="005771E2" w:rsidP="005771E2">
      <w:pPr>
        <w:jc w:val="center"/>
        <w:rPr>
          <w:rFonts w:asciiTheme="majorHAnsi" w:hAnsiTheme="majorHAnsi" w:cstheme="minorHAnsi"/>
          <w:b/>
          <w:sz w:val="24"/>
          <w:szCs w:val="24"/>
        </w:rPr>
      </w:pPr>
      <w:r w:rsidRPr="00E50B4A">
        <w:rPr>
          <w:rFonts w:asciiTheme="majorHAnsi" w:hAnsiTheme="majorHAnsi" w:cstheme="minorHAnsi"/>
          <w:b/>
          <w:sz w:val="24"/>
          <w:szCs w:val="24"/>
        </w:rPr>
        <w:t>Eje No 5</w:t>
      </w:r>
    </w:p>
    <w:p w:rsidR="005771E2" w:rsidRPr="00E50B4A" w:rsidRDefault="005771E2" w:rsidP="005771E2">
      <w:pPr>
        <w:jc w:val="center"/>
        <w:rPr>
          <w:rFonts w:asciiTheme="majorHAnsi" w:hAnsiTheme="majorHAnsi" w:cstheme="minorHAnsi"/>
          <w:b/>
          <w:sz w:val="24"/>
          <w:szCs w:val="24"/>
        </w:rPr>
      </w:pPr>
      <w:r w:rsidRPr="00E50B4A">
        <w:rPr>
          <w:rFonts w:asciiTheme="majorHAnsi" w:hAnsiTheme="majorHAnsi" w:cstheme="minorHAnsi"/>
          <w:b/>
          <w:sz w:val="24"/>
          <w:szCs w:val="24"/>
        </w:rPr>
        <w:t>Riosucio con desarrollo económico sustentable</w:t>
      </w:r>
    </w:p>
    <w:p w:rsidR="005771E2" w:rsidRPr="00E50B4A" w:rsidRDefault="005771E2" w:rsidP="005771E2">
      <w:pPr>
        <w:jc w:val="center"/>
        <w:rPr>
          <w:rFonts w:asciiTheme="majorHAnsi" w:hAnsiTheme="majorHAnsi" w:cstheme="minorHAnsi"/>
          <w:sz w:val="24"/>
          <w:szCs w:val="24"/>
        </w:rPr>
      </w:pPr>
    </w:p>
    <w:p w:rsidR="005771E2" w:rsidRPr="00E50B4A" w:rsidRDefault="005771E2" w:rsidP="005771E2">
      <w:pPr>
        <w:jc w:val="both"/>
        <w:rPr>
          <w:rFonts w:asciiTheme="majorHAnsi" w:hAnsiTheme="majorHAnsi" w:cstheme="minorHAnsi"/>
          <w:sz w:val="24"/>
          <w:szCs w:val="24"/>
        </w:rPr>
      </w:pPr>
      <w:r w:rsidRPr="00E50B4A">
        <w:rPr>
          <w:rFonts w:asciiTheme="majorHAnsi" w:hAnsiTheme="majorHAnsi" w:cstheme="minorHAnsi"/>
          <w:sz w:val="24"/>
          <w:szCs w:val="24"/>
        </w:rPr>
        <w:t>Temas abordados: se</w:t>
      </w:r>
      <w:r w:rsidR="00592F4C" w:rsidRPr="00E50B4A">
        <w:rPr>
          <w:rFonts w:asciiTheme="majorHAnsi" w:hAnsiTheme="majorHAnsi" w:cstheme="minorHAnsi"/>
          <w:sz w:val="24"/>
          <w:szCs w:val="24"/>
        </w:rPr>
        <w:t>ctores agropecuarios, minería, a</w:t>
      </w:r>
      <w:r w:rsidRPr="00E50B4A">
        <w:rPr>
          <w:rFonts w:asciiTheme="majorHAnsi" w:hAnsiTheme="majorHAnsi" w:cstheme="minorHAnsi"/>
          <w:sz w:val="24"/>
          <w:szCs w:val="24"/>
        </w:rPr>
        <w:t>sociatividad, emprendimiento.</w:t>
      </w:r>
    </w:p>
    <w:p w:rsidR="005771E2" w:rsidRPr="00E50B4A" w:rsidRDefault="005771E2" w:rsidP="005771E2">
      <w:pPr>
        <w:jc w:val="both"/>
        <w:rPr>
          <w:rFonts w:asciiTheme="majorHAnsi" w:hAnsiTheme="majorHAnsi" w:cstheme="minorHAnsi"/>
          <w:sz w:val="24"/>
          <w:szCs w:val="24"/>
        </w:rPr>
      </w:pPr>
    </w:p>
    <w:p w:rsidR="005771E2" w:rsidRPr="00E50B4A" w:rsidRDefault="005771E2" w:rsidP="005771E2">
      <w:pPr>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Debilidades.</w:t>
      </w:r>
    </w:p>
    <w:p w:rsidR="005771E2" w:rsidRPr="00E50B4A" w:rsidRDefault="005771E2" w:rsidP="005771E2">
      <w:pPr>
        <w:jc w:val="both"/>
        <w:rPr>
          <w:rFonts w:asciiTheme="majorHAnsi" w:eastAsia="MS PMincho" w:hAnsiTheme="majorHAnsi" w:cs="Arial"/>
          <w:sz w:val="24"/>
          <w:szCs w:val="24"/>
        </w:rPr>
      </w:pPr>
      <w:r w:rsidRPr="00E50B4A">
        <w:rPr>
          <w:rFonts w:asciiTheme="majorHAnsi" w:eastAsia="MS PMincho" w:hAnsiTheme="majorHAnsi" w:cs="Arial"/>
          <w:sz w:val="24"/>
          <w:szCs w:val="24"/>
        </w:rPr>
        <w:t>Ausencia de oportunidades laborales para jóvenes, la oferta de formación para el desarrollo no lega a todos los jóvenes especialmente a los indígenas que tienen dificultades de transporte debido a las grandes distancias. También existen NNA que por el boom minero desertan de las instituciones educativas para trabajar en la minas, además es importante anotar los problemas sociales por el consumismo desaforado que se vive en zonas mineras del cual no escapan los NNA.</w:t>
      </w:r>
    </w:p>
    <w:p w:rsidR="005771E2" w:rsidRPr="00E50B4A" w:rsidRDefault="005771E2" w:rsidP="005771E2">
      <w:pPr>
        <w:jc w:val="both"/>
        <w:rPr>
          <w:rFonts w:asciiTheme="majorHAnsi" w:eastAsia="MS PMincho" w:hAnsiTheme="majorHAnsi" w:cs="Arial"/>
          <w:sz w:val="24"/>
          <w:szCs w:val="24"/>
        </w:rPr>
      </w:pPr>
      <w:r w:rsidRPr="00E50B4A">
        <w:rPr>
          <w:rFonts w:asciiTheme="majorHAnsi" w:eastAsia="MS PMincho" w:hAnsiTheme="majorHAnsi" w:cs="Arial"/>
          <w:sz w:val="24"/>
          <w:szCs w:val="24"/>
        </w:rPr>
        <w:t>Existen pocos grupos asociativos de jóvenes emprendedores, al tiempo que acompañamiento del estado es débil.</w:t>
      </w:r>
    </w:p>
    <w:p w:rsidR="005771E2" w:rsidRPr="00E50B4A" w:rsidRDefault="005771E2" w:rsidP="005771E2">
      <w:pPr>
        <w:jc w:val="both"/>
        <w:rPr>
          <w:rFonts w:asciiTheme="majorHAnsi" w:eastAsia="MS PMincho" w:hAnsiTheme="majorHAnsi" w:cs="Arial"/>
          <w:b/>
          <w:sz w:val="24"/>
          <w:szCs w:val="24"/>
          <w:u w:val="single"/>
        </w:rPr>
      </w:pPr>
      <w:r w:rsidRPr="00E50B4A">
        <w:rPr>
          <w:rFonts w:asciiTheme="majorHAnsi" w:eastAsia="MS PMincho" w:hAnsiTheme="majorHAnsi" w:cs="Arial"/>
          <w:b/>
          <w:sz w:val="24"/>
          <w:szCs w:val="24"/>
          <w:u w:val="single"/>
        </w:rPr>
        <w:t>Posibilidades.</w:t>
      </w:r>
    </w:p>
    <w:p w:rsidR="005771E2" w:rsidRPr="00E50B4A" w:rsidRDefault="005771E2" w:rsidP="005771E2">
      <w:pPr>
        <w:jc w:val="both"/>
        <w:rPr>
          <w:rFonts w:asciiTheme="majorHAnsi" w:eastAsia="MS PMincho" w:hAnsiTheme="majorHAnsi" w:cs="Arial"/>
          <w:sz w:val="24"/>
          <w:szCs w:val="24"/>
        </w:rPr>
      </w:pPr>
      <w:r w:rsidRPr="00E50B4A">
        <w:rPr>
          <w:rFonts w:asciiTheme="majorHAnsi" w:eastAsia="MS PMincho" w:hAnsiTheme="majorHAnsi" w:cs="Arial"/>
          <w:sz w:val="24"/>
          <w:szCs w:val="24"/>
        </w:rPr>
        <w:t>Apoyo a jóvenes en proyectos de productividad,  inclusión con enfoque territorial de jóvenes en programas de emprendimiento, control para la legalidad de la minería.</w:t>
      </w:r>
    </w:p>
    <w:p w:rsidR="005771E2" w:rsidRPr="00E50B4A" w:rsidRDefault="005771E2" w:rsidP="005771E2">
      <w:pPr>
        <w:jc w:val="both"/>
        <w:rPr>
          <w:rFonts w:asciiTheme="majorHAnsi" w:eastAsia="MS PMincho" w:hAnsiTheme="majorHAnsi" w:cs="Arial"/>
          <w:sz w:val="24"/>
          <w:szCs w:val="24"/>
        </w:rPr>
      </w:pPr>
      <w:r w:rsidRPr="00E50B4A">
        <w:rPr>
          <w:rFonts w:asciiTheme="majorHAnsi" w:eastAsia="MS PMincho" w:hAnsiTheme="majorHAnsi" w:cs="Arial"/>
          <w:sz w:val="24"/>
          <w:szCs w:val="24"/>
        </w:rPr>
        <w:t>Es importante establecer posibilidades de ampliar la oferta del SENA en educación para el desarrollo teniendo en cuenta enfoque diferencial en NNA en situación de discapacidad y víctimas de la violencia.</w:t>
      </w:r>
    </w:p>
    <w:p w:rsidR="005771E2" w:rsidRPr="00E50B4A" w:rsidRDefault="005771E2" w:rsidP="005771E2">
      <w:pPr>
        <w:jc w:val="both"/>
        <w:rPr>
          <w:rFonts w:asciiTheme="majorHAnsi" w:eastAsia="MS PMincho" w:hAnsiTheme="majorHAnsi" w:cs="Arial"/>
          <w:b/>
          <w:sz w:val="24"/>
          <w:szCs w:val="24"/>
        </w:rPr>
      </w:pPr>
    </w:p>
    <w:p w:rsidR="005771E2" w:rsidRPr="00E50B4A" w:rsidRDefault="005771E2" w:rsidP="005771E2">
      <w:pPr>
        <w:rPr>
          <w:rFonts w:asciiTheme="majorHAnsi" w:eastAsia="MS PMincho" w:hAnsiTheme="majorHAnsi" w:cs="Arial"/>
          <w:b/>
          <w:sz w:val="24"/>
          <w:szCs w:val="24"/>
          <w:u w:val="single"/>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5771E2">
      <w:pPr>
        <w:jc w:val="both"/>
        <w:rPr>
          <w:rFonts w:asciiTheme="majorHAnsi" w:eastAsia="MS PMincho" w:hAnsiTheme="majorHAnsi" w:cstheme="minorHAnsi"/>
          <w:sz w:val="24"/>
          <w:szCs w:val="24"/>
        </w:rPr>
      </w:pPr>
    </w:p>
    <w:p w:rsidR="005771E2" w:rsidRPr="00E50B4A" w:rsidRDefault="005771E2" w:rsidP="00816C64">
      <w:pPr>
        <w:jc w:val="both"/>
        <w:rPr>
          <w:rFonts w:asciiTheme="majorHAnsi" w:hAnsiTheme="majorHAnsi" w:cstheme="minorHAnsi"/>
          <w:sz w:val="24"/>
          <w:szCs w:val="24"/>
        </w:rPr>
      </w:pPr>
    </w:p>
    <w:sectPr w:rsidR="005771E2" w:rsidRPr="00E50B4A" w:rsidSect="007D0BB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737" w:rsidRDefault="00AD5737" w:rsidP="00AE48CB">
      <w:pPr>
        <w:spacing w:after="0" w:line="240" w:lineRule="auto"/>
      </w:pPr>
      <w:r>
        <w:separator/>
      </w:r>
    </w:p>
  </w:endnote>
  <w:endnote w:type="continuationSeparator" w:id="0">
    <w:p w:rsidR="00AD5737" w:rsidRDefault="00AD5737" w:rsidP="00AE4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iandra GD">
    <w:altName w:val="Candara"/>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mericana BT">
    <w:altName w:val="Times New Roman"/>
    <w:charset w:val="00"/>
    <w:family w:val="roman"/>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Eurostile">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Swiss 72 1 BT">
    <w:altName w:val="Swiss 72 1 BT"/>
    <w:panose1 w:val="00000000000000000000"/>
    <w:charset w:val="00"/>
    <w:family w:val="roman"/>
    <w:notTrueType/>
    <w:pitch w:val="default"/>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ArialNarrow,BoldItalic">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ArialNarrow,Italic">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737" w:rsidRDefault="00AD5737" w:rsidP="00AE48CB">
      <w:pPr>
        <w:spacing w:after="0" w:line="240" w:lineRule="auto"/>
      </w:pPr>
      <w:r>
        <w:separator/>
      </w:r>
    </w:p>
  </w:footnote>
  <w:footnote w:type="continuationSeparator" w:id="0">
    <w:p w:rsidR="00AD5737" w:rsidRDefault="00AD5737" w:rsidP="00AE48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246999A"/>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A2E483D8"/>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B636ED8A"/>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FFFFFF89"/>
    <w:multiLevelType w:val="singleLevel"/>
    <w:tmpl w:val="FD08E6F8"/>
    <w:lvl w:ilvl="0">
      <w:start w:val="1"/>
      <w:numFmt w:val="bullet"/>
      <w:pStyle w:val="Listaconvietas"/>
      <w:lvlText w:val=""/>
      <w:lvlJc w:val="left"/>
      <w:pPr>
        <w:tabs>
          <w:tab w:val="num" w:pos="360"/>
        </w:tabs>
        <w:ind w:left="360" w:hanging="360"/>
      </w:pPr>
      <w:rPr>
        <w:rFonts w:ascii="Symbol" w:hAnsi="Symbol" w:hint="default"/>
      </w:rPr>
    </w:lvl>
  </w:abstractNum>
  <w:abstractNum w:abstractNumId="4">
    <w:nsid w:val="002247BC"/>
    <w:multiLevelType w:val="hybridMultilevel"/>
    <w:tmpl w:val="78281D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07D5953"/>
    <w:multiLevelType w:val="hybridMultilevel"/>
    <w:tmpl w:val="757A3A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7822CF6"/>
    <w:multiLevelType w:val="multilevel"/>
    <w:tmpl w:val="254A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221C69"/>
    <w:multiLevelType w:val="hybridMultilevel"/>
    <w:tmpl w:val="26ECB38A"/>
    <w:lvl w:ilvl="0" w:tplc="0C0A000D">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nsid w:val="0C3048AA"/>
    <w:multiLevelType w:val="hybridMultilevel"/>
    <w:tmpl w:val="14E856D6"/>
    <w:lvl w:ilvl="0" w:tplc="9DFEB4A0">
      <w:start w:val="1"/>
      <w:numFmt w:val="decimal"/>
      <w:lvlText w:val="%1."/>
      <w:lvlJc w:val="left"/>
      <w:pPr>
        <w:ind w:left="1710" w:hanging="360"/>
      </w:pPr>
      <w:rPr>
        <w:rFonts w:hint="default"/>
      </w:rPr>
    </w:lvl>
    <w:lvl w:ilvl="1" w:tplc="240A0019" w:tentative="1">
      <w:start w:val="1"/>
      <w:numFmt w:val="lowerLetter"/>
      <w:lvlText w:val="%2."/>
      <w:lvlJc w:val="left"/>
      <w:pPr>
        <w:ind w:left="2430" w:hanging="360"/>
      </w:pPr>
    </w:lvl>
    <w:lvl w:ilvl="2" w:tplc="240A001B" w:tentative="1">
      <w:start w:val="1"/>
      <w:numFmt w:val="lowerRoman"/>
      <w:lvlText w:val="%3."/>
      <w:lvlJc w:val="right"/>
      <w:pPr>
        <w:ind w:left="3150" w:hanging="180"/>
      </w:pPr>
    </w:lvl>
    <w:lvl w:ilvl="3" w:tplc="240A000F" w:tentative="1">
      <w:start w:val="1"/>
      <w:numFmt w:val="decimal"/>
      <w:lvlText w:val="%4."/>
      <w:lvlJc w:val="left"/>
      <w:pPr>
        <w:ind w:left="3870" w:hanging="360"/>
      </w:pPr>
    </w:lvl>
    <w:lvl w:ilvl="4" w:tplc="240A0019" w:tentative="1">
      <w:start w:val="1"/>
      <w:numFmt w:val="lowerLetter"/>
      <w:lvlText w:val="%5."/>
      <w:lvlJc w:val="left"/>
      <w:pPr>
        <w:ind w:left="4590" w:hanging="360"/>
      </w:pPr>
    </w:lvl>
    <w:lvl w:ilvl="5" w:tplc="240A001B" w:tentative="1">
      <w:start w:val="1"/>
      <w:numFmt w:val="lowerRoman"/>
      <w:lvlText w:val="%6."/>
      <w:lvlJc w:val="right"/>
      <w:pPr>
        <w:ind w:left="5310" w:hanging="180"/>
      </w:pPr>
    </w:lvl>
    <w:lvl w:ilvl="6" w:tplc="240A000F" w:tentative="1">
      <w:start w:val="1"/>
      <w:numFmt w:val="decimal"/>
      <w:lvlText w:val="%7."/>
      <w:lvlJc w:val="left"/>
      <w:pPr>
        <w:ind w:left="6030" w:hanging="360"/>
      </w:pPr>
    </w:lvl>
    <w:lvl w:ilvl="7" w:tplc="240A0019" w:tentative="1">
      <w:start w:val="1"/>
      <w:numFmt w:val="lowerLetter"/>
      <w:lvlText w:val="%8."/>
      <w:lvlJc w:val="left"/>
      <w:pPr>
        <w:ind w:left="6750" w:hanging="360"/>
      </w:pPr>
    </w:lvl>
    <w:lvl w:ilvl="8" w:tplc="240A001B" w:tentative="1">
      <w:start w:val="1"/>
      <w:numFmt w:val="lowerRoman"/>
      <w:lvlText w:val="%9."/>
      <w:lvlJc w:val="right"/>
      <w:pPr>
        <w:ind w:left="7470" w:hanging="180"/>
      </w:pPr>
    </w:lvl>
  </w:abstractNum>
  <w:abstractNum w:abstractNumId="9">
    <w:nsid w:val="130E3482"/>
    <w:multiLevelType w:val="hybridMultilevel"/>
    <w:tmpl w:val="F4889A32"/>
    <w:lvl w:ilvl="0" w:tplc="E2521960">
      <w:start w:val="27"/>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41103F7"/>
    <w:multiLevelType w:val="hybridMultilevel"/>
    <w:tmpl w:val="2A58B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A6831E6"/>
    <w:multiLevelType w:val="hybridMultilevel"/>
    <w:tmpl w:val="E1ECB4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D922B19"/>
    <w:multiLevelType w:val="hybridMultilevel"/>
    <w:tmpl w:val="CDBA1876"/>
    <w:lvl w:ilvl="0" w:tplc="240A000D">
      <w:start w:val="1"/>
      <w:numFmt w:val="bullet"/>
      <w:lvlText w:val=""/>
      <w:lvlJc w:val="left"/>
      <w:pPr>
        <w:ind w:left="1776" w:hanging="360"/>
      </w:pPr>
      <w:rPr>
        <w:rFonts w:ascii="Wingdings" w:hAnsi="Wingdings"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3">
    <w:nsid w:val="2BF46890"/>
    <w:multiLevelType w:val="hybridMultilevel"/>
    <w:tmpl w:val="306E314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48346BE"/>
    <w:multiLevelType w:val="hybridMultilevel"/>
    <w:tmpl w:val="43F0E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7E337C5"/>
    <w:multiLevelType w:val="hybridMultilevel"/>
    <w:tmpl w:val="768E8F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43432244"/>
    <w:multiLevelType w:val="hybridMultilevel"/>
    <w:tmpl w:val="8E42FB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5AC2A4D"/>
    <w:multiLevelType w:val="hybridMultilevel"/>
    <w:tmpl w:val="82626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7460E67"/>
    <w:multiLevelType w:val="multilevel"/>
    <w:tmpl w:val="5000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B76867"/>
    <w:multiLevelType w:val="hybridMultilevel"/>
    <w:tmpl w:val="FCE0B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4CD55F57"/>
    <w:multiLevelType w:val="hybridMultilevel"/>
    <w:tmpl w:val="D60068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55E44B2"/>
    <w:multiLevelType w:val="hybridMultilevel"/>
    <w:tmpl w:val="3934CE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674784C"/>
    <w:multiLevelType w:val="multilevel"/>
    <w:tmpl w:val="8D0808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675C1393"/>
    <w:multiLevelType w:val="hybridMultilevel"/>
    <w:tmpl w:val="4D844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68641C40"/>
    <w:multiLevelType w:val="hybridMultilevel"/>
    <w:tmpl w:val="0542019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6FD74FEC"/>
    <w:multiLevelType w:val="hybridMultilevel"/>
    <w:tmpl w:val="C00C25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0873B70"/>
    <w:multiLevelType w:val="hybridMultilevel"/>
    <w:tmpl w:val="8DCEBC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7530722B"/>
    <w:multiLevelType w:val="hybridMultilevel"/>
    <w:tmpl w:val="0DA86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7AFE27A7"/>
    <w:multiLevelType w:val="hybridMultilevel"/>
    <w:tmpl w:val="B5481F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B006F77"/>
    <w:multiLevelType w:val="hybridMultilevel"/>
    <w:tmpl w:val="FEA47F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F41304C"/>
    <w:multiLevelType w:val="hybridMultilevel"/>
    <w:tmpl w:val="FBB01152"/>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24"/>
  </w:num>
  <w:num w:numId="3">
    <w:abstractNumId w:val="4"/>
  </w:num>
  <w:num w:numId="4">
    <w:abstractNumId w:val="19"/>
  </w:num>
  <w:num w:numId="5">
    <w:abstractNumId w:val="21"/>
  </w:num>
  <w:num w:numId="6">
    <w:abstractNumId w:val="30"/>
  </w:num>
  <w:num w:numId="7">
    <w:abstractNumId w:val="29"/>
  </w:num>
  <w:num w:numId="8">
    <w:abstractNumId w:val="11"/>
  </w:num>
  <w:num w:numId="9">
    <w:abstractNumId w:val="28"/>
  </w:num>
  <w:num w:numId="10">
    <w:abstractNumId w:val="25"/>
  </w:num>
  <w:num w:numId="11">
    <w:abstractNumId w:val="17"/>
  </w:num>
  <w:num w:numId="12">
    <w:abstractNumId w:val="15"/>
  </w:num>
  <w:num w:numId="13">
    <w:abstractNumId w:val="23"/>
  </w:num>
  <w:num w:numId="14">
    <w:abstractNumId w:val="14"/>
  </w:num>
  <w:num w:numId="15">
    <w:abstractNumId w:val="16"/>
  </w:num>
  <w:num w:numId="16">
    <w:abstractNumId w:val="10"/>
  </w:num>
  <w:num w:numId="17">
    <w:abstractNumId w:val="2"/>
  </w:num>
  <w:num w:numId="18">
    <w:abstractNumId w:val="3"/>
  </w:num>
  <w:num w:numId="19">
    <w:abstractNumId w:val="0"/>
  </w:num>
  <w:num w:numId="20">
    <w:abstractNumId w:val="1"/>
  </w:num>
  <w:num w:numId="21">
    <w:abstractNumId w:val="13"/>
  </w:num>
  <w:num w:numId="22">
    <w:abstractNumId w:val="9"/>
  </w:num>
  <w:num w:numId="23">
    <w:abstractNumId w:val="22"/>
  </w:num>
  <w:num w:numId="24">
    <w:abstractNumId w:val="6"/>
  </w:num>
  <w:num w:numId="25">
    <w:abstractNumId w:val="18"/>
  </w:num>
  <w:num w:numId="26">
    <w:abstractNumId w:val="27"/>
  </w:num>
  <w:num w:numId="27">
    <w:abstractNumId w:val="8"/>
  </w:num>
  <w:num w:numId="28">
    <w:abstractNumId w:val="7"/>
  </w:num>
  <w:num w:numId="29">
    <w:abstractNumId w:val="12"/>
  </w:num>
  <w:num w:numId="30">
    <w:abstractNumId w:val="5"/>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042"/>
    <w:rsid w:val="00010D49"/>
    <w:rsid w:val="00015B22"/>
    <w:rsid w:val="00035230"/>
    <w:rsid w:val="00050D62"/>
    <w:rsid w:val="00070A75"/>
    <w:rsid w:val="000B5419"/>
    <w:rsid w:val="000C1E97"/>
    <w:rsid w:val="000D4638"/>
    <w:rsid w:val="000E5AFC"/>
    <w:rsid w:val="000F4B80"/>
    <w:rsid w:val="0011602C"/>
    <w:rsid w:val="00133AB9"/>
    <w:rsid w:val="00134245"/>
    <w:rsid w:val="00137D7D"/>
    <w:rsid w:val="00142E41"/>
    <w:rsid w:val="001474C7"/>
    <w:rsid w:val="00186C9E"/>
    <w:rsid w:val="001912DF"/>
    <w:rsid w:val="001924BD"/>
    <w:rsid w:val="00192F46"/>
    <w:rsid w:val="0019456A"/>
    <w:rsid w:val="001A388C"/>
    <w:rsid w:val="001A3AD1"/>
    <w:rsid w:val="001D43EC"/>
    <w:rsid w:val="001E3578"/>
    <w:rsid w:val="00203EEA"/>
    <w:rsid w:val="00211A83"/>
    <w:rsid w:val="0023436D"/>
    <w:rsid w:val="00235AE6"/>
    <w:rsid w:val="00241F41"/>
    <w:rsid w:val="00285268"/>
    <w:rsid w:val="002B3B4A"/>
    <w:rsid w:val="002C5D98"/>
    <w:rsid w:val="002D0AC3"/>
    <w:rsid w:val="003132FA"/>
    <w:rsid w:val="00331398"/>
    <w:rsid w:val="003407C2"/>
    <w:rsid w:val="00390A92"/>
    <w:rsid w:val="00394C3E"/>
    <w:rsid w:val="00414AE5"/>
    <w:rsid w:val="00420DE4"/>
    <w:rsid w:val="004909DB"/>
    <w:rsid w:val="00492145"/>
    <w:rsid w:val="005274D8"/>
    <w:rsid w:val="00530239"/>
    <w:rsid w:val="00533D35"/>
    <w:rsid w:val="005771E2"/>
    <w:rsid w:val="00590567"/>
    <w:rsid w:val="00592F4C"/>
    <w:rsid w:val="005A23AB"/>
    <w:rsid w:val="005A7462"/>
    <w:rsid w:val="005D78A0"/>
    <w:rsid w:val="006202D8"/>
    <w:rsid w:val="00622720"/>
    <w:rsid w:val="00663497"/>
    <w:rsid w:val="006976BC"/>
    <w:rsid w:val="006B02B2"/>
    <w:rsid w:val="006B722A"/>
    <w:rsid w:val="006C22DE"/>
    <w:rsid w:val="006E2F07"/>
    <w:rsid w:val="006F4AD7"/>
    <w:rsid w:val="00724F51"/>
    <w:rsid w:val="00727AC0"/>
    <w:rsid w:val="007378E9"/>
    <w:rsid w:val="0074062D"/>
    <w:rsid w:val="007434B5"/>
    <w:rsid w:val="00745B48"/>
    <w:rsid w:val="00772A06"/>
    <w:rsid w:val="007846C3"/>
    <w:rsid w:val="00784949"/>
    <w:rsid w:val="00797649"/>
    <w:rsid w:val="007A3D5C"/>
    <w:rsid w:val="007C30B6"/>
    <w:rsid w:val="007C379E"/>
    <w:rsid w:val="007D0BB3"/>
    <w:rsid w:val="007D49AA"/>
    <w:rsid w:val="007E5ACD"/>
    <w:rsid w:val="007F6042"/>
    <w:rsid w:val="008013E3"/>
    <w:rsid w:val="0080628D"/>
    <w:rsid w:val="00816C64"/>
    <w:rsid w:val="008274DE"/>
    <w:rsid w:val="008432E8"/>
    <w:rsid w:val="00887BA4"/>
    <w:rsid w:val="008A3BD2"/>
    <w:rsid w:val="008A5D83"/>
    <w:rsid w:val="008C2B5C"/>
    <w:rsid w:val="008D574F"/>
    <w:rsid w:val="008D6C88"/>
    <w:rsid w:val="008E6DEF"/>
    <w:rsid w:val="008F5BFF"/>
    <w:rsid w:val="00903B2C"/>
    <w:rsid w:val="009061B0"/>
    <w:rsid w:val="0091312D"/>
    <w:rsid w:val="009220CB"/>
    <w:rsid w:val="00932A82"/>
    <w:rsid w:val="00934551"/>
    <w:rsid w:val="00943F22"/>
    <w:rsid w:val="00945C06"/>
    <w:rsid w:val="00956817"/>
    <w:rsid w:val="00967248"/>
    <w:rsid w:val="00967F2B"/>
    <w:rsid w:val="009A56D9"/>
    <w:rsid w:val="009D1744"/>
    <w:rsid w:val="009F0761"/>
    <w:rsid w:val="00A21827"/>
    <w:rsid w:val="00A43CBC"/>
    <w:rsid w:val="00A46877"/>
    <w:rsid w:val="00A51146"/>
    <w:rsid w:val="00A57A88"/>
    <w:rsid w:val="00A77CC3"/>
    <w:rsid w:val="00A80D7A"/>
    <w:rsid w:val="00A97380"/>
    <w:rsid w:val="00AA733F"/>
    <w:rsid w:val="00AC2430"/>
    <w:rsid w:val="00AC2E03"/>
    <w:rsid w:val="00AD0C80"/>
    <w:rsid w:val="00AD3530"/>
    <w:rsid w:val="00AD5737"/>
    <w:rsid w:val="00AE1636"/>
    <w:rsid w:val="00AE48CB"/>
    <w:rsid w:val="00B2681E"/>
    <w:rsid w:val="00B42F0C"/>
    <w:rsid w:val="00B9752E"/>
    <w:rsid w:val="00BC2342"/>
    <w:rsid w:val="00BD6756"/>
    <w:rsid w:val="00BE46EF"/>
    <w:rsid w:val="00BF661C"/>
    <w:rsid w:val="00C05E7D"/>
    <w:rsid w:val="00C214E1"/>
    <w:rsid w:val="00C52F05"/>
    <w:rsid w:val="00C60B7E"/>
    <w:rsid w:val="00C64435"/>
    <w:rsid w:val="00C651FD"/>
    <w:rsid w:val="00C73D7D"/>
    <w:rsid w:val="00CA159E"/>
    <w:rsid w:val="00CB527A"/>
    <w:rsid w:val="00CB7C7A"/>
    <w:rsid w:val="00CD33EE"/>
    <w:rsid w:val="00CE4A42"/>
    <w:rsid w:val="00D04DB3"/>
    <w:rsid w:val="00D0741B"/>
    <w:rsid w:val="00D85978"/>
    <w:rsid w:val="00DB2655"/>
    <w:rsid w:val="00DB48A9"/>
    <w:rsid w:val="00DC7DCC"/>
    <w:rsid w:val="00DD3429"/>
    <w:rsid w:val="00DD47C8"/>
    <w:rsid w:val="00E418BD"/>
    <w:rsid w:val="00E50B4A"/>
    <w:rsid w:val="00E91EAE"/>
    <w:rsid w:val="00E9472B"/>
    <w:rsid w:val="00EA0988"/>
    <w:rsid w:val="00EC1E3A"/>
    <w:rsid w:val="00EC74B8"/>
    <w:rsid w:val="00ED361F"/>
    <w:rsid w:val="00F209A8"/>
    <w:rsid w:val="00F35421"/>
    <w:rsid w:val="00F37160"/>
    <w:rsid w:val="00F37D60"/>
    <w:rsid w:val="00F94548"/>
    <w:rsid w:val="00FD18F5"/>
    <w:rsid w:val="00FD3A95"/>
    <w:rsid w:val="00FD7CAB"/>
    <w:rsid w:val="00FE5D4E"/>
    <w:rsid w:val="00FE5E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Table Contemporary"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1160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8C2B5C"/>
    <w:pPr>
      <w:keepNext/>
      <w:keepLines/>
      <w:spacing w:before="200" w:after="0" w:line="360" w:lineRule="auto"/>
      <w:outlineLvl w:val="1"/>
    </w:pPr>
    <w:rPr>
      <w:rFonts w:ascii="Arial" w:eastAsiaTheme="majorEastAsia" w:hAnsi="Arial" w:cstheme="majorBidi"/>
      <w:b/>
      <w:bCs/>
      <w:i/>
      <w:sz w:val="24"/>
      <w:szCs w:val="26"/>
    </w:rPr>
  </w:style>
  <w:style w:type="paragraph" w:styleId="Ttulo3">
    <w:name w:val="heading 3"/>
    <w:basedOn w:val="Normal"/>
    <w:next w:val="Normal"/>
    <w:link w:val="Ttulo3Car"/>
    <w:qFormat/>
    <w:rsid w:val="00241F41"/>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qFormat/>
    <w:rsid w:val="00241F41"/>
    <w:pPr>
      <w:keepNext/>
      <w:spacing w:before="240" w:after="60"/>
      <w:outlineLvl w:val="3"/>
    </w:pPr>
    <w:rPr>
      <w:rFonts w:ascii="Times New Roman" w:eastAsia="Calibri" w:hAnsi="Times New Roman" w:cs="Times New Roman"/>
      <w:b/>
      <w:bCs/>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1602C"/>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rsid w:val="008C2B5C"/>
    <w:rPr>
      <w:rFonts w:ascii="Arial" w:eastAsiaTheme="majorEastAsia" w:hAnsi="Arial" w:cstheme="majorBidi"/>
      <w:b/>
      <w:bCs/>
      <w:i/>
      <w:sz w:val="24"/>
      <w:szCs w:val="26"/>
    </w:rPr>
  </w:style>
  <w:style w:type="character" w:customStyle="1" w:styleId="Ttulo3Car">
    <w:name w:val="Título 3 Car"/>
    <w:basedOn w:val="Fuentedeprrafopredeter"/>
    <w:link w:val="Ttulo3"/>
    <w:rsid w:val="00241F41"/>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241F41"/>
    <w:rPr>
      <w:rFonts w:ascii="Times New Roman" w:eastAsia="Calibri" w:hAnsi="Times New Roman" w:cs="Times New Roman"/>
      <w:b/>
      <w:bCs/>
      <w:sz w:val="28"/>
      <w:szCs w:val="28"/>
      <w:lang w:val="es-ES"/>
    </w:rPr>
  </w:style>
  <w:style w:type="paragraph" w:styleId="Prrafodelista">
    <w:name w:val="List Paragraph"/>
    <w:basedOn w:val="Normal"/>
    <w:uiPriority w:val="34"/>
    <w:qFormat/>
    <w:rsid w:val="00F37D60"/>
    <w:pPr>
      <w:ind w:left="720"/>
      <w:contextualSpacing/>
    </w:pPr>
  </w:style>
  <w:style w:type="paragraph" w:customStyle="1" w:styleId="Default">
    <w:name w:val="Default"/>
    <w:rsid w:val="00FE5D4E"/>
    <w:pPr>
      <w:autoSpaceDE w:val="0"/>
      <w:autoSpaceDN w:val="0"/>
      <w:adjustRightInd w:val="0"/>
      <w:spacing w:after="0" w:line="240" w:lineRule="auto"/>
    </w:pPr>
    <w:rPr>
      <w:rFonts w:ascii="Maiandra GD" w:hAnsi="Maiandra GD" w:cs="Maiandra GD"/>
      <w:color w:val="000000"/>
      <w:sz w:val="24"/>
      <w:szCs w:val="24"/>
      <w:lang w:val="es-AR"/>
    </w:rPr>
  </w:style>
  <w:style w:type="table" w:styleId="Tablaconcuadrcula">
    <w:name w:val="Table Grid"/>
    <w:basedOn w:val="Tablanormal"/>
    <w:uiPriority w:val="59"/>
    <w:rsid w:val="00FE5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2">
    <w:name w:val="Body Text 2"/>
    <w:basedOn w:val="Normal"/>
    <w:link w:val="Textoindependiente2Car"/>
    <w:rsid w:val="00FE5D4E"/>
    <w:pPr>
      <w:spacing w:after="0" w:line="240" w:lineRule="auto"/>
      <w:jc w:val="both"/>
    </w:pPr>
    <w:rPr>
      <w:rFonts w:ascii="Arial" w:eastAsia="Times New Roman" w:hAnsi="Arial" w:cs="Times New Roman"/>
      <w:b/>
      <w:bCs/>
      <w:sz w:val="24"/>
      <w:szCs w:val="24"/>
      <w:lang w:eastAsia="es-ES"/>
    </w:rPr>
  </w:style>
  <w:style w:type="character" w:customStyle="1" w:styleId="Textoindependiente2Car">
    <w:name w:val="Texto independiente 2 Car"/>
    <w:basedOn w:val="Fuentedeprrafopredeter"/>
    <w:link w:val="Textoindependiente2"/>
    <w:rsid w:val="00FE5D4E"/>
    <w:rPr>
      <w:rFonts w:ascii="Arial" w:eastAsia="Times New Roman" w:hAnsi="Arial" w:cs="Times New Roman"/>
      <w:b/>
      <w:bCs/>
      <w:sz w:val="24"/>
      <w:szCs w:val="24"/>
      <w:lang w:eastAsia="es-ES"/>
    </w:rPr>
  </w:style>
  <w:style w:type="table" w:styleId="Listaclara-nfasis2">
    <w:name w:val="Light List Accent 2"/>
    <w:basedOn w:val="Tablanormal"/>
    <w:uiPriority w:val="61"/>
    <w:rsid w:val="00FE5D4E"/>
    <w:pPr>
      <w:spacing w:after="0" w:line="240" w:lineRule="auto"/>
    </w:pPr>
    <w:rPr>
      <w:lang w:val="es-E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o1-nfasis2">
    <w:name w:val="Medium Shading 1 Accent 2"/>
    <w:basedOn w:val="Tablanormal"/>
    <w:uiPriority w:val="63"/>
    <w:rsid w:val="00FE5D4E"/>
    <w:pPr>
      <w:spacing w:after="0" w:line="240" w:lineRule="auto"/>
    </w:pPr>
    <w:rPr>
      <w:lang w:val="es-E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FE5D4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E5D4E"/>
    <w:rPr>
      <w:rFonts w:ascii="Tahoma" w:hAnsi="Tahoma" w:cs="Tahoma"/>
      <w:sz w:val="16"/>
      <w:szCs w:val="16"/>
    </w:rPr>
  </w:style>
  <w:style w:type="paragraph" w:styleId="Encabezado">
    <w:name w:val="header"/>
    <w:basedOn w:val="Normal"/>
    <w:link w:val="EncabezadoCar"/>
    <w:rsid w:val="008C2B5C"/>
    <w:pPr>
      <w:tabs>
        <w:tab w:val="center" w:pos="4252"/>
        <w:tab w:val="right" w:pos="8504"/>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EncabezadoCar">
    <w:name w:val="Encabezado Car"/>
    <w:basedOn w:val="Fuentedeprrafopredeter"/>
    <w:link w:val="Encabezado"/>
    <w:rsid w:val="008C2B5C"/>
    <w:rPr>
      <w:rFonts w:ascii="Times New Roman" w:eastAsia="Times New Roman" w:hAnsi="Times New Roman" w:cs="Times New Roman"/>
      <w:sz w:val="24"/>
      <w:szCs w:val="20"/>
      <w:lang w:val="es-ES_tradnl" w:eastAsia="es-ES"/>
    </w:rPr>
  </w:style>
  <w:style w:type="paragraph" w:styleId="Epgrafe">
    <w:name w:val="caption"/>
    <w:basedOn w:val="Normal"/>
    <w:next w:val="Normal"/>
    <w:qFormat/>
    <w:rsid w:val="008C2B5C"/>
    <w:pPr>
      <w:spacing w:after="0" w:line="240" w:lineRule="auto"/>
      <w:jc w:val="center"/>
    </w:pPr>
    <w:rPr>
      <w:rFonts w:ascii="Americana BT" w:eastAsia="Times New Roman" w:hAnsi="Americana BT" w:cs="Times New Roman"/>
      <w:bCs/>
      <w:i/>
      <w:iCs/>
      <w:sz w:val="26"/>
      <w:szCs w:val="24"/>
      <w:lang w:val="es-ES_tradnl" w:eastAsia="es-ES"/>
    </w:rPr>
  </w:style>
  <w:style w:type="paragraph" w:customStyle="1" w:styleId="normalp">
    <w:name w:val="normalp"/>
    <w:basedOn w:val="Normal"/>
    <w:link w:val="normalpCar"/>
    <w:rsid w:val="0074062D"/>
    <w:pPr>
      <w:spacing w:before="33" w:after="100" w:afterAutospacing="1" w:line="240" w:lineRule="auto"/>
      <w:jc w:val="both"/>
    </w:pPr>
    <w:rPr>
      <w:rFonts w:ascii="Verdana" w:eastAsia="Times New Roman" w:hAnsi="Verdana" w:cs="Times New Roman"/>
      <w:color w:val="000000"/>
      <w:sz w:val="17"/>
      <w:szCs w:val="17"/>
      <w:lang w:val="es-ES" w:eastAsia="es-ES"/>
    </w:rPr>
  </w:style>
  <w:style w:type="character" w:customStyle="1" w:styleId="normalpCar">
    <w:name w:val="normalp Car"/>
    <w:link w:val="normalp"/>
    <w:rsid w:val="0074062D"/>
    <w:rPr>
      <w:rFonts w:ascii="Verdana" w:eastAsia="Times New Roman" w:hAnsi="Verdana" w:cs="Times New Roman"/>
      <w:color w:val="000000"/>
      <w:sz w:val="17"/>
      <w:szCs w:val="17"/>
      <w:lang w:val="es-ES" w:eastAsia="es-ES"/>
    </w:rPr>
  </w:style>
  <w:style w:type="paragraph" w:customStyle="1" w:styleId="Titulo1">
    <w:name w:val="Titulo 1"/>
    <w:basedOn w:val="Normal"/>
    <w:rsid w:val="0074062D"/>
    <w:pPr>
      <w:spacing w:after="0" w:line="240" w:lineRule="auto"/>
      <w:ind w:left="1526"/>
      <w:jc w:val="center"/>
      <w:outlineLvl w:val="0"/>
    </w:pPr>
    <w:rPr>
      <w:rFonts w:ascii="Tahoma" w:eastAsia="Times New Roman" w:hAnsi="Tahoma" w:cs="Tahoma"/>
      <w:b/>
      <w:sz w:val="24"/>
      <w:szCs w:val="24"/>
      <w:lang w:val="es-MX" w:eastAsia="es-ES"/>
    </w:rPr>
  </w:style>
  <w:style w:type="paragraph" w:styleId="NormalWeb">
    <w:name w:val="Normal (Web)"/>
    <w:basedOn w:val="Normal"/>
    <w:uiPriority w:val="99"/>
    <w:rsid w:val="0074062D"/>
    <w:pPr>
      <w:spacing w:after="100" w:afterAutospacing="1" w:line="240" w:lineRule="auto"/>
    </w:pPr>
    <w:rPr>
      <w:rFonts w:ascii="Times New Roman" w:eastAsia="Times New Roman" w:hAnsi="Times New Roman" w:cs="Times New Roman"/>
      <w:sz w:val="24"/>
      <w:szCs w:val="24"/>
      <w:lang w:val="es-ES_tradnl" w:eastAsia="es-ES_tradnl"/>
    </w:rPr>
  </w:style>
  <w:style w:type="paragraph" w:customStyle="1" w:styleId="textos">
    <w:name w:val="textos"/>
    <w:basedOn w:val="Normal"/>
    <w:rsid w:val="0074062D"/>
    <w:pPr>
      <w:spacing w:before="100" w:beforeAutospacing="1" w:after="100" w:afterAutospacing="1" w:line="240" w:lineRule="auto"/>
      <w:jc w:val="both"/>
    </w:pPr>
    <w:rPr>
      <w:rFonts w:ascii="Times New Roman" w:eastAsia="Times New Roman" w:hAnsi="Times New Roman" w:cs="Times New Roman"/>
      <w:color w:val="006699"/>
      <w:sz w:val="17"/>
      <w:szCs w:val="17"/>
      <w:lang w:val="es-ES" w:eastAsia="es-ES"/>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 Car1 Car Car, Car1,ft"/>
    <w:basedOn w:val="Normal"/>
    <w:link w:val="TextonotapieCar"/>
    <w:semiHidden/>
    <w:rsid w:val="00AE48CB"/>
    <w:pPr>
      <w:spacing w:after="0" w:line="240" w:lineRule="auto"/>
    </w:pPr>
    <w:rPr>
      <w:rFonts w:ascii="Eurostile" w:eastAsia="Times New Roman" w:hAnsi="Eurostile" w:cs="Times New Roman"/>
      <w:sz w:val="20"/>
      <w:szCs w:val="20"/>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semiHidden/>
    <w:rsid w:val="00AE48CB"/>
    <w:rPr>
      <w:rFonts w:ascii="Eurostile" w:eastAsia="Times New Roman" w:hAnsi="Eurostile" w:cs="Times New Roman"/>
      <w:sz w:val="20"/>
      <w:szCs w:val="20"/>
      <w:lang w:val="es-ES" w:eastAsia="es-ES"/>
    </w:rPr>
  </w:style>
  <w:style w:type="character" w:styleId="Refdenotaalpie">
    <w:name w:val="footnote reference"/>
    <w:semiHidden/>
    <w:rsid w:val="00AE48CB"/>
    <w:rPr>
      <w:vertAlign w:val="superscript"/>
    </w:rPr>
  </w:style>
  <w:style w:type="character" w:styleId="Textoennegrita">
    <w:name w:val="Strong"/>
    <w:uiPriority w:val="22"/>
    <w:qFormat/>
    <w:rsid w:val="00AE48CB"/>
    <w:rPr>
      <w:b/>
      <w:bCs/>
    </w:rPr>
  </w:style>
  <w:style w:type="paragraph" w:styleId="Piedepgina">
    <w:name w:val="footer"/>
    <w:basedOn w:val="Normal"/>
    <w:link w:val="PiedepginaCar"/>
    <w:uiPriority w:val="99"/>
    <w:unhideWhenUsed/>
    <w:rsid w:val="001D43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43EC"/>
  </w:style>
  <w:style w:type="paragraph" w:styleId="Sinespaciado">
    <w:name w:val="No Spacing"/>
    <w:link w:val="SinespaciadoCar"/>
    <w:qFormat/>
    <w:rsid w:val="00FD7CAB"/>
    <w:pPr>
      <w:spacing w:after="0" w:line="240" w:lineRule="auto"/>
    </w:pPr>
    <w:rPr>
      <w:rFonts w:ascii="Calibri" w:eastAsia="Calibri" w:hAnsi="Calibri" w:cs="Times New Roman"/>
    </w:rPr>
  </w:style>
  <w:style w:type="character" w:customStyle="1" w:styleId="SinespaciadoCar">
    <w:name w:val="Sin espaciado Car"/>
    <w:link w:val="Sinespaciado"/>
    <w:locked/>
    <w:rsid w:val="00FD7CAB"/>
    <w:rPr>
      <w:rFonts w:ascii="Calibri" w:eastAsia="Calibri" w:hAnsi="Calibri" w:cs="Times New Roman"/>
    </w:rPr>
  </w:style>
  <w:style w:type="table" w:styleId="Cuadrculaclara-nfasis3">
    <w:name w:val="Light Grid Accent 3"/>
    <w:basedOn w:val="Tablanormal"/>
    <w:uiPriority w:val="62"/>
    <w:rsid w:val="005771E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5771E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Hipervnculo">
    <w:name w:val="Hyperlink"/>
    <w:basedOn w:val="Fuentedeprrafopredeter"/>
    <w:rsid w:val="00241F41"/>
    <w:rPr>
      <w:color w:val="0000FF"/>
      <w:u w:val="single"/>
    </w:rPr>
  </w:style>
  <w:style w:type="paragraph" w:styleId="Textoindependiente">
    <w:name w:val="Body Text"/>
    <w:basedOn w:val="Normal"/>
    <w:link w:val="TextoindependienteCar"/>
    <w:rsid w:val="00241F41"/>
    <w:pPr>
      <w:spacing w:after="0" w:line="240" w:lineRule="auto"/>
      <w:jc w:val="both"/>
    </w:pPr>
    <w:rPr>
      <w:rFonts w:ascii="Tahoma" w:eastAsia="Times New Roman" w:hAnsi="Tahoma" w:cs="Tahoma"/>
      <w:sz w:val="28"/>
      <w:szCs w:val="24"/>
      <w:lang w:val="es-ES" w:eastAsia="es-ES"/>
    </w:rPr>
  </w:style>
  <w:style w:type="character" w:customStyle="1" w:styleId="TextoindependienteCar">
    <w:name w:val="Texto independiente Car"/>
    <w:basedOn w:val="Fuentedeprrafopredeter"/>
    <w:link w:val="Textoindependiente"/>
    <w:rsid w:val="00241F41"/>
    <w:rPr>
      <w:rFonts w:ascii="Tahoma" w:eastAsia="Times New Roman" w:hAnsi="Tahoma" w:cs="Tahoma"/>
      <w:sz w:val="28"/>
      <w:szCs w:val="24"/>
      <w:lang w:val="es-ES" w:eastAsia="es-ES"/>
    </w:rPr>
  </w:style>
  <w:style w:type="paragraph" w:styleId="Listaconvietas2">
    <w:name w:val="List Bullet 2"/>
    <w:basedOn w:val="Normal"/>
    <w:rsid w:val="00241F41"/>
    <w:pPr>
      <w:numPr>
        <w:numId w:val="17"/>
      </w:numPr>
      <w:spacing w:after="0" w:line="240" w:lineRule="auto"/>
    </w:pPr>
    <w:rPr>
      <w:rFonts w:ascii="Times New Roman" w:eastAsia="Times New Roman" w:hAnsi="Times New Roman" w:cs="Times New Roman"/>
      <w:sz w:val="24"/>
      <w:szCs w:val="24"/>
      <w:lang w:val="es-ES" w:eastAsia="es-ES"/>
    </w:rPr>
  </w:style>
  <w:style w:type="paragraph" w:customStyle="1" w:styleId="Lneadeasunto">
    <w:name w:val="Línea de asunto"/>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cuerpotexto">
    <w:name w:val="cuerpotexto"/>
    <w:basedOn w:val="Normal"/>
    <w:rsid w:val="00241F41"/>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Contenidodelatabla">
    <w:name w:val="Contenido de la tabla"/>
    <w:basedOn w:val="Normal"/>
    <w:rsid w:val="00241F41"/>
    <w:pPr>
      <w:widowControl w:val="0"/>
      <w:suppressLineNumbers/>
      <w:suppressAutoHyphens/>
      <w:spacing w:after="0" w:line="240" w:lineRule="auto"/>
    </w:pPr>
    <w:rPr>
      <w:rFonts w:ascii="Times New Roman" w:eastAsia="Lucida Sans Unicode" w:hAnsi="Times New Roman" w:cs="Times New Roman"/>
      <w:sz w:val="24"/>
      <w:szCs w:val="20"/>
      <w:lang w:eastAsia="es-ES"/>
    </w:rPr>
  </w:style>
  <w:style w:type="paragraph" w:styleId="Lista">
    <w:name w:val="List"/>
    <w:basedOn w:val="Normal"/>
    <w:rsid w:val="00241F41"/>
    <w:pPr>
      <w:spacing w:after="0" w:line="240" w:lineRule="auto"/>
      <w:ind w:left="283" w:hanging="283"/>
    </w:pPr>
    <w:rPr>
      <w:rFonts w:ascii="Times New Roman" w:eastAsia="Times New Roman" w:hAnsi="Times New Roman" w:cs="Times New Roman"/>
      <w:sz w:val="24"/>
      <w:szCs w:val="24"/>
      <w:lang w:val="es-ES" w:eastAsia="es-ES"/>
    </w:rPr>
  </w:style>
  <w:style w:type="paragraph" w:styleId="Lista2">
    <w:name w:val="List 2"/>
    <w:basedOn w:val="Normal"/>
    <w:rsid w:val="00241F41"/>
    <w:pPr>
      <w:spacing w:after="0" w:line="240" w:lineRule="auto"/>
      <w:ind w:left="566" w:hanging="283"/>
    </w:pPr>
    <w:rPr>
      <w:rFonts w:ascii="Times New Roman" w:eastAsia="Times New Roman" w:hAnsi="Times New Roman" w:cs="Times New Roman"/>
      <w:sz w:val="24"/>
      <w:szCs w:val="24"/>
      <w:lang w:val="es-ES" w:eastAsia="es-ES"/>
    </w:rPr>
  </w:style>
  <w:style w:type="paragraph" w:styleId="Lista3">
    <w:name w:val="List 3"/>
    <w:basedOn w:val="Normal"/>
    <w:rsid w:val="00241F41"/>
    <w:pPr>
      <w:spacing w:after="0" w:line="240" w:lineRule="auto"/>
      <w:ind w:left="849" w:hanging="283"/>
    </w:pPr>
    <w:rPr>
      <w:rFonts w:ascii="Times New Roman" w:eastAsia="Times New Roman" w:hAnsi="Times New Roman" w:cs="Times New Roman"/>
      <w:sz w:val="24"/>
      <w:szCs w:val="24"/>
      <w:lang w:val="es-ES" w:eastAsia="es-ES"/>
    </w:rPr>
  </w:style>
  <w:style w:type="paragraph" w:styleId="Lista4">
    <w:name w:val="List 4"/>
    <w:basedOn w:val="Normal"/>
    <w:rsid w:val="00241F41"/>
    <w:pPr>
      <w:spacing w:after="0" w:line="240" w:lineRule="auto"/>
      <w:ind w:left="1132" w:hanging="283"/>
    </w:pPr>
    <w:rPr>
      <w:rFonts w:ascii="Times New Roman" w:eastAsia="Times New Roman" w:hAnsi="Times New Roman" w:cs="Times New Roman"/>
      <w:sz w:val="24"/>
      <w:szCs w:val="24"/>
      <w:lang w:val="es-ES" w:eastAsia="es-ES"/>
    </w:rPr>
  </w:style>
  <w:style w:type="paragraph" w:styleId="Lista5">
    <w:name w:val="List 5"/>
    <w:basedOn w:val="Normal"/>
    <w:rsid w:val="00241F41"/>
    <w:pPr>
      <w:spacing w:after="0" w:line="240" w:lineRule="auto"/>
      <w:ind w:left="1415" w:hanging="283"/>
    </w:pPr>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rsid w:val="00241F4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241F41"/>
    <w:rPr>
      <w:rFonts w:ascii="Arial" w:eastAsia="Times New Roman" w:hAnsi="Arial" w:cs="Arial"/>
      <w:sz w:val="24"/>
      <w:szCs w:val="24"/>
      <w:shd w:val="pct20" w:color="auto" w:fill="auto"/>
      <w:lang w:val="es-ES" w:eastAsia="es-ES"/>
    </w:rPr>
  </w:style>
  <w:style w:type="paragraph" w:styleId="Saludo">
    <w:name w:val="Salutation"/>
    <w:basedOn w:val="Normal"/>
    <w:next w:val="Normal"/>
    <w:link w:val="SaludoCar"/>
    <w:rsid w:val="00241F41"/>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241F41"/>
    <w:rPr>
      <w:rFonts w:ascii="Times New Roman" w:eastAsia="Times New Roman" w:hAnsi="Times New Roman" w:cs="Times New Roman"/>
      <w:sz w:val="24"/>
      <w:szCs w:val="24"/>
      <w:lang w:val="es-ES" w:eastAsia="es-ES"/>
    </w:rPr>
  </w:style>
  <w:style w:type="paragraph" w:styleId="Cierre">
    <w:name w:val="Closing"/>
    <w:basedOn w:val="Normal"/>
    <w:link w:val="CierreCar"/>
    <w:rsid w:val="00241F41"/>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rsid w:val="00241F41"/>
    <w:rPr>
      <w:rFonts w:ascii="Times New Roman" w:eastAsia="Times New Roman" w:hAnsi="Times New Roman" w:cs="Times New Roman"/>
      <w:sz w:val="24"/>
      <w:szCs w:val="24"/>
      <w:lang w:val="es-ES" w:eastAsia="es-ES"/>
    </w:rPr>
  </w:style>
  <w:style w:type="paragraph" w:customStyle="1" w:styleId="ListaCC">
    <w:name w:val="Lista CC."/>
    <w:basedOn w:val="Normal"/>
    <w:rsid w:val="00241F41"/>
    <w:pPr>
      <w:spacing w:after="0" w:line="240" w:lineRule="auto"/>
    </w:pPr>
    <w:rPr>
      <w:rFonts w:ascii="Times New Roman" w:eastAsia="Times New Roman" w:hAnsi="Times New Roman" w:cs="Times New Roman"/>
      <w:sz w:val="24"/>
      <w:szCs w:val="24"/>
      <w:lang w:val="es-ES" w:eastAsia="es-ES"/>
    </w:rPr>
  </w:style>
  <w:style w:type="paragraph" w:styleId="Continuarlista4">
    <w:name w:val="List Continue 4"/>
    <w:basedOn w:val="Normal"/>
    <w:rsid w:val="00241F41"/>
    <w:pPr>
      <w:spacing w:after="120" w:line="240" w:lineRule="auto"/>
      <w:ind w:left="1132"/>
    </w:pPr>
    <w:rPr>
      <w:rFonts w:ascii="Times New Roman" w:eastAsia="Times New Roman" w:hAnsi="Times New Roman" w:cs="Times New Roman"/>
      <w:sz w:val="24"/>
      <w:szCs w:val="24"/>
      <w:lang w:val="es-ES" w:eastAsia="es-ES"/>
    </w:rPr>
  </w:style>
  <w:style w:type="paragraph" w:styleId="Firma">
    <w:name w:val="Signature"/>
    <w:basedOn w:val="Normal"/>
    <w:link w:val="FirmaCar"/>
    <w:rsid w:val="00241F41"/>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rsid w:val="00241F41"/>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41F41"/>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241F41"/>
    <w:rPr>
      <w:rFonts w:ascii="Times New Roman" w:eastAsia="Times New Roman" w:hAnsi="Times New Roman" w:cs="Times New Roman"/>
      <w:sz w:val="24"/>
      <w:szCs w:val="24"/>
      <w:lang w:val="es-ES" w:eastAsia="es-ES"/>
    </w:rPr>
  </w:style>
  <w:style w:type="paragraph" w:customStyle="1" w:styleId="Firmapuesto">
    <w:name w:val="Firma puesto"/>
    <w:basedOn w:val="Firma"/>
    <w:rsid w:val="00241F41"/>
  </w:style>
  <w:style w:type="paragraph" w:customStyle="1" w:styleId="Firmaorganizacin">
    <w:name w:val="Firma organización"/>
    <w:basedOn w:val="Firma"/>
    <w:rsid w:val="00241F41"/>
  </w:style>
  <w:style w:type="paragraph" w:styleId="Textoindependienteprimerasangra">
    <w:name w:val="Body Text First Indent"/>
    <w:basedOn w:val="Textoindependiente"/>
    <w:link w:val="TextoindependienteprimerasangraCar"/>
    <w:rsid w:val="00241F41"/>
    <w:pPr>
      <w:spacing w:after="120"/>
      <w:ind w:firstLine="210"/>
      <w:jc w:val="left"/>
    </w:pPr>
    <w:rPr>
      <w:rFonts w:ascii="Times New Roman" w:hAnsi="Times New Roman" w:cs="Times New Roman"/>
      <w:sz w:val="24"/>
    </w:rPr>
  </w:style>
  <w:style w:type="character" w:customStyle="1" w:styleId="TextoindependienteprimerasangraCar">
    <w:name w:val="Texto independiente primera sangría Car"/>
    <w:basedOn w:val="TextoindependienteCar"/>
    <w:link w:val="Textoindependienteprimerasangra"/>
    <w:rsid w:val="00241F41"/>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241F41"/>
    <w:pPr>
      <w:ind w:firstLine="210"/>
    </w:pPr>
  </w:style>
  <w:style w:type="character" w:customStyle="1" w:styleId="Textoindependienteprimerasangra2Car">
    <w:name w:val="Texto independiente primera sangría 2 Car"/>
    <w:basedOn w:val="SangradetextonormalCar"/>
    <w:link w:val="Textoindependienteprimerasangra2"/>
    <w:rsid w:val="00241F41"/>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241F41"/>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241F41"/>
    <w:rPr>
      <w:rFonts w:ascii="Times New Roman" w:eastAsia="Times New Roman" w:hAnsi="Times New Roman" w:cs="Times New Roman"/>
      <w:sz w:val="24"/>
      <w:szCs w:val="24"/>
      <w:lang w:val="es-ES" w:eastAsia="es-ES"/>
    </w:rPr>
  </w:style>
  <w:style w:type="paragraph" w:styleId="Listaconvietas">
    <w:name w:val="List Bullet"/>
    <w:basedOn w:val="Normal"/>
    <w:rsid w:val="00241F41"/>
    <w:pPr>
      <w:numPr>
        <w:numId w:val="18"/>
      </w:numPr>
      <w:spacing w:after="0" w:line="240" w:lineRule="auto"/>
    </w:pPr>
    <w:rPr>
      <w:rFonts w:ascii="Times New Roman" w:eastAsia="Times New Roman" w:hAnsi="Times New Roman" w:cs="Times New Roman"/>
      <w:sz w:val="24"/>
      <w:szCs w:val="24"/>
      <w:lang w:val="es-ES" w:eastAsia="es-ES"/>
    </w:rPr>
  </w:style>
  <w:style w:type="paragraph" w:styleId="Listaconvietas4">
    <w:name w:val="List Bullet 4"/>
    <w:basedOn w:val="Normal"/>
    <w:rsid w:val="00241F41"/>
    <w:pPr>
      <w:numPr>
        <w:numId w:val="19"/>
      </w:numPr>
      <w:spacing w:after="0" w:line="240" w:lineRule="auto"/>
    </w:pPr>
    <w:rPr>
      <w:rFonts w:ascii="Times New Roman" w:eastAsia="Times New Roman" w:hAnsi="Times New Roman" w:cs="Times New Roman"/>
      <w:sz w:val="24"/>
      <w:szCs w:val="24"/>
      <w:lang w:val="es-ES" w:eastAsia="es-ES"/>
    </w:rPr>
  </w:style>
  <w:style w:type="paragraph" w:styleId="Continuarlista3">
    <w:name w:val="List Continue 3"/>
    <w:basedOn w:val="Normal"/>
    <w:rsid w:val="00241F41"/>
    <w:pPr>
      <w:spacing w:after="120" w:line="240" w:lineRule="auto"/>
      <w:ind w:left="849"/>
    </w:pPr>
    <w:rPr>
      <w:rFonts w:ascii="Times New Roman" w:eastAsia="Times New Roman" w:hAnsi="Times New Roman" w:cs="Times New Roman"/>
      <w:sz w:val="24"/>
      <w:szCs w:val="24"/>
      <w:lang w:val="es-ES" w:eastAsia="es-ES"/>
    </w:rPr>
  </w:style>
  <w:style w:type="paragraph" w:customStyle="1" w:styleId="Infodocumentosadjuntos">
    <w:name w:val="Info documentos adjuntos"/>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MINUTAS">
    <w:name w:val="MINUTAS"/>
    <w:rsid w:val="00241F41"/>
    <w:pPr>
      <w:autoSpaceDE w:val="0"/>
      <w:autoSpaceDN w:val="0"/>
      <w:spacing w:before="170" w:after="0" w:line="240" w:lineRule="auto"/>
      <w:ind w:left="170" w:right="170"/>
      <w:jc w:val="both"/>
    </w:pPr>
    <w:rPr>
      <w:rFonts w:ascii="Helvetica" w:eastAsia="Times New Roman" w:hAnsi="Helvetica" w:cs="Helvetica"/>
      <w:sz w:val="20"/>
      <w:szCs w:val="20"/>
      <w:lang w:val="en-US" w:eastAsia="es-ES"/>
    </w:rPr>
  </w:style>
  <w:style w:type="paragraph" w:styleId="Textoindependiente3">
    <w:name w:val="Body Text 3"/>
    <w:basedOn w:val="Normal"/>
    <w:link w:val="Textoindependiente3Car"/>
    <w:rsid w:val="00241F41"/>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241F41"/>
    <w:rPr>
      <w:rFonts w:ascii="Times New Roman" w:eastAsia="Times New Roman" w:hAnsi="Times New Roman" w:cs="Times New Roman"/>
      <w:sz w:val="16"/>
      <w:szCs w:val="16"/>
      <w:lang w:val="es-ES" w:eastAsia="es-ES"/>
    </w:rPr>
  </w:style>
  <w:style w:type="paragraph" w:styleId="Continuarlista">
    <w:name w:val="List Continue"/>
    <w:basedOn w:val="Normal"/>
    <w:rsid w:val="00241F41"/>
    <w:pPr>
      <w:spacing w:after="120" w:line="240" w:lineRule="auto"/>
      <w:ind w:left="283"/>
    </w:pPr>
    <w:rPr>
      <w:rFonts w:ascii="Times New Roman" w:eastAsia="Times New Roman" w:hAnsi="Times New Roman" w:cs="Times New Roman"/>
      <w:sz w:val="24"/>
      <w:szCs w:val="24"/>
      <w:lang w:val="es-ES" w:eastAsia="es-ES"/>
    </w:rPr>
  </w:style>
  <w:style w:type="paragraph" w:customStyle="1" w:styleId="Direccininterior">
    <w:name w:val="Dirección interior"/>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CarCarCar">
    <w:name w:val="Car Car Car"/>
    <w:basedOn w:val="Normal"/>
    <w:semiHidden/>
    <w:rsid w:val="00241F41"/>
    <w:pPr>
      <w:spacing w:after="160" w:line="240" w:lineRule="exact"/>
      <w:jc w:val="both"/>
    </w:pPr>
    <w:rPr>
      <w:rFonts w:ascii="Verdana" w:eastAsia="Times New Roman" w:hAnsi="Verdana" w:cs="Times New Roman"/>
      <w:b/>
      <w:sz w:val="20"/>
      <w:szCs w:val="24"/>
      <w:lang w:val="en-US"/>
    </w:rPr>
  </w:style>
  <w:style w:type="character" w:customStyle="1" w:styleId="email">
    <w:name w:val="email"/>
    <w:basedOn w:val="Fuentedeprrafopredeter"/>
    <w:rsid w:val="00241F41"/>
  </w:style>
  <w:style w:type="character" w:customStyle="1" w:styleId="offscreen">
    <w:name w:val="offscreen"/>
    <w:basedOn w:val="Fuentedeprrafopredeter"/>
    <w:rsid w:val="00241F41"/>
  </w:style>
  <w:style w:type="character" w:styleId="nfasis">
    <w:name w:val="Emphasis"/>
    <w:basedOn w:val="Fuentedeprrafopredeter"/>
    <w:qFormat/>
    <w:rsid w:val="00241F41"/>
    <w:rPr>
      <w:rFonts w:ascii="Arial" w:hAnsi="Arial"/>
      <w:i/>
      <w:iCs/>
    </w:rPr>
  </w:style>
  <w:style w:type="paragraph" w:customStyle="1" w:styleId="NUMTITULOS">
    <w:name w:val="NUM. TITULOS"/>
    <w:rsid w:val="00241F41"/>
    <w:pPr>
      <w:tabs>
        <w:tab w:val="left" w:pos="397"/>
      </w:tabs>
      <w:autoSpaceDE w:val="0"/>
      <w:autoSpaceDN w:val="0"/>
      <w:spacing w:before="680" w:after="0" w:line="240" w:lineRule="auto"/>
      <w:ind w:left="397" w:hanging="397"/>
    </w:pPr>
    <w:rPr>
      <w:rFonts w:ascii="Times" w:eastAsia="Times New Roman" w:hAnsi="Times" w:cs="Times"/>
      <w:caps/>
      <w:lang w:val="en-US" w:eastAsia="es-ES"/>
    </w:rPr>
  </w:style>
  <w:style w:type="paragraph" w:styleId="Subttulo">
    <w:name w:val="Subtitle"/>
    <w:basedOn w:val="Normal"/>
    <w:link w:val="SubttuloCar"/>
    <w:qFormat/>
    <w:rsid w:val="00241F41"/>
    <w:pPr>
      <w:spacing w:after="0" w:line="240" w:lineRule="auto"/>
      <w:jc w:val="both"/>
    </w:pPr>
    <w:rPr>
      <w:rFonts w:ascii="Arial" w:eastAsia="Times New Roman" w:hAnsi="Arial" w:cs="Times New Roman"/>
      <w:b/>
      <w:sz w:val="24"/>
      <w:szCs w:val="20"/>
      <w:lang w:val="es-MX" w:eastAsia="es-ES"/>
    </w:rPr>
  </w:style>
  <w:style w:type="character" w:customStyle="1" w:styleId="SubttuloCar">
    <w:name w:val="Subtítulo Car"/>
    <w:basedOn w:val="Fuentedeprrafopredeter"/>
    <w:link w:val="Subttulo"/>
    <w:rsid w:val="00241F41"/>
    <w:rPr>
      <w:rFonts w:ascii="Arial" w:eastAsia="Times New Roman" w:hAnsi="Arial" w:cs="Times New Roman"/>
      <w:b/>
      <w:sz w:val="24"/>
      <w:szCs w:val="20"/>
      <w:lang w:val="es-MX" w:eastAsia="es-ES"/>
    </w:rPr>
  </w:style>
  <w:style w:type="paragraph" w:styleId="Listaconvietas3">
    <w:name w:val="List Bullet 3"/>
    <w:basedOn w:val="Normal"/>
    <w:rsid w:val="00241F41"/>
    <w:pPr>
      <w:numPr>
        <w:numId w:val="20"/>
      </w:numPr>
    </w:pPr>
    <w:rPr>
      <w:rFonts w:ascii="Calibri" w:eastAsia="Calibri" w:hAnsi="Calibri" w:cs="Times New Roman"/>
      <w:lang w:val="es-ES"/>
    </w:rPr>
  </w:style>
  <w:style w:type="paragraph" w:styleId="Continuarlista2">
    <w:name w:val="List Continue 2"/>
    <w:basedOn w:val="Normal"/>
    <w:rsid w:val="00241F41"/>
    <w:pPr>
      <w:spacing w:after="120"/>
      <w:ind w:left="566"/>
    </w:pPr>
    <w:rPr>
      <w:rFonts w:ascii="Calibri" w:eastAsia="Calibri" w:hAnsi="Calibri" w:cs="Times New Roman"/>
      <w:lang w:val="es-ES"/>
    </w:rPr>
  </w:style>
  <w:style w:type="paragraph" w:customStyle="1" w:styleId="Lneadereferencia">
    <w:name w:val="Línea de referencia"/>
    <w:basedOn w:val="Textoindependiente"/>
    <w:rsid w:val="00241F41"/>
  </w:style>
  <w:style w:type="paragraph" w:customStyle="1" w:styleId="Textopredeterminado">
    <w:name w:val="Texto predeterminado"/>
    <w:basedOn w:val="Normal"/>
    <w:rsid w:val="00241F41"/>
    <w:pPr>
      <w:tabs>
        <w:tab w:val="left" w:pos="0"/>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s-MX" w:eastAsia="es-CO"/>
    </w:rPr>
  </w:style>
  <w:style w:type="character" w:customStyle="1" w:styleId="estilo6">
    <w:name w:val="estilo6"/>
    <w:basedOn w:val="Fuentedeprrafopredeter"/>
    <w:rsid w:val="00241F41"/>
  </w:style>
  <w:style w:type="paragraph" w:customStyle="1" w:styleId="Predeterminado">
    <w:name w:val="Predeterminado"/>
    <w:uiPriority w:val="99"/>
    <w:rsid w:val="00241F41"/>
    <w:pPr>
      <w:tabs>
        <w:tab w:val="left" w:pos="709"/>
      </w:tabs>
      <w:suppressAutoHyphens/>
      <w:spacing w:after="0" w:line="100" w:lineRule="atLeast"/>
    </w:pPr>
    <w:rPr>
      <w:rFonts w:ascii="Calibri" w:eastAsia="Times New Roman" w:hAnsi="Calibri" w:cs="Calibri"/>
      <w:color w:val="00000A"/>
      <w:sz w:val="24"/>
      <w:szCs w:val="24"/>
      <w:lang w:val="es-ES" w:eastAsia="es-ES"/>
    </w:rPr>
  </w:style>
  <w:style w:type="paragraph" w:customStyle="1" w:styleId="Encabezado8">
    <w:name w:val="Encabezado 8"/>
    <w:basedOn w:val="Predeterminado"/>
    <w:next w:val="Normal"/>
    <w:uiPriority w:val="99"/>
    <w:rsid w:val="00241F41"/>
    <w:pPr>
      <w:keepNext/>
      <w:spacing w:before="200"/>
      <w:ind w:left="1440" w:hanging="1440"/>
      <w:outlineLvl w:val="7"/>
    </w:pPr>
    <w:rPr>
      <w:rFonts w:ascii="Cambria" w:hAnsi="Cambria" w:cs="Cambria"/>
      <w:b/>
      <w:bCs/>
      <w:color w:val="404040"/>
      <w:sz w:val="20"/>
      <w:szCs w:val="20"/>
    </w:rPr>
  </w:style>
  <w:style w:type="table" w:styleId="Tablamoderna">
    <w:name w:val="Table Contemporary"/>
    <w:basedOn w:val="Tablanormal"/>
    <w:rsid w:val="00241F41"/>
    <w:pPr>
      <w:spacing w:after="0" w:line="240" w:lineRule="auto"/>
      <w:jc w:val="center"/>
    </w:pPr>
    <w:rPr>
      <w:rFonts w:ascii="Tahoma" w:eastAsia="Times New Roman" w:hAnsi="Tahoma" w:cs="Times New Roman"/>
      <w:b/>
      <w:sz w:val="24"/>
      <w:szCs w:val="20"/>
      <w:lang w:val="es-ES_tradnl" w:eastAsia="es-ES_tradnl"/>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33CCCC"/>
      <w:vAlign w:val="cente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tulo">
    <w:name w:val="Title"/>
    <w:basedOn w:val="Normal"/>
    <w:link w:val="TtuloCar"/>
    <w:qFormat/>
    <w:rsid w:val="00241F41"/>
    <w:pPr>
      <w:spacing w:before="240" w:after="60" w:line="240" w:lineRule="auto"/>
      <w:jc w:val="center"/>
      <w:outlineLvl w:val="0"/>
    </w:pPr>
    <w:rPr>
      <w:rFonts w:ascii="Arial" w:eastAsia="Times New Roman" w:hAnsi="Arial" w:cs="Arial"/>
      <w:b/>
      <w:bCs/>
      <w:kern w:val="28"/>
      <w:sz w:val="32"/>
      <w:szCs w:val="32"/>
      <w:lang w:val="es-ES" w:eastAsia="es-ES"/>
    </w:rPr>
  </w:style>
  <w:style w:type="character" w:customStyle="1" w:styleId="TtuloCar">
    <w:name w:val="Título Car"/>
    <w:basedOn w:val="Fuentedeprrafopredeter"/>
    <w:link w:val="Ttulo"/>
    <w:rsid w:val="00241F41"/>
    <w:rPr>
      <w:rFonts w:ascii="Arial" w:eastAsia="Times New Roman" w:hAnsi="Arial" w:cs="Arial"/>
      <w:b/>
      <w:bCs/>
      <w:kern w:val="28"/>
      <w:sz w:val="32"/>
      <w:szCs w:val="32"/>
      <w:lang w:val="es-ES" w:eastAsia="es-ES"/>
    </w:rPr>
  </w:style>
  <w:style w:type="paragraph" w:customStyle="1" w:styleId="Titulo3">
    <w:name w:val="Titulo 3"/>
    <w:basedOn w:val="Normal"/>
    <w:link w:val="Titulo3Car"/>
    <w:rsid w:val="00241F41"/>
    <w:pPr>
      <w:spacing w:after="0" w:line="240" w:lineRule="auto"/>
    </w:pPr>
    <w:rPr>
      <w:rFonts w:ascii="Eurostile" w:eastAsia="Times New Roman" w:hAnsi="Eurostile" w:cs="Times New Roman"/>
      <w:sz w:val="28"/>
      <w:szCs w:val="20"/>
      <w:lang w:val="es-ES" w:eastAsia="es-ES"/>
    </w:rPr>
  </w:style>
  <w:style w:type="character" w:customStyle="1" w:styleId="Titulo3Car">
    <w:name w:val="Titulo 3 Car"/>
    <w:link w:val="Titulo3"/>
    <w:rsid w:val="00241F41"/>
    <w:rPr>
      <w:rFonts w:ascii="Eurostile" w:eastAsia="Times New Roman" w:hAnsi="Eurostile" w:cs="Times New Roman"/>
      <w:sz w:val="28"/>
      <w:szCs w:val="20"/>
      <w:lang w:val="es-ES" w:eastAsia="es-ES"/>
    </w:rPr>
  </w:style>
  <w:style w:type="paragraph" w:customStyle="1" w:styleId="Titulo4">
    <w:name w:val="Titulo 4"/>
    <w:basedOn w:val="Normal"/>
    <w:rsid w:val="00241F41"/>
    <w:pPr>
      <w:spacing w:after="0" w:line="240" w:lineRule="auto"/>
      <w:jc w:val="both"/>
    </w:pPr>
    <w:rPr>
      <w:rFonts w:ascii="Eurostile" w:eastAsia="Times New Roman" w:hAnsi="Eurostile" w:cs="Times New Roman"/>
      <w:sz w:val="28"/>
      <w:szCs w:val="20"/>
      <w:lang w:val="es-ES" w:eastAsia="es-ES"/>
    </w:rPr>
  </w:style>
  <w:style w:type="character" w:customStyle="1" w:styleId="CarCar5">
    <w:name w:val="Car Car5"/>
    <w:rsid w:val="00241F41"/>
    <w:rPr>
      <w:rFonts w:ascii="Arial" w:hAnsi="Arial" w:cs="Arial"/>
      <w:b/>
      <w:bCs/>
      <w:i/>
      <w:iCs/>
      <w:sz w:val="28"/>
      <w:szCs w:val="28"/>
      <w:lang w:val="es-ES" w:eastAsia="es-ES" w:bidi="ar-SA"/>
    </w:rPr>
  </w:style>
  <w:style w:type="paragraph" w:customStyle="1" w:styleId="negronormal">
    <w:name w:val="negronormal"/>
    <w:basedOn w:val="Normal"/>
    <w:rsid w:val="00241F41"/>
    <w:pPr>
      <w:spacing w:before="100" w:beforeAutospacing="1" w:after="100" w:afterAutospacing="1" w:line="240" w:lineRule="auto"/>
    </w:pPr>
    <w:rPr>
      <w:rFonts w:ascii="Verdana" w:eastAsia="Times New Roman" w:hAnsi="Verdana" w:cs="Times New Roman"/>
      <w:color w:val="000000"/>
      <w:sz w:val="20"/>
      <w:szCs w:val="20"/>
      <w:lang w:val="es-ES" w:eastAsia="es-ES"/>
    </w:rPr>
  </w:style>
  <w:style w:type="paragraph" w:customStyle="1" w:styleId="textoarticulocompletop">
    <w:name w:val="textoarticulocompletop"/>
    <w:basedOn w:val="Normal"/>
    <w:rsid w:val="00241F41"/>
    <w:pPr>
      <w:spacing w:before="100" w:beforeAutospacing="1" w:after="100" w:afterAutospacing="1" w:line="240" w:lineRule="auto"/>
      <w:jc w:val="both"/>
    </w:pPr>
    <w:rPr>
      <w:rFonts w:ascii="Verdana" w:eastAsia="Times New Roman" w:hAnsi="Verdana" w:cs="Times New Roman"/>
      <w:color w:val="000000"/>
      <w:sz w:val="18"/>
      <w:szCs w:val="18"/>
      <w:lang w:val="es-ES" w:eastAsia="es-ES"/>
    </w:rPr>
  </w:style>
  <w:style w:type="character" w:customStyle="1" w:styleId="A13">
    <w:name w:val="A13"/>
    <w:rsid w:val="00241F41"/>
    <w:rPr>
      <w:rFonts w:cs="Swiss 72 1 BT"/>
      <w:color w:val="000000"/>
      <w:sz w:val="18"/>
      <w:szCs w:val="18"/>
    </w:rPr>
  </w:style>
  <w:style w:type="character" w:customStyle="1" w:styleId="style161">
    <w:name w:val="style161"/>
    <w:rsid w:val="00241F41"/>
    <w:rPr>
      <w:rFonts w:ascii="Verdana" w:hAnsi="Verdana" w:hint="default"/>
      <w:color w:val="FFFFFF"/>
      <w:sz w:val="24"/>
      <w:szCs w:val="24"/>
    </w:rPr>
  </w:style>
  <w:style w:type="paragraph" w:customStyle="1" w:styleId="spip">
    <w:name w:val="spip"/>
    <w:basedOn w:val="Normal"/>
    <w:rsid w:val="00241F41"/>
    <w:pPr>
      <w:spacing w:before="100" w:beforeAutospacing="1" w:after="100" w:afterAutospacing="1" w:line="240" w:lineRule="auto"/>
    </w:pPr>
    <w:rPr>
      <w:rFonts w:ascii="Arial" w:eastAsia="Times New Roman" w:hAnsi="Arial" w:cs="Arial"/>
      <w:color w:val="000000"/>
      <w:sz w:val="20"/>
      <w:szCs w:val="20"/>
      <w:lang w:val="es-ES" w:eastAsia="es-ES"/>
    </w:rPr>
  </w:style>
  <w:style w:type="paragraph" w:customStyle="1" w:styleId="ciarticulocompletop">
    <w:name w:val="ciarticulocompletop"/>
    <w:basedOn w:val="Normal"/>
    <w:rsid w:val="00241F41"/>
    <w:pPr>
      <w:spacing w:before="100" w:beforeAutospacing="1" w:after="100" w:afterAutospacing="1" w:line="240" w:lineRule="auto"/>
    </w:pPr>
    <w:rPr>
      <w:rFonts w:ascii="Verdana" w:eastAsia="Times New Roman" w:hAnsi="Verdana" w:cs="Times New Roman"/>
      <w:color w:val="000000"/>
      <w:sz w:val="18"/>
      <w:szCs w:val="18"/>
      <w:lang w:val="es-ES" w:eastAsia="es-ES"/>
    </w:rPr>
  </w:style>
  <w:style w:type="paragraph" w:customStyle="1" w:styleId="CarCarCar1">
    <w:name w:val="Car Car Car1"/>
    <w:basedOn w:val="Normal"/>
    <w:semiHidden/>
    <w:rsid w:val="00241F41"/>
    <w:pPr>
      <w:spacing w:after="160" w:line="240" w:lineRule="exact"/>
      <w:jc w:val="both"/>
    </w:pPr>
    <w:rPr>
      <w:rFonts w:ascii="Verdana" w:eastAsia="Times New Roman" w:hAnsi="Verdana" w:cs="Times New Roman"/>
      <w:b/>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Table Contemporary"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1160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8C2B5C"/>
    <w:pPr>
      <w:keepNext/>
      <w:keepLines/>
      <w:spacing w:before="200" w:after="0" w:line="360" w:lineRule="auto"/>
      <w:outlineLvl w:val="1"/>
    </w:pPr>
    <w:rPr>
      <w:rFonts w:ascii="Arial" w:eastAsiaTheme="majorEastAsia" w:hAnsi="Arial" w:cstheme="majorBidi"/>
      <w:b/>
      <w:bCs/>
      <w:i/>
      <w:sz w:val="24"/>
      <w:szCs w:val="26"/>
    </w:rPr>
  </w:style>
  <w:style w:type="paragraph" w:styleId="Ttulo3">
    <w:name w:val="heading 3"/>
    <w:basedOn w:val="Normal"/>
    <w:next w:val="Normal"/>
    <w:link w:val="Ttulo3Car"/>
    <w:qFormat/>
    <w:rsid w:val="00241F41"/>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qFormat/>
    <w:rsid w:val="00241F41"/>
    <w:pPr>
      <w:keepNext/>
      <w:spacing w:before="240" w:after="60"/>
      <w:outlineLvl w:val="3"/>
    </w:pPr>
    <w:rPr>
      <w:rFonts w:ascii="Times New Roman" w:eastAsia="Calibri" w:hAnsi="Times New Roman" w:cs="Times New Roman"/>
      <w:b/>
      <w:bCs/>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1602C"/>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rsid w:val="008C2B5C"/>
    <w:rPr>
      <w:rFonts w:ascii="Arial" w:eastAsiaTheme="majorEastAsia" w:hAnsi="Arial" w:cstheme="majorBidi"/>
      <w:b/>
      <w:bCs/>
      <w:i/>
      <w:sz w:val="24"/>
      <w:szCs w:val="26"/>
    </w:rPr>
  </w:style>
  <w:style w:type="character" w:customStyle="1" w:styleId="Ttulo3Car">
    <w:name w:val="Título 3 Car"/>
    <w:basedOn w:val="Fuentedeprrafopredeter"/>
    <w:link w:val="Ttulo3"/>
    <w:rsid w:val="00241F41"/>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241F41"/>
    <w:rPr>
      <w:rFonts w:ascii="Times New Roman" w:eastAsia="Calibri" w:hAnsi="Times New Roman" w:cs="Times New Roman"/>
      <w:b/>
      <w:bCs/>
      <w:sz w:val="28"/>
      <w:szCs w:val="28"/>
      <w:lang w:val="es-ES"/>
    </w:rPr>
  </w:style>
  <w:style w:type="paragraph" w:styleId="Prrafodelista">
    <w:name w:val="List Paragraph"/>
    <w:basedOn w:val="Normal"/>
    <w:uiPriority w:val="34"/>
    <w:qFormat/>
    <w:rsid w:val="00F37D60"/>
    <w:pPr>
      <w:ind w:left="720"/>
      <w:contextualSpacing/>
    </w:pPr>
  </w:style>
  <w:style w:type="paragraph" w:customStyle="1" w:styleId="Default">
    <w:name w:val="Default"/>
    <w:rsid w:val="00FE5D4E"/>
    <w:pPr>
      <w:autoSpaceDE w:val="0"/>
      <w:autoSpaceDN w:val="0"/>
      <w:adjustRightInd w:val="0"/>
      <w:spacing w:after="0" w:line="240" w:lineRule="auto"/>
    </w:pPr>
    <w:rPr>
      <w:rFonts w:ascii="Maiandra GD" w:hAnsi="Maiandra GD" w:cs="Maiandra GD"/>
      <w:color w:val="000000"/>
      <w:sz w:val="24"/>
      <w:szCs w:val="24"/>
      <w:lang w:val="es-AR"/>
    </w:rPr>
  </w:style>
  <w:style w:type="table" w:styleId="Tablaconcuadrcula">
    <w:name w:val="Table Grid"/>
    <w:basedOn w:val="Tablanormal"/>
    <w:uiPriority w:val="59"/>
    <w:rsid w:val="00FE5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2">
    <w:name w:val="Body Text 2"/>
    <w:basedOn w:val="Normal"/>
    <w:link w:val="Textoindependiente2Car"/>
    <w:rsid w:val="00FE5D4E"/>
    <w:pPr>
      <w:spacing w:after="0" w:line="240" w:lineRule="auto"/>
      <w:jc w:val="both"/>
    </w:pPr>
    <w:rPr>
      <w:rFonts w:ascii="Arial" w:eastAsia="Times New Roman" w:hAnsi="Arial" w:cs="Times New Roman"/>
      <w:b/>
      <w:bCs/>
      <w:sz w:val="24"/>
      <w:szCs w:val="24"/>
      <w:lang w:eastAsia="es-ES"/>
    </w:rPr>
  </w:style>
  <w:style w:type="character" w:customStyle="1" w:styleId="Textoindependiente2Car">
    <w:name w:val="Texto independiente 2 Car"/>
    <w:basedOn w:val="Fuentedeprrafopredeter"/>
    <w:link w:val="Textoindependiente2"/>
    <w:rsid w:val="00FE5D4E"/>
    <w:rPr>
      <w:rFonts w:ascii="Arial" w:eastAsia="Times New Roman" w:hAnsi="Arial" w:cs="Times New Roman"/>
      <w:b/>
      <w:bCs/>
      <w:sz w:val="24"/>
      <w:szCs w:val="24"/>
      <w:lang w:eastAsia="es-ES"/>
    </w:rPr>
  </w:style>
  <w:style w:type="table" w:styleId="Listaclara-nfasis2">
    <w:name w:val="Light List Accent 2"/>
    <w:basedOn w:val="Tablanormal"/>
    <w:uiPriority w:val="61"/>
    <w:rsid w:val="00FE5D4E"/>
    <w:pPr>
      <w:spacing w:after="0" w:line="240" w:lineRule="auto"/>
    </w:pPr>
    <w:rPr>
      <w:lang w:val="es-E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ombreadomedio1-nfasis2">
    <w:name w:val="Medium Shading 1 Accent 2"/>
    <w:basedOn w:val="Tablanormal"/>
    <w:uiPriority w:val="63"/>
    <w:rsid w:val="00FE5D4E"/>
    <w:pPr>
      <w:spacing w:after="0" w:line="240" w:lineRule="auto"/>
    </w:pPr>
    <w:rPr>
      <w:lang w:val="es-E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FE5D4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E5D4E"/>
    <w:rPr>
      <w:rFonts w:ascii="Tahoma" w:hAnsi="Tahoma" w:cs="Tahoma"/>
      <w:sz w:val="16"/>
      <w:szCs w:val="16"/>
    </w:rPr>
  </w:style>
  <w:style w:type="paragraph" w:styleId="Encabezado">
    <w:name w:val="header"/>
    <w:basedOn w:val="Normal"/>
    <w:link w:val="EncabezadoCar"/>
    <w:rsid w:val="008C2B5C"/>
    <w:pPr>
      <w:tabs>
        <w:tab w:val="center" w:pos="4252"/>
        <w:tab w:val="right" w:pos="8504"/>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EncabezadoCar">
    <w:name w:val="Encabezado Car"/>
    <w:basedOn w:val="Fuentedeprrafopredeter"/>
    <w:link w:val="Encabezado"/>
    <w:rsid w:val="008C2B5C"/>
    <w:rPr>
      <w:rFonts w:ascii="Times New Roman" w:eastAsia="Times New Roman" w:hAnsi="Times New Roman" w:cs="Times New Roman"/>
      <w:sz w:val="24"/>
      <w:szCs w:val="20"/>
      <w:lang w:val="es-ES_tradnl" w:eastAsia="es-ES"/>
    </w:rPr>
  </w:style>
  <w:style w:type="paragraph" w:styleId="Epgrafe">
    <w:name w:val="caption"/>
    <w:basedOn w:val="Normal"/>
    <w:next w:val="Normal"/>
    <w:qFormat/>
    <w:rsid w:val="008C2B5C"/>
    <w:pPr>
      <w:spacing w:after="0" w:line="240" w:lineRule="auto"/>
      <w:jc w:val="center"/>
    </w:pPr>
    <w:rPr>
      <w:rFonts w:ascii="Americana BT" w:eastAsia="Times New Roman" w:hAnsi="Americana BT" w:cs="Times New Roman"/>
      <w:bCs/>
      <w:i/>
      <w:iCs/>
      <w:sz w:val="26"/>
      <w:szCs w:val="24"/>
      <w:lang w:val="es-ES_tradnl" w:eastAsia="es-ES"/>
    </w:rPr>
  </w:style>
  <w:style w:type="paragraph" w:customStyle="1" w:styleId="normalp">
    <w:name w:val="normalp"/>
    <w:basedOn w:val="Normal"/>
    <w:link w:val="normalpCar"/>
    <w:rsid w:val="0074062D"/>
    <w:pPr>
      <w:spacing w:before="33" w:after="100" w:afterAutospacing="1" w:line="240" w:lineRule="auto"/>
      <w:jc w:val="both"/>
    </w:pPr>
    <w:rPr>
      <w:rFonts w:ascii="Verdana" w:eastAsia="Times New Roman" w:hAnsi="Verdana" w:cs="Times New Roman"/>
      <w:color w:val="000000"/>
      <w:sz w:val="17"/>
      <w:szCs w:val="17"/>
      <w:lang w:val="es-ES" w:eastAsia="es-ES"/>
    </w:rPr>
  </w:style>
  <w:style w:type="character" w:customStyle="1" w:styleId="normalpCar">
    <w:name w:val="normalp Car"/>
    <w:link w:val="normalp"/>
    <w:rsid w:val="0074062D"/>
    <w:rPr>
      <w:rFonts w:ascii="Verdana" w:eastAsia="Times New Roman" w:hAnsi="Verdana" w:cs="Times New Roman"/>
      <w:color w:val="000000"/>
      <w:sz w:val="17"/>
      <w:szCs w:val="17"/>
      <w:lang w:val="es-ES" w:eastAsia="es-ES"/>
    </w:rPr>
  </w:style>
  <w:style w:type="paragraph" w:customStyle="1" w:styleId="Titulo1">
    <w:name w:val="Titulo 1"/>
    <w:basedOn w:val="Normal"/>
    <w:rsid w:val="0074062D"/>
    <w:pPr>
      <w:spacing w:after="0" w:line="240" w:lineRule="auto"/>
      <w:ind w:left="1526"/>
      <w:jc w:val="center"/>
      <w:outlineLvl w:val="0"/>
    </w:pPr>
    <w:rPr>
      <w:rFonts w:ascii="Tahoma" w:eastAsia="Times New Roman" w:hAnsi="Tahoma" w:cs="Tahoma"/>
      <w:b/>
      <w:sz w:val="24"/>
      <w:szCs w:val="24"/>
      <w:lang w:val="es-MX" w:eastAsia="es-ES"/>
    </w:rPr>
  </w:style>
  <w:style w:type="paragraph" w:styleId="NormalWeb">
    <w:name w:val="Normal (Web)"/>
    <w:basedOn w:val="Normal"/>
    <w:uiPriority w:val="99"/>
    <w:rsid w:val="0074062D"/>
    <w:pPr>
      <w:spacing w:after="100" w:afterAutospacing="1" w:line="240" w:lineRule="auto"/>
    </w:pPr>
    <w:rPr>
      <w:rFonts w:ascii="Times New Roman" w:eastAsia="Times New Roman" w:hAnsi="Times New Roman" w:cs="Times New Roman"/>
      <w:sz w:val="24"/>
      <w:szCs w:val="24"/>
      <w:lang w:val="es-ES_tradnl" w:eastAsia="es-ES_tradnl"/>
    </w:rPr>
  </w:style>
  <w:style w:type="paragraph" w:customStyle="1" w:styleId="textos">
    <w:name w:val="textos"/>
    <w:basedOn w:val="Normal"/>
    <w:rsid w:val="0074062D"/>
    <w:pPr>
      <w:spacing w:before="100" w:beforeAutospacing="1" w:after="100" w:afterAutospacing="1" w:line="240" w:lineRule="auto"/>
      <w:jc w:val="both"/>
    </w:pPr>
    <w:rPr>
      <w:rFonts w:ascii="Times New Roman" w:eastAsia="Times New Roman" w:hAnsi="Times New Roman" w:cs="Times New Roman"/>
      <w:color w:val="006699"/>
      <w:sz w:val="17"/>
      <w:szCs w:val="17"/>
      <w:lang w:val="es-ES" w:eastAsia="es-ES"/>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 Car1 Car Car, Car1,ft"/>
    <w:basedOn w:val="Normal"/>
    <w:link w:val="TextonotapieCar"/>
    <w:semiHidden/>
    <w:rsid w:val="00AE48CB"/>
    <w:pPr>
      <w:spacing w:after="0" w:line="240" w:lineRule="auto"/>
    </w:pPr>
    <w:rPr>
      <w:rFonts w:ascii="Eurostile" w:eastAsia="Times New Roman" w:hAnsi="Eurostile" w:cs="Times New Roman"/>
      <w:sz w:val="20"/>
      <w:szCs w:val="20"/>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semiHidden/>
    <w:rsid w:val="00AE48CB"/>
    <w:rPr>
      <w:rFonts w:ascii="Eurostile" w:eastAsia="Times New Roman" w:hAnsi="Eurostile" w:cs="Times New Roman"/>
      <w:sz w:val="20"/>
      <w:szCs w:val="20"/>
      <w:lang w:val="es-ES" w:eastAsia="es-ES"/>
    </w:rPr>
  </w:style>
  <w:style w:type="character" w:styleId="Refdenotaalpie">
    <w:name w:val="footnote reference"/>
    <w:semiHidden/>
    <w:rsid w:val="00AE48CB"/>
    <w:rPr>
      <w:vertAlign w:val="superscript"/>
    </w:rPr>
  </w:style>
  <w:style w:type="character" w:styleId="Textoennegrita">
    <w:name w:val="Strong"/>
    <w:uiPriority w:val="22"/>
    <w:qFormat/>
    <w:rsid w:val="00AE48CB"/>
    <w:rPr>
      <w:b/>
      <w:bCs/>
    </w:rPr>
  </w:style>
  <w:style w:type="paragraph" w:styleId="Piedepgina">
    <w:name w:val="footer"/>
    <w:basedOn w:val="Normal"/>
    <w:link w:val="PiedepginaCar"/>
    <w:uiPriority w:val="99"/>
    <w:unhideWhenUsed/>
    <w:rsid w:val="001D43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43EC"/>
  </w:style>
  <w:style w:type="paragraph" w:styleId="Sinespaciado">
    <w:name w:val="No Spacing"/>
    <w:link w:val="SinespaciadoCar"/>
    <w:qFormat/>
    <w:rsid w:val="00FD7CAB"/>
    <w:pPr>
      <w:spacing w:after="0" w:line="240" w:lineRule="auto"/>
    </w:pPr>
    <w:rPr>
      <w:rFonts w:ascii="Calibri" w:eastAsia="Calibri" w:hAnsi="Calibri" w:cs="Times New Roman"/>
    </w:rPr>
  </w:style>
  <w:style w:type="character" w:customStyle="1" w:styleId="SinespaciadoCar">
    <w:name w:val="Sin espaciado Car"/>
    <w:link w:val="Sinespaciado"/>
    <w:locked/>
    <w:rsid w:val="00FD7CAB"/>
    <w:rPr>
      <w:rFonts w:ascii="Calibri" w:eastAsia="Calibri" w:hAnsi="Calibri" w:cs="Times New Roman"/>
    </w:rPr>
  </w:style>
  <w:style w:type="table" w:styleId="Cuadrculaclara-nfasis3">
    <w:name w:val="Light Grid Accent 3"/>
    <w:basedOn w:val="Tablanormal"/>
    <w:uiPriority w:val="62"/>
    <w:rsid w:val="005771E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5771E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Hipervnculo">
    <w:name w:val="Hyperlink"/>
    <w:basedOn w:val="Fuentedeprrafopredeter"/>
    <w:rsid w:val="00241F41"/>
    <w:rPr>
      <w:color w:val="0000FF"/>
      <w:u w:val="single"/>
    </w:rPr>
  </w:style>
  <w:style w:type="paragraph" w:styleId="Textoindependiente">
    <w:name w:val="Body Text"/>
    <w:basedOn w:val="Normal"/>
    <w:link w:val="TextoindependienteCar"/>
    <w:rsid w:val="00241F41"/>
    <w:pPr>
      <w:spacing w:after="0" w:line="240" w:lineRule="auto"/>
      <w:jc w:val="both"/>
    </w:pPr>
    <w:rPr>
      <w:rFonts w:ascii="Tahoma" w:eastAsia="Times New Roman" w:hAnsi="Tahoma" w:cs="Tahoma"/>
      <w:sz w:val="28"/>
      <w:szCs w:val="24"/>
      <w:lang w:val="es-ES" w:eastAsia="es-ES"/>
    </w:rPr>
  </w:style>
  <w:style w:type="character" w:customStyle="1" w:styleId="TextoindependienteCar">
    <w:name w:val="Texto independiente Car"/>
    <w:basedOn w:val="Fuentedeprrafopredeter"/>
    <w:link w:val="Textoindependiente"/>
    <w:rsid w:val="00241F41"/>
    <w:rPr>
      <w:rFonts w:ascii="Tahoma" w:eastAsia="Times New Roman" w:hAnsi="Tahoma" w:cs="Tahoma"/>
      <w:sz w:val="28"/>
      <w:szCs w:val="24"/>
      <w:lang w:val="es-ES" w:eastAsia="es-ES"/>
    </w:rPr>
  </w:style>
  <w:style w:type="paragraph" w:styleId="Listaconvietas2">
    <w:name w:val="List Bullet 2"/>
    <w:basedOn w:val="Normal"/>
    <w:rsid w:val="00241F41"/>
    <w:pPr>
      <w:numPr>
        <w:numId w:val="17"/>
      </w:numPr>
      <w:spacing w:after="0" w:line="240" w:lineRule="auto"/>
    </w:pPr>
    <w:rPr>
      <w:rFonts w:ascii="Times New Roman" w:eastAsia="Times New Roman" w:hAnsi="Times New Roman" w:cs="Times New Roman"/>
      <w:sz w:val="24"/>
      <w:szCs w:val="24"/>
      <w:lang w:val="es-ES" w:eastAsia="es-ES"/>
    </w:rPr>
  </w:style>
  <w:style w:type="paragraph" w:customStyle="1" w:styleId="Lneadeasunto">
    <w:name w:val="Línea de asunto"/>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cuerpotexto">
    <w:name w:val="cuerpotexto"/>
    <w:basedOn w:val="Normal"/>
    <w:rsid w:val="00241F41"/>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Contenidodelatabla">
    <w:name w:val="Contenido de la tabla"/>
    <w:basedOn w:val="Normal"/>
    <w:rsid w:val="00241F41"/>
    <w:pPr>
      <w:widowControl w:val="0"/>
      <w:suppressLineNumbers/>
      <w:suppressAutoHyphens/>
      <w:spacing w:after="0" w:line="240" w:lineRule="auto"/>
    </w:pPr>
    <w:rPr>
      <w:rFonts w:ascii="Times New Roman" w:eastAsia="Lucida Sans Unicode" w:hAnsi="Times New Roman" w:cs="Times New Roman"/>
      <w:sz w:val="24"/>
      <w:szCs w:val="20"/>
      <w:lang w:eastAsia="es-ES"/>
    </w:rPr>
  </w:style>
  <w:style w:type="paragraph" w:styleId="Lista">
    <w:name w:val="List"/>
    <w:basedOn w:val="Normal"/>
    <w:rsid w:val="00241F41"/>
    <w:pPr>
      <w:spacing w:after="0" w:line="240" w:lineRule="auto"/>
      <w:ind w:left="283" w:hanging="283"/>
    </w:pPr>
    <w:rPr>
      <w:rFonts w:ascii="Times New Roman" w:eastAsia="Times New Roman" w:hAnsi="Times New Roman" w:cs="Times New Roman"/>
      <w:sz w:val="24"/>
      <w:szCs w:val="24"/>
      <w:lang w:val="es-ES" w:eastAsia="es-ES"/>
    </w:rPr>
  </w:style>
  <w:style w:type="paragraph" w:styleId="Lista2">
    <w:name w:val="List 2"/>
    <w:basedOn w:val="Normal"/>
    <w:rsid w:val="00241F41"/>
    <w:pPr>
      <w:spacing w:after="0" w:line="240" w:lineRule="auto"/>
      <w:ind w:left="566" w:hanging="283"/>
    </w:pPr>
    <w:rPr>
      <w:rFonts w:ascii="Times New Roman" w:eastAsia="Times New Roman" w:hAnsi="Times New Roman" w:cs="Times New Roman"/>
      <w:sz w:val="24"/>
      <w:szCs w:val="24"/>
      <w:lang w:val="es-ES" w:eastAsia="es-ES"/>
    </w:rPr>
  </w:style>
  <w:style w:type="paragraph" w:styleId="Lista3">
    <w:name w:val="List 3"/>
    <w:basedOn w:val="Normal"/>
    <w:rsid w:val="00241F41"/>
    <w:pPr>
      <w:spacing w:after="0" w:line="240" w:lineRule="auto"/>
      <w:ind w:left="849" w:hanging="283"/>
    </w:pPr>
    <w:rPr>
      <w:rFonts w:ascii="Times New Roman" w:eastAsia="Times New Roman" w:hAnsi="Times New Roman" w:cs="Times New Roman"/>
      <w:sz w:val="24"/>
      <w:szCs w:val="24"/>
      <w:lang w:val="es-ES" w:eastAsia="es-ES"/>
    </w:rPr>
  </w:style>
  <w:style w:type="paragraph" w:styleId="Lista4">
    <w:name w:val="List 4"/>
    <w:basedOn w:val="Normal"/>
    <w:rsid w:val="00241F41"/>
    <w:pPr>
      <w:spacing w:after="0" w:line="240" w:lineRule="auto"/>
      <w:ind w:left="1132" w:hanging="283"/>
    </w:pPr>
    <w:rPr>
      <w:rFonts w:ascii="Times New Roman" w:eastAsia="Times New Roman" w:hAnsi="Times New Roman" w:cs="Times New Roman"/>
      <w:sz w:val="24"/>
      <w:szCs w:val="24"/>
      <w:lang w:val="es-ES" w:eastAsia="es-ES"/>
    </w:rPr>
  </w:style>
  <w:style w:type="paragraph" w:styleId="Lista5">
    <w:name w:val="List 5"/>
    <w:basedOn w:val="Normal"/>
    <w:rsid w:val="00241F41"/>
    <w:pPr>
      <w:spacing w:after="0" w:line="240" w:lineRule="auto"/>
      <w:ind w:left="1415" w:hanging="283"/>
    </w:pPr>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rsid w:val="00241F4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241F41"/>
    <w:rPr>
      <w:rFonts w:ascii="Arial" w:eastAsia="Times New Roman" w:hAnsi="Arial" w:cs="Arial"/>
      <w:sz w:val="24"/>
      <w:szCs w:val="24"/>
      <w:shd w:val="pct20" w:color="auto" w:fill="auto"/>
      <w:lang w:val="es-ES" w:eastAsia="es-ES"/>
    </w:rPr>
  </w:style>
  <w:style w:type="paragraph" w:styleId="Saludo">
    <w:name w:val="Salutation"/>
    <w:basedOn w:val="Normal"/>
    <w:next w:val="Normal"/>
    <w:link w:val="SaludoCar"/>
    <w:rsid w:val="00241F41"/>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241F41"/>
    <w:rPr>
      <w:rFonts w:ascii="Times New Roman" w:eastAsia="Times New Roman" w:hAnsi="Times New Roman" w:cs="Times New Roman"/>
      <w:sz w:val="24"/>
      <w:szCs w:val="24"/>
      <w:lang w:val="es-ES" w:eastAsia="es-ES"/>
    </w:rPr>
  </w:style>
  <w:style w:type="paragraph" w:styleId="Cierre">
    <w:name w:val="Closing"/>
    <w:basedOn w:val="Normal"/>
    <w:link w:val="CierreCar"/>
    <w:rsid w:val="00241F41"/>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rsid w:val="00241F41"/>
    <w:rPr>
      <w:rFonts w:ascii="Times New Roman" w:eastAsia="Times New Roman" w:hAnsi="Times New Roman" w:cs="Times New Roman"/>
      <w:sz w:val="24"/>
      <w:szCs w:val="24"/>
      <w:lang w:val="es-ES" w:eastAsia="es-ES"/>
    </w:rPr>
  </w:style>
  <w:style w:type="paragraph" w:customStyle="1" w:styleId="ListaCC">
    <w:name w:val="Lista CC."/>
    <w:basedOn w:val="Normal"/>
    <w:rsid w:val="00241F41"/>
    <w:pPr>
      <w:spacing w:after="0" w:line="240" w:lineRule="auto"/>
    </w:pPr>
    <w:rPr>
      <w:rFonts w:ascii="Times New Roman" w:eastAsia="Times New Roman" w:hAnsi="Times New Roman" w:cs="Times New Roman"/>
      <w:sz w:val="24"/>
      <w:szCs w:val="24"/>
      <w:lang w:val="es-ES" w:eastAsia="es-ES"/>
    </w:rPr>
  </w:style>
  <w:style w:type="paragraph" w:styleId="Continuarlista4">
    <w:name w:val="List Continue 4"/>
    <w:basedOn w:val="Normal"/>
    <w:rsid w:val="00241F41"/>
    <w:pPr>
      <w:spacing w:after="120" w:line="240" w:lineRule="auto"/>
      <w:ind w:left="1132"/>
    </w:pPr>
    <w:rPr>
      <w:rFonts w:ascii="Times New Roman" w:eastAsia="Times New Roman" w:hAnsi="Times New Roman" w:cs="Times New Roman"/>
      <w:sz w:val="24"/>
      <w:szCs w:val="24"/>
      <w:lang w:val="es-ES" w:eastAsia="es-ES"/>
    </w:rPr>
  </w:style>
  <w:style w:type="paragraph" w:styleId="Firma">
    <w:name w:val="Signature"/>
    <w:basedOn w:val="Normal"/>
    <w:link w:val="FirmaCar"/>
    <w:rsid w:val="00241F41"/>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rsid w:val="00241F41"/>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41F41"/>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241F41"/>
    <w:rPr>
      <w:rFonts w:ascii="Times New Roman" w:eastAsia="Times New Roman" w:hAnsi="Times New Roman" w:cs="Times New Roman"/>
      <w:sz w:val="24"/>
      <w:szCs w:val="24"/>
      <w:lang w:val="es-ES" w:eastAsia="es-ES"/>
    </w:rPr>
  </w:style>
  <w:style w:type="paragraph" w:customStyle="1" w:styleId="Firmapuesto">
    <w:name w:val="Firma puesto"/>
    <w:basedOn w:val="Firma"/>
    <w:rsid w:val="00241F41"/>
  </w:style>
  <w:style w:type="paragraph" w:customStyle="1" w:styleId="Firmaorganizacin">
    <w:name w:val="Firma organización"/>
    <w:basedOn w:val="Firma"/>
    <w:rsid w:val="00241F41"/>
  </w:style>
  <w:style w:type="paragraph" w:styleId="Textoindependienteprimerasangra">
    <w:name w:val="Body Text First Indent"/>
    <w:basedOn w:val="Textoindependiente"/>
    <w:link w:val="TextoindependienteprimerasangraCar"/>
    <w:rsid w:val="00241F41"/>
    <w:pPr>
      <w:spacing w:after="120"/>
      <w:ind w:firstLine="210"/>
      <w:jc w:val="left"/>
    </w:pPr>
    <w:rPr>
      <w:rFonts w:ascii="Times New Roman" w:hAnsi="Times New Roman" w:cs="Times New Roman"/>
      <w:sz w:val="24"/>
    </w:rPr>
  </w:style>
  <w:style w:type="character" w:customStyle="1" w:styleId="TextoindependienteprimerasangraCar">
    <w:name w:val="Texto independiente primera sangría Car"/>
    <w:basedOn w:val="TextoindependienteCar"/>
    <w:link w:val="Textoindependienteprimerasangra"/>
    <w:rsid w:val="00241F41"/>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241F41"/>
    <w:pPr>
      <w:ind w:firstLine="210"/>
    </w:pPr>
  </w:style>
  <w:style w:type="character" w:customStyle="1" w:styleId="Textoindependienteprimerasangra2Car">
    <w:name w:val="Texto independiente primera sangría 2 Car"/>
    <w:basedOn w:val="SangradetextonormalCar"/>
    <w:link w:val="Textoindependienteprimerasangra2"/>
    <w:rsid w:val="00241F41"/>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241F41"/>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241F41"/>
    <w:rPr>
      <w:rFonts w:ascii="Times New Roman" w:eastAsia="Times New Roman" w:hAnsi="Times New Roman" w:cs="Times New Roman"/>
      <w:sz w:val="24"/>
      <w:szCs w:val="24"/>
      <w:lang w:val="es-ES" w:eastAsia="es-ES"/>
    </w:rPr>
  </w:style>
  <w:style w:type="paragraph" w:styleId="Listaconvietas">
    <w:name w:val="List Bullet"/>
    <w:basedOn w:val="Normal"/>
    <w:rsid w:val="00241F41"/>
    <w:pPr>
      <w:numPr>
        <w:numId w:val="18"/>
      </w:numPr>
      <w:spacing w:after="0" w:line="240" w:lineRule="auto"/>
    </w:pPr>
    <w:rPr>
      <w:rFonts w:ascii="Times New Roman" w:eastAsia="Times New Roman" w:hAnsi="Times New Roman" w:cs="Times New Roman"/>
      <w:sz w:val="24"/>
      <w:szCs w:val="24"/>
      <w:lang w:val="es-ES" w:eastAsia="es-ES"/>
    </w:rPr>
  </w:style>
  <w:style w:type="paragraph" w:styleId="Listaconvietas4">
    <w:name w:val="List Bullet 4"/>
    <w:basedOn w:val="Normal"/>
    <w:rsid w:val="00241F41"/>
    <w:pPr>
      <w:numPr>
        <w:numId w:val="19"/>
      </w:numPr>
      <w:spacing w:after="0" w:line="240" w:lineRule="auto"/>
    </w:pPr>
    <w:rPr>
      <w:rFonts w:ascii="Times New Roman" w:eastAsia="Times New Roman" w:hAnsi="Times New Roman" w:cs="Times New Roman"/>
      <w:sz w:val="24"/>
      <w:szCs w:val="24"/>
      <w:lang w:val="es-ES" w:eastAsia="es-ES"/>
    </w:rPr>
  </w:style>
  <w:style w:type="paragraph" w:styleId="Continuarlista3">
    <w:name w:val="List Continue 3"/>
    <w:basedOn w:val="Normal"/>
    <w:rsid w:val="00241F41"/>
    <w:pPr>
      <w:spacing w:after="120" w:line="240" w:lineRule="auto"/>
      <w:ind w:left="849"/>
    </w:pPr>
    <w:rPr>
      <w:rFonts w:ascii="Times New Roman" w:eastAsia="Times New Roman" w:hAnsi="Times New Roman" w:cs="Times New Roman"/>
      <w:sz w:val="24"/>
      <w:szCs w:val="24"/>
      <w:lang w:val="es-ES" w:eastAsia="es-ES"/>
    </w:rPr>
  </w:style>
  <w:style w:type="paragraph" w:customStyle="1" w:styleId="Infodocumentosadjuntos">
    <w:name w:val="Info documentos adjuntos"/>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MINUTAS">
    <w:name w:val="MINUTAS"/>
    <w:rsid w:val="00241F41"/>
    <w:pPr>
      <w:autoSpaceDE w:val="0"/>
      <w:autoSpaceDN w:val="0"/>
      <w:spacing w:before="170" w:after="0" w:line="240" w:lineRule="auto"/>
      <w:ind w:left="170" w:right="170"/>
      <w:jc w:val="both"/>
    </w:pPr>
    <w:rPr>
      <w:rFonts w:ascii="Helvetica" w:eastAsia="Times New Roman" w:hAnsi="Helvetica" w:cs="Helvetica"/>
      <w:sz w:val="20"/>
      <w:szCs w:val="20"/>
      <w:lang w:val="en-US" w:eastAsia="es-ES"/>
    </w:rPr>
  </w:style>
  <w:style w:type="paragraph" w:styleId="Textoindependiente3">
    <w:name w:val="Body Text 3"/>
    <w:basedOn w:val="Normal"/>
    <w:link w:val="Textoindependiente3Car"/>
    <w:rsid w:val="00241F41"/>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241F41"/>
    <w:rPr>
      <w:rFonts w:ascii="Times New Roman" w:eastAsia="Times New Roman" w:hAnsi="Times New Roman" w:cs="Times New Roman"/>
      <w:sz w:val="16"/>
      <w:szCs w:val="16"/>
      <w:lang w:val="es-ES" w:eastAsia="es-ES"/>
    </w:rPr>
  </w:style>
  <w:style w:type="paragraph" w:styleId="Continuarlista">
    <w:name w:val="List Continue"/>
    <w:basedOn w:val="Normal"/>
    <w:rsid w:val="00241F41"/>
    <w:pPr>
      <w:spacing w:after="120" w:line="240" w:lineRule="auto"/>
      <w:ind w:left="283"/>
    </w:pPr>
    <w:rPr>
      <w:rFonts w:ascii="Times New Roman" w:eastAsia="Times New Roman" w:hAnsi="Times New Roman" w:cs="Times New Roman"/>
      <w:sz w:val="24"/>
      <w:szCs w:val="24"/>
      <w:lang w:val="es-ES" w:eastAsia="es-ES"/>
    </w:rPr>
  </w:style>
  <w:style w:type="paragraph" w:customStyle="1" w:styleId="Direccininterior">
    <w:name w:val="Dirección interior"/>
    <w:basedOn w:val="Normal"/>
    <w:rsid w:val="00241F41"/>
    <w:pPr>
      <w:spacing w:after="0" w:line="240" w:lineRule="auto"/>
    </w:pPr>
    <w:rPr>
      <w:rFonts w:ascii="Times New Roman" w:eastAsia="Times New Roman" w:hAnsi="Times New Roman" w:cs="Times New Roman"/>
      <w:sz w:val="24"/>
      <w:szCs w:val="24"/>
      <w:lang w:val="es-ES" w:eastAsia="es-ES"/>
    </w:rPr>
  </w:style>
  <w:style w:type="paragraph" w:customStyle="1" w:styleId="CarCarCar">
    <w:name w:val="Car Car Car"/>
    <w:basedOn w:val="Normal"/>
    <w:semiHidden/>
    <w:rsid w:val="00241F41"/>
    <w:pPr>
      <w:spacing w:after="160" w:line="240" w:lineRule="exact"/>
      <w:jc w:val="both"/>
    </w:pPr>
    <w:rPr>
      <w:rFonts w:ascii="Verdana" w:eastAsia="Times New Roman" w:hAnsi="Verdana" w:cs="Times New Roman"/>
      <w:b/>
      <w:sz w:val="20"/>
      <w:szCs w:val="24"/>
      <w:lang w:val="en-US"/>
    </w:rPr>
  </w:style>
  <w:style w:type="character" w:customStyle="1" w:styleId="email">
    <w:name w:val="email"/>
    <w:basedOn w:val="Fuentedeprrafopredeter"/>
    <w:rsid w:val="00241F41"/>
  </w:style>
  <w:style w:type="character" w:customStyle="1" w:styleId="offscreen">
    <w:name w:val="offscreen"/>
    <w:basedOn w:val="Fuentedeprrafopredeter"/>
    <w:rsid w:val="00241F41"/>
  </w:style>
  <w:style w:type="character" w:styleId="nfasis">
    <w:name w:val="Emphasis"/>
    <w:basedOn w:val="Fuentedeprrafopredeter"/>
    <w:qFormat/>
    <w:rsid w:val="00241F41"/>
    <w:rPr>
      <w:rFonts w:ascii="Arial" w:hAnsi="Arial"/>
      <w:i/>
      <w:iCs/>
    </w:rPr>
  </w:style>
  <w:style w:type="paragraph" w:customStyle="1" w:styleId="NUMTITULOS">
    <w:name w:val="NUM. TITULOS"/>
    <w:rsid w:val="00241F41"/>
    <w:pPr>
      <w:tabs>
        <w:tab w:val="left" w:pos="397"/>
      </w:tabs>
      <w:autoSpaceDE w:val="0"/>
      <w:autoSpaceDN w:val="0"/>
      <w:spacing w:before="680" w:after="0" w:line="240" w:lineRule="auto"/>
      <w:ind w:left="397" w:hanging="397"/>
    </w:pPr>
    <w:rPr>
      <w:rFonts w:ascii="Times" w:eastAsia="Times New Roman" w:hAnsi="Times" w:cs="Times"/>
      <w:caps/>
      <w:lang w:val="en-US" w:eastAsia="es-ES"/>
    </w:rPr>
  </w:style>
  <w:style w:type="paragraph" w:styleId="Subttulo">
    <w:name w:val="Subtitle"/>
    <w:basedOn w:val="Normal"/>
    <w:link w:val="SubttuloCar"/>
    <w:qFormat/>
    <w:rsid w:val="00241F41"/>
    <w:pPr>
      <w:spacing w:after="0" w:line="240" w:lineRule="auto"/>
      <w:jc w:val="both"/>
    </w:pPr>
    <w:rPr>
      <w:rFonts w:ascii="Arial" w:eastAsia="Times New Roman" w:hAnsi="Arial" w:cs="Times New Roman"/>
      <w:b/>
      <w:sz w:val="24"/>
      <w:szCs w:val="20"/>
      <w:lang w:val="es-MX" w:eastAsia="es-ES"/>
    </w:rPr>
  </w:style>
  <w:style w:type="character" w:customStyle="1" w:styleId="SubttuloCar">
    <w:name w:val="Subtítulo Car"/>
    <w:basedOn w:val="Fuentedeprrafopredeter"/>
    <w:link w:val="Subttulo"/>
    <w:rsid w:val="00241F41"/>
    <w:rPr>
      <w:rFonts w:ascii="Arial" w:eastAsia="Times New Roman" w:hAnsi="Arial" w:cs="Times New Roman"/>
      <w:b/>
      <w:sz w:val="24"/>
      <w:szCs w:val="20"/>
      <w:lang w:val="es-MX" w:eastAsia="es-ES"/>
    </w:rPr>
  </w:style>
  <w:style w:type="paragraph" w:styleId="Listaconvietas3">
    <w:name w:val="List Bullet 3"/>
    <w:basedOn w:val="Normal"/>
    <w:rsid w:val="00241F41"/>
    <w:pPr>
      <w:numPr>
        <w:numId w:val="20"/>
      </w:numPr>
    </w:pPr>
    <w:rPr>
      <w:rFonts w:ascii="Calibri" w:eastAsia="Calibri" w:hAnsi="Calibri" w:cs="Times New Roman"/>
      <w:lang w:val="es-ES"/>
    </w:rPr>
  </w:style>
  <w:style w:type="paragraph" w:styleId="Continuarlista2">
    <w:name w:val="List Continue 2"/>
    <w:basedOn w:val="Normal"/>
    <w:rsid w:val="00241F41"/>
    <w:pPr>
      <w:spacing w:after="120"/>
      <w:ind w:left="566"/>
    </w:pPr>
    <w:rPr>
      <w:rFonts w:ascii="Calibri" w:eastAsia="Calibri" w:hAnsi="Calibri" w:cs="Times New Roman"/>
      <w:lang w:val="es-ES"/>
    </w:rPr>
  </w:style>
  <w:style w:type="paragraph" w:customStyle="1" w:styleId="Lneadereferencia">
    <w:name w:val="Línea de referencia"/>
    <w:basedOn w:val="Textoindependiente"/>
    <w:rsid w:val="00241F41"/>
  </w:style>
  <w:style w:type="paragraph" w:customStyle="1" w:styleId="Textopredeterminado">
    <w:name w:val="Texto predeterminado"/>
    <w:basedOn w:val="Normal"/>
    <w:rsid w:val="00241F41"/>
    <w:pPr>
      <w:tabs>
        <w:tab w:val="left" w:pos="0"/>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s-MX" w:eastAsia="es-CO"/>
    </w:rPr>
  </w:style>
  <w:style w:type="character" w:customStyle="1" w:styleId="estilo6">
    <w:name w:val="estilo6"/>
    <w:basedOn w:val="Fuentedeprrafopredeter"/>
    <w:rsid w:val="00241F41"/>
  </w:style>
  <w:style w:type="paragraph" w:customStyle="1" w:styleId="Predeterminado">
    <w:name w:val="Predeterminado"/>
    <w:uiPriority w:val="99"/>
    <w:rsid w:val="00241F41"/>
    <w:pPr>
      <w:tabs>
        <w:tab w:val="left" w:pos="709"/>
      </w:tabs>
      <w:suppressAutoHyphens/>
      <w:spacing w:after="0" w:line="100" w:lineRule="atLeast"/>
    </w:pPr>
    <w:rPr>
      <w:rFonts w:ascii="Calibri" w:eastAsia="Times New Roman" w:hAnsi="Calibri" w:cs="Calibri"/>
      <w:color w:val="00000A"/>
      <w:sz w:val="24"/>
      <w:szCs w:val="24"/>
      <w:lang w:val="es-ES" w:eastAsia="es-ES"/>
    </w:rPr>
  </w:style>
  <w:style w:type="paragraph" w:customStyle="1" w:styleId="Encabezado8">
    <w:name w:val="Encabezado 8"/>
    <w:basedOn w:val="Predeterminado"/>
    <w:next w:val="Normal"/>
    <w:uiPriority w:val="99"/>
    <w:rsid w:val="00241F41"/>
    <w:pPr>
      <w:keepNext/>
      <w:spacing w:before="200"/>
      <w:ind w:left="1440" w:hanging="1440"/>
      <w:outlineLvl w:val="7"/>
    </w:pPr>
    <w:rPr>
      <w:rFonts w:ascii="Cambria" w:hAnsi="Cambria" w:cs="Cambria"/>
      <w:b/>
      <w:bCs/>
      <w:color w:val="404040"/>
      <w:sz w:val="20"/>
      <w:szCs w:val="20"/>
    </w:rPr>
  </w:style>
  <w:style w:type="table" w:styleId="Tablamoderna">
    <w:name w:val="Table Contemporary"/>
    <w:basedOn w:val="Tablanormal"/>
    <w:rsid w:val="00241F41"/>
    <w:pPr>
      <w:spacing w:after="0" w:line="240" w:lineRule="auto"/>
      <w:jc w:val="center"/>
    </w:pPr>
    <w:rPr>
      <w:rFonts w:ascii="Tahoma" w:eastAsia="Times New Roman" w:hAnsi="Tahoma" w:cs="Times New Roman"/>
      <w:b/>
      <w:sz w:val="24"/>
      <w:szCs w:val="20"/>
      <w:lang w:val="es-ES_tradnl" w:eastAsia="es-ES_tradnl"/>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33CCCC"/>
      <w:vAlign w:val="cente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tulo">
    <w:name w:val="Title"/>
    <w:basedOn w:val="Normal"/>
    <w:link w:val="TtuloCar"/>
    <w:qFormat/>
    <w:rsid w:val="00241F41"/>
    <w:pPr>
      <w:spacing w:before="240" w:after="60" w:line="240" w:lineRule="auto"/>
      <w:jc w:val="center"/>
      <w:outlineLvl w:val="0"/>
    </w:pPr>
    <w:rPr>
      <w:rFonts w:ascii="Arial" w:eastAsia="Times New Roman" w:hAnsi="Arial" w:cs="Arial"/>
      <w:b/>
      <w:bCs/>
      <w:kern w:val="28"/>
      <w:sz w:val="32"/>
      <w:szCs w:val="32"/>
      <w:lang w:val="es-ES" w:eastAsia="es-ES"/>
    </w:rPr>
  </w:style>
  <w:style w:type="character" w:customStyle="1" w:styleId="TtuloCar">
    <w:name w:val="Título Car"/>
    <w:basedOn w:val="Fuentedeprrafopredeter"/>
    <w:link w:val="Ttulo"/>
    <w:rsid w:val="00241F41"/>
    <w:rPr>
      <w:rFonts w:ascii="Arial" w:eastAsia="Times New Roman" w:hAnsi="Arial" w:cs="Arial"/>
      <w:b/>
      <w:bCs/>
      <w:kern w:val="28"/>
      <w:sz w:val="32"/>
      <w:szCs w:val="32"/>
      <w:lang w:val="es-ES" w:eastAsia="es-ES"/>
    </w:rPr>
  </w:style>
  <w:style w:type="paragraph" w:customStyle="1" w:styleId="Titulo3">
    <w:name w:val="Titulo 3"/>
    <w:basedOn w:val="Normal"/>
    <w:link w:val="Titulo3Car"/>
    <w:rsid w:val="00241F41"/>
    <w:pPr>
      <w:spacing w:after="0" w:line="240" w:lineRule="auto"/>
    </w:pPr>
    <w:rPr>
      <w:rFonts w:ascii="Eurostile" w:eastAsia="Times New Roman" w:hAnsi="Eurostile" w:cs="Times New Roman"/>
      <w:sz w:val="28"/>
      <w:szCs w:val="20"/>
      <w:lang w:val="es-ES" w:eastAsia="es-ES"/>
    </w:rPr>
  </w:style>
  <w:style w:type="character" w:customStyle="1" w:styleId="Titulo3Car">
    <w:name w:val="Titulo 3 Car"/>
    <w:link w:val="Titulo3"/>
    <w:rsid w:val="00241F41"/>
    <w:rPr>
      <w:rFonts w:ascii="Eurostile" w:eastAsia="Times New Roman" w:hAnsi="Eurostile" w:cs="Times New Roman"/>
      <w:sz w:val="28"/>
      <w:szCs w:val="20"/>
      <w:lang w:val="es-ES" w:eastAsia="es-ES"/>
    </w:rPr>
  </w:style>
  <w:style w:type="paragraph" w:customStyle="1" w:styleId="Titulo4">
    <w:name w:val="Titulo 4"/>
    <w:basedOn w:val="Normal"/>
    <w:rsid w:val="00241F41"/>
    <w:pPr>
      <w:spacing w:after="0" w:line="240" w:lineRule="auto"/>
      <w:jc w:val="both"/>
    </w:pPr>
    <w:rPr>
      <w:rFonts w:ascii="Eurostile" w:eastAsia="Times New Roman" w:hAnsi="Eurostile" w:cs="Times New Roman"/>
      <w:sz w:val="28"/>
      <w:szCs w:val="20"/>
      <w:lang w:val="es-ES" w:eastAsia="es-ES"/>
    </w:rPr>
  </w:style>
  <w:style w:type="character" w:customStyle="1" w:styleId="CarCar5">
    <w:name w:val="Car Car5"/>
    <w:rsid w:val="00241F41"/>
    <w:rPr>
      <w:rFonts w:ascii="Arial" w:hAnsi="Arial" w:cs="Arial"/>
      <w:b/>
      <w:bCs/>
      <w:i/>
      <w:iCs/>
      <w:sz w:val="28"/>
      <w:szCs w:val="28"/>
      <w:lang w:val="es-ES" w:eastAsia="es-ES" w:bidi="ar-SA"/>
    </w:rPr>
  </w:style>
  <w:style w:type="paragraph" w:customStyle="1" w:styleId="negronormal">
    <w:name w:val="negronormal"/>
    <w:basedOn w:val="Normal"/>
    <w:rsid w:val="00241F41"/>
    <w:pPr>
      <w:spacing w:before="100" w:beforeAutospacing="1" w:after="100" w:afterAutospacing="1" w:line="240" w:lineRule="auto"/>
    </w:pPr>
    <w:rPr>
      <w:rFonts w:ascii="Verdana" w:eastAsia="Times New Roman" w:hAnsi="Verdana" w:cs="Times New Roman"/>
      <w:color w:val="000000"/>
      <w:sz w:val="20"/>
      <w:szCs w:val="20"/>
      <w:lang w:val="es-ES" w:eastAsia="es-ES"/>
    </w:rPr>
  </w:style>
  <w:style w:type="paragraph" w:customStyle="1" w:styleId="textoarticulocompletop">
    <w:name w:val="textoarticulocompletop"/>
    <w:basedOn w:val="Normal"/>
    <w:rsid w:val="00241F41"/>
    <w:pPr>
      <w:spacing w:before="100" w:beforeAutospacing="1" w:after="100" w:afterAutospacing="1" w:line="240" w:lineRule="auto"/>
      <w:jc w:val="both"/>
    </w:pPr>
    <w:rPr>
      <w:rFonts w:ascii="Verdana" w:eastAsia="Times New Roman" w:hAnsi="Verdana" w:cs="Times New Roman"/>
      <w:color w:val="000000"/>
      <w:sz w:val="18"/>
      <w:szCs w:val="18"/>
      <w:lang w:val="es-ES" w:eastAsia="es-ES"/>
    </w:rPr>
  </w:style>
  <w:style w:type="character" w:customStyle="1" w:styleId="A13">
    <w:name w:val="A13"/>
    <w:rsid w:val="00241F41"/>
    <w:rPr>
      <w:rFonts w:cs="Swiss 72 1 BT"/>
      <w:color w:val="000000"/>
      <w:sz w:val="18"/>
      <w:szCs w:val="18"/>
    </w:rPr>
  </w:style>
  <w:style w:type="character" w:customStyle="1" w:styleId="style161">
    <w:name w:val="style161"/>
    <w:rsid w:val="00241F41"/>
    <w:rPr>
      <w:rFonts w:ascii="Verdana" w:hAnsi="Verdana" w:hint="default"/>
      <w:color w:val="FFFFFF"/>
      <w:sz w:val="24"/>
      <w:szCs w:val="24"/>
    </w:rPr>
  </w:style>
  <w:style w:type="paragraph" w:customStyle="1" w:styleId="spip">
    <w:name w:val="spip"/>
    <w:basedOn w:val="Normal"/>
    <w:rsid w:val="00241F41"/>
    <w:pPr>
      <w:spacing w:before="100" w:beforeAutospacing="1" w:after="100" w:afterAutospacing="1" w:line="240" w:lineRule="auto"/>
    </w:pPr>
    <w:rPr>
      <w:rFonts w:ascii="Arial" w:eastAsia="Times New Roman" w:hAnsi="Arial" w:cs="Arial"/>
      <w:color w:val="000000"/>
      <w:sz w:val="20"/>
      <w:szCs w:val="20"/>
      <w:lang w:val="es-ES" w:eastAsia="es-ES"/>
    </w:rPr>
  </w:style>
  <w:style w:type="paragraph" w:customStyle="1" w:styleId="ciarticulocompletop">
    <w:name w:val="ciarticulocompletop"/>
    <w:basedOn w:val="Normal"/>
    <w:rsid w:val="00241F41"/>
    <w:pPr>
      <w:spacing w:before="100" w:beforeAutospacing="1" w:after="100" w:afterAutospacing="1" w:line="240" w:lineRule="auto"/>
    </w:pPr>
    <w:rPr>
      <w:rFonts w:ascii="Verdana" w:eastAsia="Times New Roman" w:hAnsi="Verdana" w:cs="Times New Roman"/>
      <w:color w:val="000000"/>
      <w:sz w:val="18"/>
      <w:szCs w:val="18"/>
      <w:lang w:val="es-ES" w:eastAsia="es-ES"/>
    </w:rPr>
  </w:style>
  <w:style w:type="paragraph" w:customStyle="1" w:styleId="CarCarCar1">
    <w:name w:val="Car Car Car1"/>
    <w:basedOn w:val="Normal"/>
    <w:semiHidden/>
    <w:rsid w:val="00241F41"/>
    <w:pPr>
      <w:spacing w:after="160" w:line="240" w:lineRule="exact"/>
      <w:jc w:val="both"/>
    </w:pPr>
    <w:rPr>
      <w:rFonts w:ascii="Verdana" w:eastAsia="Times New Roman" w:hAnsi="Verdana"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image" Target="media/image2.png"/><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2.xml"/><Relationship Id="rId47" Type="http://schemas.openxmlformats.org/officeDocument/2006/relationships/chart" Target="charts/chart34.xml"/><Relationship Id="rId50"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29.xml"/><Relationship Id="rId46"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chart" Target="charts/chart3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8.xml"/><Relationship Id="rId40" Type="http://schemas.openxmlformats.org/officeDocument/2006/relationships/chart" Target="charts/chart30.xml"/><Relationship Id="rId45"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image" Target="media/image1.png"/><Relationship Id="rId49" Type="http://schemas.openxmlformats.org/officeDocument/2006/relationships/image" Target="media/image7.png"/><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chart" Target="charts/chart33.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image" Target="media/image3.png"/><Relationship Id="rId48" Type="http://schemas.openxmlformats.org/officeDocument/2006/relationships/image" Target="media/image6.png"/><Relationship Id="rId8" Type="http://schemas.openxmlformats.org/officeDocument/2006/relationships/endnotes" Target="endnotes.xml"/><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F:\GRAFICAS%20COMISARIA\COMISARIA%20GRAFICAS.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dministrador.DESKTOP\Datos%20de%20programa\Microsoft\Excel\COMISARIA%20GRAFICAS%20(version%201).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dministrador.DESKTOP\Datos%20de%20programa\Microsoft\Excel\COMISARIA%20GRAFICAS%20(version%201).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F:\GRAFICAS%20COMISARIA\COMISARIA%20GRAFICAS%20(Autoguardado).xls"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Administrador.DESKTOP\Escritorio\GRAFICAS%20COMISARIA\COMISARIA%20GRAFICAS.xls" TargetMode="External"/></Relationships>
</file>

<file path=word/charts/_rels/chart22.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1.xml"/></Relationships>
</file>

<file path=word/charts/_rels/chart23.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2.xml"/></Relationships>
</file>

<file path=word/charts/_rels/chart24.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3.xml"/></Relationships>
</file>

<file path=word/charts/_rels/chart25.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4.xml"/></Relationships>
</file>

<file path=word/charts/_rels/chart26.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5.xml"/></Relationships>
</file>

<file path=word/charts/_rels/chart27.xml.rels><?xml version="1.0" encoding="UTF-8" standalone="yes"?>
<Relationships xmlns="http://schemas.openxmlformats.org/package/2006/relationships"><Relationship Id="rId2" Type="http://schemas.openxmlformats.org/officeDocument/2006/relationships/oleObject" Target="Libro1" TargetMode="External"/><Relationship Id="rId1" Type="http://schemas.openxmlformats.org/officeDocument/2006/relationships/themeOverride" Target="../theme/themeOverride6.xml"/></Relationships>
</file>

<file path=word/charts/_rels/chart28.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GRAFICOS%20EXCEL.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C:\Documents%20and%20Settings\Administrador\Escritorio\INFANCIA%20ADOLESCENCIA\ESTADISTICA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I:\cuadro%20icbf%20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Administrador.DESKTOP\Escritorio\COMISARIA%20GRAFICAS.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dministrador.DESKTOP\Escritorio\COMISARIA%20GRAFICA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10473194161988"/>
          <c:y val="5.1400554097404488E-2"/>
          <c:w val="0.65397924597173684"/>
          <c:h val="0.8326195683872849"/>
        </c:manualLayout>
      </c:layout>
      <c:barChart>
        <c:barDir val="col"/>
        <c:grouping val="clustered"/>
        <c:varyColors val="0"/>
        <c:ser>
          <c:idx val="1"/>
          <c:order val="0"/>
          <c:tx>
            <c:v>POBLACION RIOSUCIO</c:v>
          </c:tx>
          <c:spPr>
            <a:solidFill>
              <a:schemeClr val="accent6"/>
            </a:solidFill>
          </c:spPr>
          <c:invertIfNegative val="0"/>
          <c:cat>
            <c:numRef>
              <c:f>Hoja1!$B$6:$B$12</c:f>
              <c:numCache>
                <c:formatCode>General</c:formatCode>
                <c:ptCount val="7"/>
                <c:pt idx="0">
                  <c:v>2005</c:v>
                </c:pt>
                <c:pt idx="1">
                  <c:v>2006</c:v>
                </c:pt>
                <c:pt idx="2">
                  <c:v>2007</c:v>
                </c:pt>
                <c:pt idx="3">
                  <c:v>2008</c:v>
                </c:pt>
                <c:pt idx="4">
                  <c:v>2009</c:v>
                </c:pt>
                <c:pt idx="5">
                  <c:v>2010</c:v>
                </c:pt>
                <c:pt idx="6">
                  <c:v>2011</c:v>
                </c:pt>
              </c:numCache>
            </c:numRef>
          </c:cat>
          <c:val>
            <c:numRef>
              <c:f>Hoja1!$D$6:$D$12</c:f>
              <c:numCache>
                <c:formatCode>General</c:formatCode>
                <c:ptCount val="7"/>
                <c:pt idx="0">
                  <c:v>54537</c:v>
                </c:pt>
                <c:pt idx="1">
                  <c:v>55166</c:v>
                </c:pt>
                <c:pt idx="2">
                  <c:v>55841</c:v>
                </c:pt>
                <c:pt idx="3">
                  <c:v>56523</c:v>
                </c:pt>
                <c:pt idx="4">
                  <c:v>57220</c:v>
                </c:pt>
                <c:pt idx="5">
                  <c:v>57935</c:v>
                </c:pt>
                <c:pt idx="6">
                  <c:v>58627</c:v>
                </c:pt>
              </c:numCache>
            </c:numRef>
          </c:val>
        </c:ser>
        <c:ser>
          <c:idx val="0"/>
          <c:order val="1"/>
          <c:tx>
            <c:strRef>
              <c:f>Hoja1!$F$5</c:f>
              <c:strCache>
                <c:ptCount val="1"/>
                <c:pt idx="0">
                  <c:v>URBANO</c:v>
                </c:pt>
              </c:strCache>
            </c:strRef>
          </c:tx>
          <c:spPr>
            <a:solidFill>
              <a:srgbClr val="0070C0"/>
            </a:solidFill>
          </c:spPr>
          <c:invertIfNegative val="0"/>
          <c:val>
            <c:numRef>
              <c:f>Hoja1!$F$6:$F$12</c:f>
              <c:numCache>
                <c:formatCode>General</c:formatCode>
                <c:ptCount val="7"/>
                <c:pt idx="0">
                  <c:v>16465</c:v>
                </c:pt>
                <c:pt idx="1">
                  <c:v>16631</c:v>
                </c:pt>
                <c:pt idx="2">
                  <c:v>16816</c:v>
                </c:pt>
                <c:pt idx="3">
                  <c:v>17019</c:v>
                </c:pt>
                <c:pt idx="4">
                  <c:v>17241</c:v>
                </c:pt>
                <c:pt idx="5">
                  <c:v>17482</c:v>
                </c:pt>
                <c:pt idx="6">
                  <c:v>17741</c:v>
                </c:pt>
              </c:numCache>
            </c:numRef>
          </c:val>
        </c:ser>
        <c:ser>
          <c:idx val="2"/>
          <c:order val="2"/>
          <c:tx>
            <c:strRef>
              <c:f>Hoja1!$G$5</c:f>
              <c:strCache>
                <c:ptCount val="1"/>
                <c:pt idx="0">
                  <c:v>RURAL</c:v>
                </c:pt>
              </c:strCache>
            </c:strRef>
          </c:tx>
          <c:spPr>
            <a:solidFill>
              <a:schemeClr val="accent2">
                <a:lumMod val="75000"/>
              </a:schemeClr>
            </a:solidFill>
          </c:spPr>
          <c:invertIfNegative val="0"/>
          <c:val>
            <c:numRef>
              <c:f>Hoja1!$G$6:$G$12</c:f>
              <c:numCache>
                <c:formatCode>General</c:formatCode>
                <c:ptCount val="7"/>
                <c:pt idx="0">
                  <c:v>38072</c:v>
                </c:pt>
                <c:pt idx="1">
                  <c:v>38535</c:v>
                </c:pt>
                <c:pt idx="2">
                  <c:v>39025</c:v>
                </c:pt>
                <c:pt idx="3">
                  <c:v>39504</c:v>
                </c:pt>
                <c:pt idx="4">
                  <c:v>39979</c:v>
                </c:pt>
                <c:pt idx="5">
                  <c:v>40453</c:v>
                </c:pt>
                <c:pt idx="6">
                  <c:v>40886</c:v>
                </c:pt>
              </c:numCache>
            </c:numRef>
          </c:val>
        </c:ser>
        <c:ser>
          <c:idx val="3"/>
          <c:order val="3"/>
          <c:tx>
            <c:strRef>
              <c:f>Hoja1!$H$5</c:f>
              <c:strCache>
                <c:ptCount val="1"/>
                <c:pt idx="0">
                  <c:v>HOMBRES</c:v>
                </c:pt>
              </c:strCache>
            </c:strRef>
          </c:tx>
          <c:invertIfNegative val="0"/>
          <c:val>
            <c:numRef>
              <c:f>Hoja1!$H$6:$H$12</c:f>
              <c:numCache>
                <c:formatCode>General</c:formatCode>
                <c:ptCount val="7"/>
                <c:pt idx="0">
                  <c:v>26644</c:v>
                </c:pt>
                <c:pt idx="1">
                  <c:v>26823</c:v>
                </c:pt>
                <c:pt idx="2">
                  <c:v>27142</c:v>
                </c:pt>
                <c:pt idx="3">
                  <c:v>27473</c:v>
                </c:pt>
                <c:pt idx="4">
                  <c:v>27803</c:v>
                </c:pt>
                <c:pt idx="5">
                  <c:v>28146</c:v>
                </c:pt>
                <c:pt idx="6">
                  <c:v>28481</c:v>
                </c:pt>
              </c:numCache>
            </c:numRef>
          </c:val>
        </c:ser>
        <c:ser>
          <c:idx val="4"/>
          <c:order val="4"/>
          <c:tx>
            <c:strRef>
              <c:f>Hoja1!$I$5</c:f>
              <c:strCache>
                <c:ptCount val="1"/>
                <c:pt idx="0">
                  <c:v>MUJERES</c:v>
                </c:pt>
              </c:strCache>
            </c:strRef>
          </c:tx>
          <c:spPr>
            <a:solidFill>
              <a:srgbClr val="00B050"/>
            </a:solidFill>
          </c:spPr>
          <c:invertIfNegative val="0"/>
          <c:val>
            <c:numRef>
              <c:f>Hoja1!$I$6:$I$12</c:f>
              <c:numCache>
                <c:formatCode>General</c:formatCode>
                <c:ptCount val="7"/>
                <c:pt idx="0">
                  <c:v>27893</c:v>
                </c:pt>
                <c:pt idx="1">
                  <c:v>28343</c:v>
                </c:pt>
                <c:pt idx="2">
                  <c:v>28699</c:v>
                </c:pt>
                <c:pt idx="3">
                  <c:v>29050</c:v>
                </c:pt>
                <c:pt idx="4">
                  <c:v>29417</c:v>
                </c:pt>
                <c:pt idx="5">
                  <c:v>29789</c:v>
                </c:pt>
                <c:pt idx="6">
                  <c:v>30146</c:v>
                </c:pt>
              </c:numCache>
            </c:numRef>
          </c:val>
        </c:ser>
        <c:dLbls>
          <c:showLegendKey val="0"/>
          <c:showVal val="0"/>
          <c:showCatName val="0"/>
          <c:showSerName val="0"/>
          <c:showPercent val="0"/>
          <c:showBubbleSize val="0"/>
        </c:dLbls>
        <c:gapWidth val="150"/>
        <c:axId val="104575744"/>
        <c:axId val="104577280"/>
      </c:barChart>
      <c:catAx>
        <c:axId val="104575744"/>
        <c:scaling>
          <c:orientation val="minMax"/>
        </c:scaling>
        <c:delete val="0"/>
        <c:axPos val="b"/>
        <c:numFmt formatCode="General" sourceLinked="1"/>
        <c:majorTickMark val="out"/>
        <c:minorTickMark val="none"/>
        <c:tickLblPos val="nextTo"/>
        <c:crossAx val="104577280"/>
        <c:crosses val="autoZero"/>
        <c:auto val="1"/>
        <c:lblAlgn val="ctr"/>
        <c:lblOffset val="100"/>
        <c:noMultiLvlLbl val="0"/>
      </c:catAx>
      <c:valAx>
        <c:axId val="104577280"/>
        <c:scaling>
          <c:orientation val="minMax"/>
          <c:max val="60000"/>
        </c:scaling>
        <c:delete val="0"/>
        <c:axPos val="l"/>
        <c:majorGridlines/>
        <c:numFmt formatCode="General" sourceLinked="1"/>
        <c:majorTickMark val="out"/>
        <c:minorTickMark val="none"/>
        <c:tickLblPos val="nextTo"/>
        <c:crossAx val="104575744"/>
        <c:crosses val="autoZero"/>
        <c:crossBetween val="between"/>
      </c:valAx>
    </c:plotArea>
    <c:legend>
      <c:legendPos val="r"/>
      <c:layout>
        <c:manualLayout>
          <c:xMode val="edge"/>
          <c:yMode val="edge"/>
          <c:x val="0.76779655147273274"/>
          <c:y val="0.13792906095071453"/>
          <c:w val="0.22526894719073037"/>
          <c:h val="0.63154892096821269"/>
        </c:manualLayout>
      </c:layout>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niños, niñas y adolescentes entre 0 y 17 años en situación de calle</a:t>
            </a:r>
          </a:p>
        </c:rich>
      </c:tx>
      <c:layout>
        <c:manualLayout>
          <c:xMode val="edge"/>
          <c:yMode val="edge"/>
          <c:x val="0.16463273866467618"/>
          <c:y val="2.6642984014209604E-2"/>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2585278276481225E-2"/>
          <c:y val="0.23745819397993362"/>
          <c:w val="0.8922800718132855"/>
          <c:h val="0.56521739130434756"/>
        </c:manualLayout>
      </c:layout>
      <c:bar3DChart>
        <c:barDir val="col"/>
        <c:grouping val="clustered"/>
        <c:varyColors val="0"/>
        <c:ser>
          <c:idx val="0"/>
          <c:order val="0"/>
          <c:tx>
            <c:strRef>
              <c:f>ICBF!$Y$78</c:f>
              <c:strCache>
                <c:ptCount val="1"/>
                <c:pt idx="0">
                  <c:v>Nº</c:v>
                </c:pt>
              </c:strCache>
            </c:strRef>
          </c:tx>
          <c:spPr>
            <a:solidFill>
              <a:srgbClr val="EE18D5"/>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ICBF!$Z$78:$AE$78</c:f>
              <c:numCache>
                <c:formatCode>General</c:formatCode>
                <c:ptCount val="6"/>
                <c:pt idx="0">
                  <c:v>0</c:v>
                </c:pt>
                <c:pt idx="1">
                  <c:v>3</c:v>
                </c:pt>
                <c:pt idx="2">
                  <c:v>13</c:v>
                </c:pt>
                <c:pt idx="3">
                  <c:v>5</c:v>
                </c:pt>
                <c:pt idx="4">
                  <c:v>4</c:v>
                </c:pt>
                <c:pt idx="5">
                  <c:v>6</c:v>
                </c:pt>
              </c:numCache>
            </c:numRef>
          </c:val>
        </c:ser>
        <c:dLbls>
          <c:showLegendKey val="0"/>
          <c:showVal val="0"/>
          <c:showCatName val="0"/>
          <c:showSerName val="0"/>
          <c:showPercent val="0"/>
          <c:showBubbleSize val="0"/>
        </c:dLbls>
        <c:gapWidth val="95"/>
        <c:gapDepth val="95"/>
        <c:shape val="cylinder"/>
        <c:axId val="142337920"/>
        <c:axId val="142339456"/>
        <c:axId val="0"/>
      </c:bar3DChart>
      <c:catAx>
        <c:axId val="142337920"/>
        <c:scaling>
          <c:orientation val="minMax"/>
        </c:scaling>
        <c:delete val="0"/>
        <c:axPos val="b"/>
        <c:numFmt formatCode="General" sourceLinked="1"/>
        <c:majorTickMark val="out"/>
        <c:minorTickMark val="none"/>
        <c:tickLblPos val="nextTo"/>
        <c:crossAx val="142339456"/>
        <c:crosses val="autoZero"/>
        <c:auto val="1"/>
        <c:lblAlgn val="ctr"/>
        <c:lblOffset val="100"/>
        <c:noMultiLvlLbl val="0"/>
      </c:catAx>
      <c:valAx>
        <c:axId val="142339456"/>
        <c:scaling>
          <c:orientation val="minMax"/>
        </c:scaling>
        <c:delete val="0"/>
        <c:axPos val="l"/>
        <c:majorGridlines/>
        <c:numFmt formatCode="General" sourceLinked="1"/>
        <c:majorTickMark val="out"/>
        <c:minorTickMark val="none"/>
        <c:tickLblPos val="nextTo"/>
        <c:txPr>
          <a:bodyPr/>
          <a:lstStyle/>
          <a:p>
            <a:pPr>
              <a:defRPr sz="800"/>
            </a:pPr>
            <a:endParaRPr lang="es-CO"/>
          </a:p>
        </c:txPr>
        <c:crossAx val="142337920"/>
        <c:crosses val="autoZero"/>
        <c:crossBetween val="between"/>
      </c:valAx>
      <c:dTable>
        <c:showHorzBorder val="1"/>
        <c:showVertBorder val="1"/>
        <c:showOutline val="1"/>
        <c:showKeys val="1"/>
        <c:txPr>
          <a:bodyPr/>
          <a:lstStyle/>
          <a:p>
            <a:pPr rtl="0">
              <a:defRPr sz="800"/>
            </a:pPr>
            <a:endParaRPr lang="es-CO"/>
          </a:p>
        </c:txPr>
      </c:dTable>
      <c:spPr>
        <a:noFill/>
        <a:ln w="25400">
          <a:noFill/>
        </a:ln>
      </c:spPr>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lang="es-CO" sz="800"/>
            </a:pPr>
            <a:r>
              <a:rPr lang="es-ES_tradnl" sz="800"/>
              <a:t>Número de casos denunciados de maltrato en niños, niñas entre 0 y 5 años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ICBF!$Y$96</c:f>
              <c:strCache>
                <c:ptCount val="1"/>
                <c:pt idx="0">
                  <c:v>Nº</c:v>
                </c:pt>
              </c:strCache>
            </c:strRef>
          </c:tx>
          <c:spPr>
            <a:solidFill>
              <a:srgbClr val="7A89F6"/>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ICBF!$Z$96:$AE$96</c:f>
              <c:numCache>
                <c:formatCode>General</c:formatCode>
                <c:ptCount val="6"/>
                <c:pt idx="0">
                  <c:v>15</c:v>
                </c:pt>
                <c:pt idx="1">
                  <c:v>46</c:v>
                </c:pt>
                <c:pt idx="2">
                  <c:v>60</c:v>
                </c:pt>
                <c:pt idx="3">
                  <c:v>4</c:v>
                </c:pt>
                <c:pt idx="4">
                  <c:v>2</c:v>
                </c:pt>
                <c:pt idx="5">
                  <c:v>0</c:v>
                </c:pt>
              </c:numCache>
            </c:numRef>
          </c:val>
        </c:ser>
        <c:dLbls>
          <c:showLegendKey val="0"/>
          <c:showVal val="0"/>
          <c:showCatName val="0"/>
          <c:showSerName val="0"/>
          <c:showPercent val="0"/>
          <c:showBubbleSize val="0"/>
        </c:dLbls>
        <c:gapWidth val="95"/>
        <c:gapDepth val="95"/>
        <c:shape val="cylinder"/>
        <c:axId val="142374784"/>
        <c:axId val="142376320"/>
        <c:axId val="0"/>
      </c:bar3DChart>
      <c:catAx>
        <c:axId val="142374784"/>
        <c:scaling>
          <c:orientation val="minMax"/>
        </c:scaling>
        <c:delete val="0"/>
        <c:axPos val="b"/>
        <c:numFmt formatCode="General" sourceLinked="1"/>
        <c:majorTickMark val="out"/>
        <c:minorTickMark val="none"/>
        <c:tickLblPos val="nextTo"/>
        <c:txPr>
          <a:bodyPr/>
          <a:lstStyle/>
          <a:p>
            <a:pPr>
              <a:defRPr lang="es-CO"/>
            </a:pPr>
            <a:endParaRPr lang="es-CO"/>
          </a:p>
        </c:txPr>
        <c:crossAx val="142376320"/>
        <c:crosses val="autoZero"/>
        <c:auto val="1"/>
        <c:lblAlgn val="ctr"/>
        <c:lblOffset val="100"/>
        <c:noMultiLvlLbl val="0"/>
      </c:catAx>
      <c:valAx>
        <c:axId val="142376320"/>
        <c:scaling>
          <c:orientation val="minMax"/>
        </c:scaling>
        <c:delete val="0"/>
        <c:axPos val="l"/>
        <c:majorGridlines/>
        <c:numFmt formatCode="General" sourceLinked="1"/>
        <c:majorTickMark val="out"/>
        <c:minorTickMark val="none"/>
        <c:tickLblPos val="nextTo"/>
        <c:txPr>
          <a:bodyPr/>
          <a:lstStyle/>
          <a:p>
            <a:pPr>
              <a:defRPr lang="es-CO" sz="800"/>
            </a:pPr>
            <a:endParaRPr lang="es-CO"/>
          </a:p>
        </c:txPr>
        <c:crossAx val="142374784"/>
        <c:crosses val="autoZero"/>
        <c:crossBetween val="between"/>
      </c:valAx>
      <c:dTable>
        <c:showHorzBorder val="1"/>
        <c:showVertBorder val="1"/>
        <c:showOutline val="1"/>
        <c:showKeys val="1"/>
        <c:txPr>
          <a:bodyPr/>
          <a:lstStyle/>
          <a:p>
            <a:pPr rtl="0">
              <a:defRPr lang="es-CO" sz="800"/>
            </a:pPr>
            <a:endParaRPr lang="es-CO"/>
          </a:p>
        </c:txPr>
      </c:dTable>
      <c:spPr>
        <a:noFill/>
        <a:ln w="25400">
          <a:noFill/>
        </a:ln>
      </c:spPr>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lang="es-CO" sz="800"/>
            </a:pPr>
            <a:r>
              <a:rPr lang="es-ES_tradnl" sz="800"/>
              <a:t>Número de casos denunciados de maltrato en niños, niñas y adolescentes entre 0 y 17 años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ICBF!$Y$120</c:f>
              <c:strCache>
                <c:ptCount val="1"/>
                <c:pt idx="0">
                  <c:v>Nº</c:v>
                </c:pt>
              </c:strCache>
            </c:strRef>
          </c:tx>
          <c:spPr>
            <a:solidFill>
              <a:srgbClr val="CC00FF"/>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ICBF!$Z$120:$AE$120</c:f>
              <c:numCache>
                <c:formatCode>General</c:formatCode>
                <c:ptCount val="6"/>
                <c:pt idx="0">
                  <c:v>55</c:v>
                </c:pt>
                <c:pt idx="1">
                  <c:v>92</c:v>
                </c:pt>
                <c:pt idx="2">
                  <c:v>115</c:v>
                </c:pt>
                <c:pt idx="3">
                  <c:v>7</c:v>
                </c:pt>
                <c:pt idx="4">
                  <c:v>11</c:v>
                </c:pt>
                <c:pt idx="5">
                  <c:v>11</c:v>
                </c:pt>
              </c:numCache>
            </c:numRef>
          </c:val>
        </c:ser>
        <c:dLbls>
          <c:showLegendKey val="0"/>
          <c:showVal val="0"/>
          <c:showCatName val="0"/>
          <c:showSerName val="0"/>
          <c:showPercent val="0"/>
          <c:showBubbleSize val="0"/>
        </c:dLbls>
        <c:gapWidth val="95"/>
        <c:gapDepth val="95"/>
        <c:shape val="cylinder"/>
        <c:axId val="142403456"/>
        <c:axId val="142404992"/>
        <c:axId val="0"/>
      </c:bar3DChart>
      <c:catAx>
        <c:axId val="142403456"/>
        <c:scaling>
          <c:orientation val="minMax"/>
        </c:scaling>
        <c:delete val="0"/>
        <c:axPos val="b"/>
        <c:numFmt formatCode="General" sourceLinked="1"/>
        <c:majorTickMark val="out"/>
        <c:minorTickMark val="none"/>
        <c:tickLblPos val="nextTo"/>
        <c:txPr>
          <a:bodyPr/>
          <a:lstStyle/>
          <a:p>
            <a:pPr>
              <a:defRPr lang="es-CO"/>
            </a:pPr>
            <a:endParaRPr lang="es-CO"/>
          </a:p>
        </c:txPr>
        <c:crossAx val="142404992"/>
        <c:crosses val="autoZero"/>
        <c:auto val="1"/>
        <c:lblAlgn val="ctr"/>
        <c:lblOffset val="100"/>
        <c:noMultiLvlLbl val="0"/>
      </c:catAx>
      <c:valAx>
        <c:axId val="142404992"/>
        <c:scaling>
          <c:orientation val="minMax"/>
        </c:scaling>
        <c:delete val="0"/>
        <c:axPos val="l"/>
        <c:majorGridlines/>
        <c:numFmt formatCode="General" sourceLinked="1"/>
        <c:majorTickMark val="out"/>
        <c:minorTickMark val="none"/>
        <c:tickLblPos val="nextTo"/>
        <c:txPr>
          <a:bodyPr/>
          <a:lstStyle/>
          <a:p>
            <a:pPr>
              <a:defRPr lang="es-CO" sz="800"/>
            </a:pPr>
            <a:endParaRPr lang="es-CO"/>
          </a:p>
        </c:txPr>
        <c:crossAx val="142403456"/>
        <c:crosses val="autoZero"/>
        <c:crossBetween val="between"/>
      </c:valAx>
      <c:dTable>
        <c:showHorzBorder val="1"/>
        <c:showVertBorder val="1"/>
        <c:showOutline val="1"/>
        <c:showKeys val="1"/>
        <c:txPr>
          <a:bodyPr/>
          <a:lstStyle/>
          <a:p>
            <a:pPr rtl="0">
              <a:defRPr lang="es-CO" sz="800"/>
            </a:pPr>
            <a:endParaRPr lang="es-CO"/>
          </a:p>
        </c:txPr>
      </c:dTable>
      <c:spPr>
        <a:noFill/>
        <a:ln w="25400">
          <a:noFill/>
        </a:ln>
      </c:spPr>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casos denunciados de abuso sexual en niños, niñas entre 0 y 5 años</a:t>
            </a:r>
          </a:p>
        </c:rich>
      </c:tx>
      <c:layout>
        <c:manualLayout>
          <c:xMode val="edge"/>
          <c:yMode val="edge"/>
          <c:x val="0.15387644599697312"/>
          <c:y val="0"/>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2585278276481225E-2"/>
          <c:y val="0.23745819397993348"/>
          <c:w val="0.8922800718132855"/>
          <c:h val="0.56521739130434756"/>
        </c:manualLayout>
      </c:layout>
      <c:bar3DChart>
        <c:barDir val="col"/>
        <c:grouping val="clustered"/>
        <c:varyColors val="0"/>
        <c:ser>
          <c:idx val="0"/>
          <c:order val="0"/>
          <c:tx>
            <c:strRef>
              <c:f>ICBF!$Y$129</c:f>
              <c:strCache>
                <c:ptCount val="1"/>
                <c:pt idx="0">
                  <c:v>Nº</c:v>
                </c:pt>
              </c:strCache>
            </c:strRef>
          </c:tx>
          <c:spPr>
            <a:solidFill>
              <a:srgbClr val="00FFFF"/>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ICBF!$Z$129:$AE$129</c:f>
              <c:numCache>
                <c:formatCode>General</c:formatCode>
                <c:ptCount val="6"/>
                <c:pt idx="0">
                  <c:v>0</c:v>
                </c:pt>
                <c:pt idx="1">
                  <c:v>1</c:v>
                </c:pt>
                <c:pt idx="2">
                  <c:v>1</c:v>
                </c:pt>
                <c:pt idx="3">
                  <c:v>3</c:v>
                </c:pt>
                <c:pt idx="4">
                  <c:v>7</c:v>
                </c:pt>
                <c:pt idx="5">
                  <c:v>2</c:v>
                </c:pt>
              </c:numCache>
            </c:numRef>
          </c:val>
        </c:ser>
        <c:dLbls>
          <c:showLegendKey val="0"/>
          <c:showVal val="0"/>
          <c:showCatName val="0"/>
          <c:showSerName val="0"/>
          <c:showPercent val="0"/>
          <c:showBubbleSize val="0"/>
        </c:dLbls>
        <c:gapWidth val="95"/>
        <c:gapDepth val="95"/>
        <c:shape val="cylinder"/>
        <c:axId val="142456320"/>
        <c:axId val="142457856"/>
        <c:axId val="0"/>
      </c:bar3DChart>
      <c:catAx>
        <c:axId val="142456320"/>
        <c:scaling>
          <c:orientation val="minMax"/>
        </c:scaling>
        <c:delete val="0"/>
        <c:axPos val="b"/>
        <c:numFmt formatCode="General" sourceLinked="1"/>
        <c:majorTickMark val="out"/>
        <c:minorTickMark val="none"/>
        <c:tickLblPos val="nextTo"/>
        <c:crossAx val="142457856"/>
        <c:crosses val="autoZero"/>
        <c:auto val="1"/>
        <c:lblAlgn val="ctr"/>
        <c:lblOffset val="100"/>
        <c:noMultiLvlLbl val="0"/>
      </c:catAx>
      <c:valAx>
        <c:axId val="142457856"/>
        <c:scaling>
          <c:orientation val="minMax"/>
        </c:scaling>
        <c:delete val="0"/>
        <c:axPos val="l"/>
        <c:majorGridlines/>
        <c:numFmt formatCode="General" sourceLinked="1"/>
        <c:majorTickMark val="out"/>
        <c:minorTickMark val="none"/>
        <c:tickLblPos val="nextTo"/>
        <c:txPr>
          <a:bodyPr/>
          <a:lstStyle/>
          <a:p>
            <a:pPr>
              <a:defRPr sz="800"/>
            </a:pPr>
            <a:endParaRPr lang="es-CO"/>
          </a:p>
        </c:txPr>
        <c:crossAx val="142456320"/>
        <c:crosses val="autoZero"/>
        <c:crossBetween val="between"/>
      </c:valAx>
      <c:dTable>
        <c:showHorzBorder val="1"/>
        <c:showVertBorder val="1"/>
        <c:showOutline val="1"/>
        <c:showKeys val="1"/>
        <c:txPr>
          <a:bodyPr/>
          <a:lstStyle/>
          <a:p>
            <a:pPr rtl="0">
              <a:defRPr sz="800"/>
            </a:pPr>
            <a:endParaRPr lang="es-CO"/>
          </a:p>
        </c:txPr>
      </c:dTable>
      <c:spPr>
        <a:noFill/>
        <a:ln w="25400">
          <a:noFill/>
        </a:ln>
      </c:spPr>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es-ES_tradnl"/>
              <a:t>Número de casos denunciados de abuso sexual en niños, niñas y adolescentes entre 0 y 17 años</a:t>
            </a:r>
          </a:p>
        </c:rich>
      </c:tx>
      <c:layout>
        <c:manualLayout>
          <c:xMode val="edge"/>
          <c:yMode val="edge"/>
          <c:x val="0.16916332676091431"/>
          <c:y val="0"/>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2585278276481225E-2"/>
          <c:y val="0.31438127090301105"/>
          <c:w val="0.8922800718132855"/>
          <c:h val="0.48829431438127091"/>
        </c:manualLayout>
      </c:layout>
      <c:bar3DChart>
        <c:barDir val="col"/>
        <c:grouping val="clustered"/>
        <c:varyColors val="0"/>
        <c:ser>
          <c:idx val="0"/>
          <c:order val="0"/>
          <c:tx>
            <c:strRef>
              <c:f>ICBF!$Y$153</c:f>
              <c:strCache>
                <c:ptCount val="1"/>
                <c:pt idx="0">
                  <c:v>Nº</c:v>
                </c:pt>
              </c:strCache>
            </c:strRef>
          </c:tx>
          <c:spPr>
            <a:solidFill>
              <a:srgbClr val="9966FF"/>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ICBF!$Z$153:$AE$153</c:f>
              <c:numCache>
                <c:formatCode>General</c:formatCode>
                <c:ptCount val="6"/>
                <c:pt idx="0">
                  <c:v>2</c:v>
                </c:pt>
                <c:pt idx="1">
                  <c:v>9</c:v>
                </c:pt>
                <c:pt idx="2">
                  <c:v>10</c:v>
                </c:pt>
                <c:pt idx="3">
                  <c:v>27</c:v>
                </c:pt>
                <c:pt idx="4">
                  <c:v>28</c:v>
                </c:pt>
                <c:pt idx="5">
                  <c:v>14</c:v>
                </c:pt>
              </c:numCache>
            </c:numRef>
          </c:val>
        </c:ser>
        <c:dLbls>
          <c:showLegendKey val="0"/>
          <c:showVal val="0"/>
          <c:showCatName val="0"/>
          <c:showSerName val="0"/>
          <c:showPercent val="0"/>
          <c:showBubbleSize val="0"/>
        </c:dLbls>
        <c:gapWidth val="95"/>
        <c:gapDepth val="95"/>
        <c:shape val="cylinder"/>
        <c:axId val="142873728"/>
        <c:axId val="142875264"/>
        <c:axId val="0"/>
      </c:bar3DChart>
      <c:catAx>
        <c:axId val="142873728"/>
        <c:scaling>
          <c:orientation val="minMax"/>
        </c:scaling>
        <c:delete val="0"/>
        <c:axPos val="b"/>
        <c:numFmt formatCode="General" sourceLinked="1"/>
        <c:majorTickMark val="out"/>
        <c:minorTickMark val="none"/>
        <c:tickLblPos val="nextTo"/>
        <c:crossAx val="142875264"/>
        <c:crosses val="autoZero"/>
        <c:auto val="1"/>
        <c:lblAlgn val="ctr"/>
        <c:lblOffset val="100"/>
        <c:noMultiLvlLbl val="0"/>
      </c:catAx>
      <c:valAx>
        <c:axId val="142875264"/>
        <c:scaling>
          <c:orientation val="minMax"/>
        </c:scaling>
        <c:delete val="0"/>
        <c:axPos val="l"/>
        <c:majorGridlines/>
        <c:numFmt formatCode="General" sourceLinked="1"/>
        <c:majorTickMark val="out"/>
        <c:minorTickMark val="none"/>
        <c:tickLblPos val="nextTo"/>
        <c:crossAx val="142873728"/>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casos de informes periciales sexológicos en niños, niñas y adolescentes entre 0 y 17 años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ICBF!$Y$161</c:f>
              <c:strCache>
                <c:ptCount val="1"/>
                <c:pt idx="0">
                  <c:v>Nº</c:v>
                </c:pt>
              </c:strCache>
            </c:strRef>
          </c:tx>
          <c:spPr>
            <a:solidFill>
              <a:srgbClr val="FFFF00"/>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ICBF!$Z$161:$AE$161</c:f>
              <c:numCache>
                <c:formatCode>General</c:formatCode>
                <c:ptCount val="6"/>
                <c:pt idx="0">
                  <c:v>2</c:v>
                </c:pt>
                <c:pt idx="1">
                  <c:v>3</c:v>
                </c:pt>
                <c:pt idx="2">
                  <c:v>2</c:v>
                </c:pt>
                <c:pt idx="3">
                  <c:v>2</c:v>
                </c:pt>
                <c:pt idx="4">
                  <c:v>4</c:v>
                </c:pt>
                <c:pt idx="5">
                  <c:v>3</c:v>
                </c:pt>
              </c:numCache>
            </c:numRef>
          </c:val>
        </c:ser>
        <c:dLbls>
          <c:showLegendKey val="0"/>
          <c:showVal val="0"/>
          <c:showCatName val="0"/>
          <c:showSerName val="0"/>
          <c:showPercent val="0"/>
          <c:showBubbleSize val="0"/>
        </c:dLbls>
        <c:gapWidth val="95"/>
        <c:gapDepth val="95"/>
        <c:shape val="cylinder"/>
        <c:axId val="142897920"/>
        <c:axId val="142899456"/>
        <c:axId val="0"/>
      </c:bar3DChart>
      <c:catAx>
        <c:axId val="142897920"/>
        <c:scaling>
          <c:orientation val="minMax"/>
        </c:scaling>
        <c:delete val="0"/>
        <c:axPos val="b"/>
        <c:numFmt formatCode="General" sourceLinked="1"/>
        <c:majorTickMark val="out"/>
        <c:minorTickMark val="none"/>
        <c:tickLblPos val="nextTo"/>
        <c:crossAx val="142899456"/>
        <c:crosses val="autoZero"/>
        <c:auto val="1"/>
        <c:lblAlgn val="ctr"/>
        <c:lblOffset val="100"/>
        <c:noMultiLvlLbl val="0"/>
      </c:catAx>
      <c:valAx>
        <c:axId val="142899456"/>
        <c:scaling>
          <c:orientation val="minMax"/>
        </c:scaling>
        <c:delete val="0"/>
        <c:axPos val="l"/>
        <c:majorGridlines/>
        <c:numFmt formatCode="General" sourceLinked="1"/>
        <c:majorTickMark val="out"/>
        <c:minorTickMark val="none"/>
        <c:tickLblPos val="nextTo"/>
        <c:crossAx val="142897920"/>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dictámenes sexológicos realizados en personas entre 0 a 17 años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ICBF!$Y$169</c:f>
              <c:strCache>
                <c:ptCount val="1"/>
                <c:pt idx="0">
                  <c:v>Nº</c:v>
                </c:pt>
              </c:strCache>
            </c:strRef>
          </c:tx>
          <c:spPr>
            <a:solidFill>
              <a:srgbClr val="FF0066"/>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ICBF!$Z$169:$AE$169</c:f>
              <c:numCache>
                <c:formatCode>General</c:formatCode>
                <c:ptCount val="6"/>
                <c:pt idx="0">
                  <c:v>10</c:v>
                </c:pt>
                <c:pt idx="1">
                  <c:v>16</c:v>
                </c:pt>
                <c:pt idx="2">
                  <c:v>15</c:v>
                </c:pt>
                <c:pt idx="3">
                  <c:v>25</c:v>
                </c:pt>
                <c:pt idx="4">
                  <c:v>24</c:v>
                </c:pt>
                <c:pt idx="5">
                  <c:v>26</c:v>
                </c:pt>
              </c:numCache>
            </c:numRef>
          </c:val>
        </c:ser>
        <c:ser>
          <c:idx val="1"/>
          <c:order val="1"/>
          <c:tx>
            <c:strRef>
              <c:f>ICBF!$Y$170</c:f>
              <c:strCache>
                <c:ptCount val="1"/>
                <c:pt idx="0">
                  <c:v>Indicador</c:v>
                </c:pt>
              </c:strCache>
            </c:strRef>
          </c:tx>
          <c:invertIfNegative val="0"/>
          <c:val>
            <c:numRef>
              <c:f>ICBF!$Z$170:$AE$170</c:f>
              <c:numCache>
                <c:formatCode>0.00%</c:formatCode>
                <c:ptCount val="6"/>
                <c:pt idx="0">
                  <c:v>5.0000000000000034E-4</c:v>
                </c:pt>
                <c:pt idx="1">
                  <c:v>8.0000000000000264E-4</c:v>
                </c:pt>
                <c:pt idx="2">
                  <c:v>8.0000000000000264E-4</c:v>
                </c:pt>
                <c:pt idx="3">
                  <c:v>1.5000000000000033E-3</c:v>
                </c:pt>
                <c:pt idx="4">
                  <c:v>1.2999999999999978E-3</c:v>
                </c:pt>
                <c:pt idx="5">
                  <c:v>1.400000000000003E-3</c:v>
                </c:pt>
              </c:numCache>
            </c:numRef>
          </c:val>
        </c:ser>
        <c:dLbls>
          <c:showLegendKey val="0"/>
          <c:showVal val="0"/>
          <c:showCatName val="0"/>
          <c:showSerName val="0"/>
          <c:showPercent val="0"/>
          <c:showBubbleSize val="0"/>
        </c:dLbls>
        <c:gapWidth val="95"/>
        <c:gapDepth val="95"/>
        <c:shape val="cylinder"/>
        <c:axId val="142943744"/>
        <c:axId val="142945280"/>
        <c:axId val="0"/>
      </c:bar3DChart>
      <c:catAx>
        <c:axId val="142943744"/>
        <c:scaling>
          <c:orientation val="minMax"/>
        </c:scaling>
        <c:delete val="0"/>
        <c:axPos val="b"/>
        <c:numFmt formatCode="General" sourceLinked="1"/>
        <c:majorTickMark val="out"/>
        <c:minorTickMark val="none"/>
        <c:tickLblPos val="nextTo"/>
        <c:crossAx val="142945280"/>
        <c:crosses val="autoZero"/>
        <c:auto val="1"/>
        <c:lblAlgn val="ctr"/>
        <c:lblOffset val="100"/>
        <c:noMultiLvlLbl val="0"/>
      </c:catAx>
      <c:valAx>
        <c:axId val="142945280"/>
        <c:scaling>
          <c:orientation val="minMax"/>
        </c:scaling>
        <c:delete val="0"/>
        <c:axPos val="l"/>
        <c:majorGridlines/>
        <c:numFmt formatCode="General" sourceLinked="1"/>
        <c:majorTickMark val="out"/>
        <c:minorTickMark val="none"/>
        <c:tickLblPos val="nextTo"/>
        <c:crossAx val="142943744"/>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valoraciones médico legales por presunto delito de maltrato infantil  en niños, niñas entre 0 y 5 años</a:t>
            </a:r>
          </a:p>
        </c:rich>
      </c:tx>
      <c:layout>
        <c:manualLayout>
          <c:xMode val="edge"/>
          <c:yMode val="edge"/>
          <c:x val="0.11002379639708411"/>
          <c:y val="2.6966292134831451E-2"/>
        </c:manualLayout>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ICBF!$Y$186</c:f>
              <c:strCache>
                <c:ptCount val="1"/>
                <c:pt idx="0">
                  <c:v>Nº</c:v>
                </c:pt>
              </c:strCache>
            </c:strRef>
          </c:tx>
          <c:spPr>
            <a:solidFill>
              <a:srgbClr val="3366FF"/>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ICBF!$Z$186:$AE$186</c:f>
              <c:numCache>
                <c:formatCode>General</c:formatCode>
                <c:ptCount val="6"/>
                <c:pt idx="0">
                  <c:v>9</c:v>
                </c:pt>
                <c:pt idx="1">
                  <c:v>13</c:v>
                </c:pt>
                <c:pt idx="2">
                  <c:v>15</c:v>
                </c:pt>
                <c:pt idx="3">
                  <c:v>19</c:v>
                </c:pt>
                <c:pt idx="4">
                  <c:v>15</c:v>
                </c:pt>
                <c:pt idx="5">
                  <c:v>18</c:v>
                </c:pt>
              </c:numCache>
            </c:numRef>
          </c:val>
        </c:ser>
        <c:dLbls>
          <c:showLegendKey val="0"/>
          <c:showVal val="0"/>
          <c:showCatName val="0"/>
          <c:showSerName val="0"/>
          <c:showPercent val="0"/>
          <c:showBubbleSize val="0"/>
        </c:dLbls>
        <c:gapWidth val="95"/>
        <c:gapDepth val="95"/>
        <c:shape val="cylinder"/>
        <c:axId val="142976128"/>
        <c:axId val="142977664"/>
        <c:axId val="0"/>
      </c:bar3DChart>
      <c:catAx>
        <c:axId val="142976128"/>
        <c:scaling>
          <c:orientation val="minMax"/>
        </c:scaling>
        <c:delete val="0"/>
        <c:axPos val="b"/>
        <c:numFmt formatCode="General" sourceLinked="1"/>
        <c:majorTickMark val="out"/>
        <c:minorTickMark val="none"/>
        <c:tickLblPos val="nextTo"/>
        <c:crossAx val="142977664"/>
        <c:crosses val="autoZero"/>
        <c:auto val="1"/>
        <c:lblAlgn val="ctr"/>
        <c:lblOffset val="100"/>
        <c:noMultiLvlLbl val="0"/>
      </c:catAx>
      <c:valAx>
        <c:axId val="142977664"/>
        <c:scaling>
          <c:orientation val="minMax"/>
        </c:scaling>
        <c:delete val="0"/>
        <c:axPos val="l"/>
        <c:majorGridlines/>
        <c:numFmt formatCode="General" sourceLinked="1"/>
        <c:majorTickMark val="out"/>
        <c:minorTickMark val="none"/>
        <c:tickLblPos val="nextTo"/>
        <c:crossAx val="142976128"/>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niños, niñas y adolescentes explotados sexualmente </a:t>
            </a:r>
          </a:p>
        </c:rich>
      </c:tx>
      <c:layout>
        <c:manualLayout>
          <c:xMode val="edge"/>
          <c:yMode val="edge"/>
          <c:x val="0.15898192366672736"/>
          <c:y val="0"/>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2585278276481225E-2"/>
          <c:y val="0.23648648648648715"/>
          <c:w val="0.8922800718132855"/>
          <c:h val="0.56418918918918914"/>
        </c:manualLayout>
      </c:layout>
      <c:bar3DChart>
        <c:barDir val="col"/>
        <c:grouping val="clustered"/>
        <c:varyColors val="0"/>
        <c:ser>
          <c:idx val="0"/>
          <c:order val="0"/>
          <c:tx>
            <c:strRef>
              <c:f>ICBF!$Y$210</c:f>
              <c:strCache>
                <c:ptCount val="1"/>
                <c:pt idx="0">
                  <c:v>Nº</c:v>
                </c:pt>
              </c:strCache>
            </c:strRef>
          </c:tx>
          <c:spPr>
            <a:solidFill>
              <a:srgbClr val="A3C266"/>
            </a:solidFill>
          </c:spPr>
          <c:invertIfNegative val="0"/>
          <c:cat>
            <c:numRef>
              <c:f>ICBF!$Z$209:$AE$209</c:f>
              <c:numCache>
                <c:formatCode>General</c:formatCode>
                <c:ptCount val="6"/>
                <c:pt idx="0">
                  <c:v>2005</c:v>
                </c:pt>
                <c:pt idx="1">
                  <c:v>2006</c:v>
                </c:pt>
                <c:pt idx="2">
                  <c:v>2007</c:v>
                </c:pt>
                <c:pt idx="3">
                  <c:v>2008</c:v>
                </c:pt>
                <c:pt idx="4">
                  <c:v>2009</c:v>
                </c:pt>
                <c:pt idx="5">
                  <c:v>2010</c:v>
                </c:pt>
              </c:numCache>
            </c:numRef>
          </c:cat>
          <c:val>
            <c:numRef>
              <c:f>ICBF!$Z$210:$AE$210</c:f>
              <c:numCache>
                <c:formatCode>General</c:formatCode>
                <c:ptCount val="6"/>
                <c:pt idx="0">
                  <c:v>0</c:v>
                </c:pt>
                <c:pt idx="1">
                  <c:v>1</c:v>
                </c:pt>
                <c:pt idx="2">
                  <c:v>0</c:v>
                </c:pt>
                <c:pt idx="3">
                  <c:v>2</c:v>
                </c:pt>
                <c:pt idx="4">
                  <c:v>4</c:v>
                </c:pt>
                <c:pt idx="5">
                  <c:v>2</c:v>
                </c:pt>
              </c:numCache>
            </c:numRef>
          </c:val>
        </c:ser>
        <c:dLbls>
          <c:showLegendKey val="0"/>
          <c:showVal val="0"/>
          <c:showCatName val="0"/>
          <c:showSerName val="0"/>
          <c:showPercent val="0"/>
          <c:showBubbleSize val="0"/>
        </c:dLbls>
        <c:gapWidth val="95"/>
        <c:gapDepth val="95"/>
        <c:shape val="cylinder"/>
        <c:axId val="142680832"/>
        <c:axId val="142682368"/>
        <c:axId val="0"/>
      </c:bar3DChart>
      <c:catAx>
        <c:axId val="142680832"/>
        <c:scaling>
          <c:orientation val="minMax"/>
        </c:scaling>
        <c:delete val="0"/>
        <c:axPos val="b"/>
        <c:numFmt formatCode="General" sourceLinked="1"/>
        <c:majorTickMark val="out"/>
        <c:minorTickMark val="none"/>
        <c:tickLblPos val="nextTo"/>
        <c:crossAx val="142682368"/>
        <c:crosses val="autoZero"/>
        <c:auto val="1"/>
        <c:lblAlgn val="ctr"/>
        <c:lblOffset val="100"/>
        <c:noMultiLvlLbl val="0"/>
      </c:catAx>
      <c:valAx>
        <c:axId val="142682368"/>
        <c:scaling>
          <c:orientation val="minMax"/>
        </c:scaling>
        <c:delete val="0"/>
        <c:axPos val="l"/>
        <c:majorGridlines/>
        <c:numFmt formatCode="General" sourceLinked="1"/>
        <c:majorTickMark val="out"/>
        <c:minorTickMark val="none"/>
        <c:tickLblPos val="nextTo"/>
        <c:crossAx val="142680832"/>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Número de adolescentes entre 14 y 17 infractores de la Ley Penal vinculados a procesos judiciales</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ICBF!$Y$222</c:f>
              <c:strCache>
                <c:ptCount val="1"/>
                <c:pt idx="0">
                  <c:v>Nº</c:v>
                </c:pt>
              </c:strCache>
            </c:strRef>
          </c:tx>
          <c:spPr>
            <a:solidFill>
              <a:srgbClr val="FF9933"/>
            </a:solidFill>
          </c:spPr>
          <c:invertIfNegative val="0"/>
          <c:cat>
            <c:numRef>
              <c:f>ICBF!$Z$221:$AE$221</c:f>
              <c:numCache>
                <c:formatCode>General</c:formatCode>
                <c:ptCount val="6"/>
                <c:pt idx="0">
                  <c:v>2005</c:v>
                </c:pt>
                <c:pt idx="1">
                  <c:v>2006</c:v>
                </c:pt>
                <c:pt idx="2">
                  <c:v>2007</c:v>
                </c:pt>
                <c:pt idx="3">
                  <c:v>2008</c:v>
                </c:pt>
                <c:pt idx="4">
                  <c:v>2009</c:v>
                </c:pt>
                <c:pt idx="5">
                  <c:v>2010</c:v>
                </c:pt>
              </c:numCache>
            </c:numRef>
          </c:cat>
          <c:val>
            <c:numRef>
              <c:f>ICBF!$Z$222:$AE$222</c:f>
              <c:numCache>
                <c:formatCode>General</c:formatCode>
                <c:ptCount val="6"/>
                <c:pt idx="0">
                  <c:v>15</c:v>
                </c:pt>
                <c:pt idx="1">
                  <c:v>12</c:v>
                </c:pt>
                <c:pt idx="2">
                  <c:v>4</c:v>
                </c:pt>
                <c:pt idx="3">
                  <c:v>4</c:v>
                </c:pt>
                <c:pt idx="4">
                  <c:v>12</c:v>
                </c:pt>
                <c:pt idx="5">
                  <c:v>16</c:v>
                </c:pt>
              </c:numCache>
            </c:numRef>
          </c:val>
        </c:ser>
        <c:dLbls>
          <c:showLegendKey val="0"/>
          <c:showVal val="0"/>
          <c:showCatName val="0"/>
          <c:showSerName val="0"/>
          <c:showPercent val="0"/>
          <c:showBubbleSize val="0"/>
        </c:dLbls>
        <c:gapWidth val="95"/>
        <c:gapDepth val="95"/>
        <c:shape val="cylinder"/>
        <c:axId val="142713216"/>
        <c:axId val="142714752"/>
        <c:axId val="0"/>
      </c:bar3DChart>
      <c:catAx>
        <c:axId val="142713216"/>
        <c:scaling>
          <c:orientation val="minMax"/>
        </c:scaling>
        <c:delete val="0"/>
        <c:axPos val="b"/>
        <c:numFmt formatCode="General" sourceLinked="1"/>
        <c:majorTickMark val="out"/>
        <c:minorTickMark val="none"/>
        <c:tickLblPos val="nextTo"/>
        <c:crossAx val="142714752"/>
        <c:crosses val="autoZero"/>
        <c:auto val="1"/>
        <c:lblAlgn val="ctr"/>
        <c:lblOffset val="100"/>
        <c:noMultiLvlLbl val="0"/>
      </c:catAx>
      <c:valAx>
        <c:axId val="142714752"/>
        <c:scaling>
          <c:orientation val="minMax"/>
        </c:scaling>
        <c:delete val="0"/>
        <c:axPos val="l"/>
        <c:majorGridlines/>
        <c:numFmt formatCode="General" sourceLinked="1"/>
        <c:majorTickMark val="out"/>
        <c:minorTickMark val="none"/>
        <c:tickLblPos val="nextTo"/>
        <c:crossAx val="142713216"/>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v>ESTRATO 1</c:v>
          </c:tx>
          <c:invertIfNegative val="0"/>
          <c:cat>
            <c:strRef>
              <c:f>Hoja2!$A$5:$A$21</c:f>
              <c:strCache>
                <c:ptCount val="17"/>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 Y MÁS</c:v>
                </c:pt>
              </c:strCache>
            </c:strRef>
          </c:cat>
          <c:val>
            <c:numRef>
              <c:f>Hoja2!$B$5:$B$21</c:f>
              <c:numCache>
                <c:formatCode>General</c:formatCode>
                <c:ptCount val="17"/>
                <c:pt idx="0">
                  <c:v>1586</c:v>
                </c:pt>
                <c:pt idx="1">
                  <c:v>1566</c:v>
                </c:pt>
                <c:pt idx="2">
                  <c:v>1578</c:v>
                </c:pt>
                <c:pt idx="3">
                  <c:v>1614</c:v>
                </c:pt>
                <c:pt idx="4">
                  <c:v>1583</c:v>
                </c:pt>
                <c:pt idx="5">
                  <c:v>1010</c:v>
                </c:pt>
                <c:pt idx="6">
                  <c:v>1093</c:v>
                </c:pt>
                <c:pt idx="7">
                  <c:v>996</c:v>
                </c:pt>
                <c:pt idx="8">
                  <c:v>1102</c:v>
                </c:pt>
                <c:pt idx="9">
                  <c:v>1131</c:v>
                </c:pt>
                <c:pt idx="10">
                  <c:v>1085</c:v>
                </c:pt>
                <c:pt idx="11">
                  <c:v>880</c:v>
                </c:pt>
                <c:pt idx="12">
                  <c:v>765</c:v>
                </c:pt>
                <c:pt idx="13">
                  <c:v>657</c:v>
                </c:pt>
                <c:pt idx="14">
                  <c:v>551</c:v>
                </c:pt>
                <c:pt idx="15">
                  <c:v>397</c:v>
                </c:pt>
                <c:pt idx="16">
                  <c:v>488</c:v>
                </c:pt>
              </c:numCache>
            </c:numRef>
          </c:val>
        </c:ser>
        <c:ser>
          <c:idx val="1"/>
          <c:order val="1"/>
          <c:tx>
            <c:v>ESTRATO 2</c:v>
          </c:tx>
          <c:invertIfNegative val="0"/>
          <c:cat>
            <c:strRef>
              <c:f>Hoja2!$A$5:$A$21</c:f>
              <c:strCache>
                <c:ptCount val="17"/>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 Y MÁS</c:v>
                </c:pt>
              </c:strCache>
            </c:strRef>
          </c:cat>
          <c:val>
            <c:numRef>
              <c:f>Hoja2!$C$5:$C$21</c:f>
              <c:numCache>
                <c:formatCode>General</c:formatCode>
                <c:ptCount val="17"/>
                <c:pt idx="0">
                  <c:v>2216</c:v>
                </c:pt>
                <c:pt idx="1">
                  <c:v>2189</c:v>
                </c:pt>
                <c:pt idx="2">
                  <c:v>2205</c:v>
                </c:pt>
                <c:pt idx="3">
                  <c:v>2255</c:v>
                </c:pt>
                <c:pt idx="4">
                  <c:v>2211</c:v>
                </c:pt>
                <c:pt idx="5">
                  <c:v>1412</c:v>
                </c:pt>
                <c:pt idx="6">
                  <c:v>1527</c:v>
                </c:pt>
                <c:pt idx="7">
                  <c:v>1392</c:v>
                </c:pt>
                <c:pt idx="8">
                  <c:v>1540</c:v>
                </c:pt>
                <c:pt idx="9">
                  <c:v>1580</c:v>
                </c:pt>
                <c:pt idx="10">
                  <c:v>1516</c:v>
                </c:pt>
                <c:pt idx="11">
                  <c:v>1229</c:v>
                </c:pt>
                <c:pt idx="12">
                  <c:v>1069</c:v>
                </c:pt>
                <c:pt idx="13">
                  <c:v>918</c:v>
                </c:pt>
                <c:pt idx="14">
                  <c:v>769</c:v>
                </c:pt>
                <c:pt idx="15">
                  <c:v>555</c:v>
                </c:pt>
                <c:pt idx="16">
                  <c:v>681</c:v>
                </c:pt>
              </c:numCache>
            </c:numRef>
          </c:val>
        </c:ser>
        <c:ser>
          <c:idx val="2"/>
          <c:order val="2"/>
          <c:tx>
            <c:v>ESTRATO 3</c:v>
          </c:tx>
          <c:invertIfNegative val="0"/>
          <c:cat>
            <c:strRef>
              <c:f>Hoja2!$A$5:$A$21</c:f>
              <c:strCache>
                <c:ptCount val="17"/>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 Y MÁS</c:v>
                </c:pt>
              </c:strCache>
            </c:strRef>
          </c:cat>
          <c:val>
            <c:numRef>
              <c:f>Hoja2!$D$5:$D$21</c:f>
              <c:numCache>
                <c:formatCode>General</c:formatCode>
                <c:ptCount val="17"/>
                <c:pt idx="0">
                  <c:v>1279</c:v>
                </c:pt>
                <c:pt idx="1">
                  <c:v>1264</c:v>
                </c:pt>
                <c:pt idx="2">
                  <c:v>1273</c:v>
                </c:pt>
                <c:pt idx="3">
                  <c:v>1302</c:v>
                </c:pt>
                <c:pt idx="4">
                  <c:v>1277</c:v>
                </c:pt>
                <c:pt idx="5">
                  <c:v>815</c:v>
                </c:pt>
                <c:pt idx="6">
                  <c:v>882</c:v>
                </c:pt>
                <c:pt idx="7">
                  <c:v>804</c:v>
                </c:pt>
                <c:pt idx="8">
                  <c:v>889</c:v>
                </c:pt>
                <c:pt idx="9">
                  <c:v>913</c:v>
                </c:pt>
                <c:pt idx="10">
                  <c:v>875</c:v>
                </c:pt>
                <c:pt idx="11">
                  <c:v>710</c:v>
                </c:pt>
                <c:pt idx="12">
                  <c:v>617</c:v>
                </c:pt>
                <c:pt idx="13">
                  <c:v>530</c:v>
                </c:pt>
                <c:pt idx="14">
                  <c:v>444</c:v>
                </c:pt>
                <c:pt idx="15">
                  <c:v>320</c:v>
                </c:pt>
                <c:pt idx="16">
                  <c:v>393</c:v>
                </c:pt>
              </c:numCache>
            </c:numRef>
          </c:val>
        </c:ser>
        <c:dLbls>
          <c:showLegendKey val="0"/>
          <c:showVal val="0"/>
          <c:showCatName val="0"/>
          <c:showSerName val="0"/>
          <c:showPercent val="0"/>
          <c:showBubbleSize val="0"/>
        </c:dLbls>
        <c:gapWidth val="175"/>
        <c:axId val="95112192"/>
        <c:axId val="95122176"/>
      </c:barChart>
      <c:catAx>
        <c:axId val="95112192"/>
        <c:scaling>
          <c:orientation val="minMax"/>
        </c:scaling>
        <c:delete val="0"/>
        <c:axPos val="b"/>
        <c:majorTickMark val="out"/>
        <c:minorTickMark val="none"/>
        <c:tickLblPos val="nextTo"/>
        <c:crossAx val="95122176"/>
        <c:crosses val="autoZero"/>
        <c:auto val="1"/>
        <c:lblAlgn val="ctr"/>
        <c:lblOffset val="100"/>
        <c:noMultiLvlLbl val="0"/>
      </c:catAx>
      <c:valAx>
        <c:axId val="95122176"/>
        <c:scaling>
          <c:orientation val="minMax"/>
        </c:scaling>
        <c:delete val="0"/>
        <c:axPos val="l"/>
        <c:majorGridlines/>
        <c:numFmt formatCode="General" sourceLinked="1"/>
        <c:majorTickMark val="out"/>
        <c:minorTickMark val="none"/>
        <c:tickLblPos val="nextTo"/>
        <c:crossAx val="95112192"/>
        <c:crosses val="autoZero"/>
        <c:crossBetween val="between"/>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Porcentaje de adolescentes entre 14 y 17 años infractores de la ley penal reincidentes</a:t>
            </a:r>
          </a:p>
        </c:rich>
      </c:tx>
      <c:layout>
        <c:manualLayout>
          <c:xMode val="edge"/>
          <c:yMode val="edge"/>
          <c:x val="0.15014352569136413"/>
          <c:y val="9.1672654630545664E-2"/>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30396672114098977"/>
          <c:y val="0.29321569545590837"/>
          <c:w val="0.66968902580980583"/>
          <c:h val="0.32181821477994499"/>
        </c:manualLayout>
      </c:layout>
      <c:bar3DChart>
        <c:barDir val="col"/>
        <c:grouping val="clustered"/>
        <c:varyColors val="0"/>
        <c:ser>
          <c:idx val="0"/>
          <c:order val="0"/>
          <c:tx>
            <c:strRef>
              <c:f>ICBF!$Y$234</c:f>
              <c:strCache>
                <c:ptCount val="1"/>
                <c:pt idx="0">
                  <c:v>Infractores</c:v>
                </c:pt>
              </c:strCache>
            </c:strRef>
          </c:tx>
          <c:spPr>
            <a:solidFill>
              <a:srgbClr val="CC00CC"/>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ICBF!$Z$234:$AC$234</c:f>
              <c:numCache>
                <c:formatCode>General</c:formatCode>
                <c:ptCount val="4"/>
                <c:pt idx="0">
                  <c:v>4</c:v>
                </c:pt>
                <c:pt idx="1">
                  <c:v>4</c:v>
                </c:pt>
                <c:pt idx="2">
                  <c:v>12</c:v>
                </c:pt>
                <c:pt idx="3">
                  <c:v>16</c:v>
                </c:pt>
              </c:numCache>
            </c:numRef>
          </c:val>
        </c:ser>
        <c:ser>
          <c:idx val="1"/>
          <c:order val="1"/>
          <c:tx>
            <c:strRef>
              <c:f>ICBF!$Y$235</c:f>
              <c:strCache>
                <c:ptCount val="1"/>
                <c:pt idx="0">
                  <c:v>Reincidentes</c:v>
                </c:pt>
              </c:strCache>
            </c:strRef>
          </c:tx>
          <c:invertIfNegative val="0"/>
          <c:val>
            <c:numRef>
              <c:f>ICBF!$Z$235:$AC$235</c:f>
              <c:numCache>
                <c:formatCode>0</c:formatCode>
                <c:ptCount val="4"/>
                <c:pt idx="0">
                  <c:v>0</c:v>
                </c:pt>
                <c:pt idx="1">
                  <c:v>0</c:v>
                </c:pt>
                <c:pt idx="2">
                  <c:v>1</c:v>
                </c:pt>
                <c:pt idx="3">
                  <c:v>0</c:v>
                </c:pt>
              </c:numCache>
            </c:numRef>
          </c:val>
        </c:ser>
        <c:dLbls>
          <c:showLegendKey val="0"/>
          <c:showVal val="0"/>
          <c:showCatName val="0"/>
          <c:showSerName val="0"/>
          <c:showPercent val="0"/>
          <c:showBubbleSize val="0"/>
        </c:dLbls>
        <c:gapWidth val="95"/>
        <c:gapDepth val="95"/>
        <c:shape val="cylinder"/>
        <c:axId val="142808192"/>
        <c:axId val="142809728"/>
        <c:axId val="0"/>
      </c:bar3DChart>
      <c:catAx>
        <c:axId val="142808192"/>
        <c:scaling>
          <c:orientation val="minMax"/>
        </c:scaling>
        <c:delete val="0"/>
        <c:axPos val="b"/>
        <c:numFmt formatCode="General" sourceLinked="1"/>
        <c:majorTickMark val="out"/>
        <c:minorTickMark val="none"/>
        <c:tickLblPos val="nextTo"/>
        <c:crossAx val="142809728"/>
        <c:crosses val="autoZero"/>
        <c:auto val="1"/>
        <c:lblAlgn val="ctr"/>
        <c:lblOffset val="100"/>
        <c:noMultiLvlLbl val="0"/>
      </c:catAx>
      <c:valAx>
        <c:axId val="142809728"/>
        <c:scaling>
          <c:orientation val="minMax"/>
        </c:scaling>
        <c:delete val="0"/>
        <c:axPos val="l"/>
        <c:majorGridlines/>
        <c:numFmt formatCode="General" sourceLinked="1"/>
        <c:majorTickMark val="out"/>
        <c:minorTickMark val="none"/>
        <c:tickLblPos val="nextTo"/>
        <c:crossAx val="142808192"/>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800"/>
            </a:pPr>
            <a:r>
              <a:rPr lang="es-ES_tradnl" sz="800"/>
              <a:t>Porcentaje de adolescentes entre 14 y 17 años privados de libertad procesados conforme a la ley</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2"/>
          <c:order val="0"/>
          <c:tx>
            <c:strRef>
              <c:f>ICBF!$Y$246</c:f>
              <c:strCache>
                <c:ptCount val="1"/>
                <c:pt idx="0">
                  <c:v>Privados de la libertad</c:v>
                </c:pt>
              </c:strCache>
            </c:strRef>
          </c:tx>
          <c:spPr>
            <a:solidFill>
              <a:srgbClr val="00FF00"/>
            </a:solidFill>
          </c:spPr>
          <c:invertIfNegative val="0"/>
          <c:val>
            <c:numRef>
              <c:f>ICBF!$Z$246:$AC$246</c:f>
              <c:numCache>
                <c:formatCode>General</c:formatCode>
                <c:ptCount val="4"/>
                <c:pt idx="0">
                  <c:v>6</c:v>
                </c:pt>
                <c:pt idx="1">
                  <c:v>0</c:v>
                </c:pt>
                <c:pt idx="2">
                  <c:v>4</c:v>
                </c:pt>
                <c:pt idx="3">
                  <c:v>6</c:v>
                </c:pt>
              </c:numCache>
            </c:numRef>
          </c:val>
        </c:ser>
        <c:ser>
          <c:idx val="0"/>
          <c:order val="1"/>
          <c:tx>
            <c:strRef>
              <c:f>ICBF!$Y$247</c:f>
              <c:strCache>
                <c:ptCount val="1"/>
                <c:pt idx="0">
                  <c:v>Infractores</c:v>
                </c:pt>
              </c:strCache>
            </c:strRef>
          </c:tx>
          <c:spPr>
            <a:solidFill>
              <a:srgbClr val="009999"/>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ICBF!$Z$247:$AC$247</c:f>
              <c:numCache>
                <c:formatCode>General</c:formatCode>
                <c:ptCount val="4"/>
                <c:pt idx="0">
                  <c:v>4</c:v>
                </c:pt>
                <c:pt idx="1">
                  <c:v>4</c:v>
                </c:pt>
                <c:pt idx="2">
                  <c:v>12</c:v>
                </c:pt>
                <c:pt idx="3">
                  <c:v>16</c:v>
                </c:pt>
              </c:numCache>
            </c:numRef>
          </c:val>
        </c:ser>
        <c:ser>
          <c:idx val="1"/>
          <c:order val="2"/>
          <c:tx>
            <c:strRef>
              <c:f>ICBF!$Y$248</c:f>
              <c:strCache>
                <c:ptCount val="1"/>
                <c:pt idx="0">
                  <c:v>Indicador</c:v>
                </c:pt>
              </c:strCache>
            </c:strRef>
          </c:tx>
          <c:spPr>
            <a:solidFill>
              <a:srgbClr val="FF66FF"/>
            </a:solidFill>
          </c:spPr>
          <c:invertIfNegative val="0"/>
          <c:val>
            <c:numRef>
              <c:f>ICBF!$Z$248:$AC$248</c:f>
              <c:numCache>
                <c:formatCode>0.00%</c:formatCode>
                <c:ptCount val="4"/>
                <c:pt idx="0">
                  <c:v>1.5</c:v>
                </c:pt>
                <c:pt idx="1">
                  <c:v>0</c:v>
                </c:pt>
                <c:pt idx="2">
                  <c:v>0.33330000000000137</c:v>
                </c:pt>
                <c:pt idx="3">
                  <c:v>0.37500000000000078</c:v>
                </c:pt>
              </c:numCache>
            </c:numRef>
          </c:val>
        </c:ser>
        <c:dLbls>
          <c:showLegendKey val="0"/>
          <c:showVal val="0"/>
          <c:showCatName val="0"/>
          <c:showSerName val="0"/>
          <c:showPercent val="0"/>
          <c:showBubbleSize val="0"/>
        </c:dLbls>
        <c:gapWidth val="95"/>
        <c:gapDepth val="95"/>
        <c:shape val="cylinder"/>
        <c:axId val="142863360"/>
        <c:axId val="142865152"/>
        <c:axId val="0"/>
      </c:bar3DChart>
      <c:catAx>
        <c:axId val="142863360"/>
        <c:scaling>
          <c:orientation val="minMax"/>
        </c:scaling>
        <c:delete val="0"/>
        <c:axPos val="b"/>
        <c:numFmt formatCode="General" sourceLinked="1"/>
        <c:majorTickMark val="out"/>
        <c:minorTickMark val="none"/>
        <c:tickLblPos val="nextTo"/>
        <c:crossAx val="142865152"/>
        <c:crosses val="autoZero"/>
        <c:auto val="1"/>
        <c:lblAlgn val="ctr"/>
        <c:lblOffset val="100"/>
        <c:noMultiLvlLbl val="0"/>
      </c:catAx>
      <c:valAx>
        <c:axId val="142865152"/>
        <c:scaling>
          <c:orientation val="minMax"/>
        </c:scaling>
        <c:delete val="0"/>
        <c:axPos val="l"/>
        <c:majorGridlines/>
        <c:numFmt formatCode="General" sourceLinked="1"/>
        <c:majorTickMark val="out"/>
        <c:minorTickMark val="none"/>
        <c:tickLblPos val="nextTo"/>
        <c:crossAx val="142863360"/>
        <c:crosses val="autoZero"/>
        <c:crossBetween val="between"/>
      </c:valAx>
      <c:dTable>
        <c:showHorzBorder val="1"/>
        <c:showVertBorder val="1"/>
        <c:showOutline val="1"/>
        <c:showKeys val="1"/>
      </c:dTable>
      <c:spPr>
        <a:noFill/>
        <a:ln w="25400">
          <a:noFill/>
        </a:ln>
      </c:spPr>
    </c:plotArea>
    <c:plotVisOnly val="1"/>
    <c:dispBlanksAs val="gap"/>
    <c:showDLblsOverMax val="0"/>
  </c:chart>
  <c:txPr>
    <a:bodyPr/>
    <a:lstStyle/>
    <a:p>
      <a:pPr>
        <a:defRPr sz="800"/>
      </a:pPr>
      <a:endParaRPr lang="es-CO"/>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s-CO" sz="1200"/>
              <a:t>RAZON</a:t>
            </a:r>
            <a:r>
              <a:rPr lang="es-CO" sz="1200" baseline="0"/>
              <a:t> DE MOTALIDAD MATERNA</a:t>
            </a:r>
            <a:endParaRPr lang="es-CO" sz="1200"/>
          </a:p>
        </c:rich>
      </c:tx>
      <c:overlay val="0"/>
    </c:title>
    <c:autoTitleDeleted val="0"/>
    <c:plotArea>
      <c:layout/>
      <c:lineChart>
        <c:grouping val="standard"/>
        <c:varyColors val="0"/>
        <c:ser>
          <c:idx val="0"/>
          <c:order val="0"/>
          <c:spPr>
            <a:ln>
              <a:gradFill>
                <a:gsLst>
                  <a:gs pos="0">
                    <a:srgbClr val="03D4A8"/>
                  </a:gs>
                  <a:gs pos="25000">
                    <a:srgbClr val="21D6E0"/>
                  </a:gs>
                  <a:gs pos="75000">
                    <a:srgbClr val="0087E6"/>
                  </a:gs>
                  <a:gs pos="100000">
                    <a:srgbClr val="005CBF"/>
                  </a:gs>
                </a:gsLst>
                <a:lin ang="5400000" scaled="0"/>
              </a:gradFill>
            </a:ln>
          </c:spPr>
          <c:marker>
            <c:spPr>
              <a:ln w="15875"/>
            </c:spPr>
          </c:marker>
          <c:cat>
            <c:numRef>
              <c:f>Hoja1!$B$5:$G$5</c:f>
              <c:numCache>
                <c:formatCode>General</c:formatCode>
                <c:ptCount val="6"/>
                <c:pt idx="0">
                  <c:v>2006</c:v>
                </c:pt>
                <c:pt idx="1">
                  <c:v>2007</c:v>
                </c:pt>
                <c:pt idx="2">
                  <c:v>2008</c:v>
                </c:pt>
                <c:pt idx="3">
                  <c:v>2009</c:v>
                </c:pt>
                <c:pt idx="4">
                  <c:v>2010</c:v>
                </c:pt>
                <c:pt idx="5">
                  <c:v>2011</c:v>
                </c:pt>
              </c:numCache>
            </c:numRef>
          </c:cat>
          <c:val>
            <c:numRef>
              <c:f>Hoja1!$B$6:$G$6</c:f>
              <c:numCache>
                <c:formatCode>General</c:formatCode>
                <c:ptCount val="6"/>
                <c:pt idx="0">
                  <c:v>0</c:v>
                </c:pt>
                <c:pt idx="1">
                  <c:v>0</c:v>
                </c:pt>
                <c:pt idx="2">
                  <c:v>2.9499999999999997</c:v>
                </c:pt>
                <c:pt idx="3">
                  <c:v>1.74</c:v>
                </c:pt>
                <c:pt idx="4">
                  <c:v>0</c:v>
                </c:pt>
                <c:pt idx="5">
                  <c:v>3.71</c:v>
                </c:pt>
              </c:numCache>
            </c:numRef>
          </c:val>
          <c:smooth val="0"/>
        </c:ser>
        <c:dLbls>
          <c:showLegendKey val="0"/>
          <c:showVal val="0"/>
          <c:showCatName val="0"/>
          <c:showSerName val="0"/>
          <c:showPercent val="0"/>
          <c:showBubbleSize val="0"/>
        </c:dLbls>
        <c:marker val="1"/>
        <c:smooth val="0"/>
        <c:axId val="143047296"/>
        <c:axId val="143049088"/>
      </c:lineChart>
      <c:catAx>
        <c:axId val="143047296"/>
        <c:scaling>
          <c:orientation val="minMax"/>
        </c:scaling>
        <c:delete val="0"/>
        <c:axPos val="b"/>
        <c:numFmt formatCode="General" sourceLinked="1"/>
        <c:majorTickMark val="none"/>
        <c:minorTickMark val="none"/>
        <c:tickLblPos val="nextTo"/>
        <c:crossAx val="143049088"/>
        <c:crosses val="autoZero"/>
        <c:auto val="1"/>
        <c:lblAlgn val="ctr"/>
        <c:lblOffset val="100"/>
        <c:noMultiLvlLbl val="0"/>
      </c:catAx>
      <c:valAx>
        <c:axId val="143049088"/>
        <c:scaling>
          <c:orientation val="minMax"/>
        </c:scaling>
        <c:delete val="0"/>
        <c:axPos val="l"/>
        <c:majorGridlines/>
        <c:title>
          <c:tx>
            <c:rich>
              <a:bodyPr/>
              <a:lstStyle/>
              <a:p>
                <a:pPr>
                  <a:defRPr/>
                </a:pPr>
                <a:r>
                  <a:rPr lang="es-CO"/>
                  <a:t>X</a:t>
                </a:r>
                <a:r>
                  <a:rPr lang="es-CO" baseline="0"/>
                  <a:t> 1000 NV</a:t>
                </a:r>
                <a:endParaRPr lang="es-CO"/>
              </a:p>
            </c:rich>
          </c:tx>
          <c:overlay val="0"/>
        </c:title>
        <c:numFmt formatCode="General" sourceLinked="1"/>
        <c:majorTickMark val="none"/>
        <c:minorTickMark val="none"/>
        <c:tickLblPos val="nextTo"/>
        <c:crossAx val="143047296"/>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s-CO" sz="1200"/>
              <a:t>TASA</a:t>
            </a:r>
            <a:r>
              <a:rPr lang="es-CO" sz="1200" baseline="0"/>
              <a:t> DE MORTALDIAD INFANTIL</a:t>
            </a:r>
            <a:endParaRPr lang="es-CO" sz="1200"/>
          </a:p>
        </c:rich>
      </c:tx>
      <c:overlay val="0"/>
    </c:title>
    <c:autoTitleDeleted val="0"/>
    <c:plotArea>
      <c:layout/>
      <c:lineChart>
        <c:grouping val="standard"/>
        <c:varyColors val="0"/>
        <c:ser>
          <c:idx val="0"/>
          <c:order val="0"/>
          <c:spPr>
            <a:ln>
              <a:gradFill>
                <a:gsLst>
                  <a:gs pos="0">
                    <a:srgbClr val="03D4A8"/>
                  </a:gs>
                  <a:gs pos="25000">
                    <a:srgbClr val="21D6E0"/>
                  </a:gs>
                  <a:gs pos="75000">
                    <a:srgbClr val="0087E6"/>
                  </a:gs>
                  <a:gs pos="100000">
                    <a:srgbClr val="005CBF"/>
                  </a:gs>
                </a:gsLst>
                <a:lin ang="5400000" scaled="0"/>
              </a:gradFill>
            </a:ln>
          </c:spPr>
          <c:cat>
            <c:numRef>
              <c:f>Hoja2!$B$6:$H$6</c:f>
              <c:numCache>
                <c:formatCode>General</c:formatCode>
                <c:ptCount val="7"/>
                <c:pt idx="0">
                  <c:v>2005</c:v>
                </c:pt>
                <c:pt idx="1">
                  <c:v>2006</c:v>
                </c:pt>
                <c:pt idx="2">
                  <c:v>2007</c:v>
                </c:pt>
                <c:pt idx="3">
                  <c:v>2008</c:v>
                </c:pt>
                <c:pt idx="4">
                  <c:v>2009</c:v>
                </c:pt>
                <c:pt idx="5">
                  <c:v>2010</c:v>
                </c:pt>
                <c:pt idx="6">
                  <c:v>2011</c:v>
                </c:pt>
              </c:numCache>
            </c:numRef>
          </c:cat>
          <c:val>
            <c:numRef>
              <c:f>Hoja2!$B$7:$H$7</c:f>
              <c:numCache>
                <c:formatCode>General</c:formatCode>
                <c:ptCount val="7"/>
                <c:pt idx="0">
                  <c:v>9.7000000000000011</c:v>
                </c:pt>
                <c:pt idx="1">
                  <c:v>10.7</c:v>
                </c:pt>
                <c:pt idx="2">
                  <c:v>19.100000000000001</c:v>
                </c:pt>
                <c:pt idx="3">
                  <c:v>10.3</c:v>
                </c:pt>
                <c:pt idx="4">
                  <c:v>12.219999999999999</c:v>
                </c:pt>
                <c:pt idx="5">
                  <c:v>23.5</c:v>
                </c:pt>
                <c:pt idx="6">
                  <c:v>5.57</c:v>
                </c:pt>
              </c:numCache>
            </c:numRef>
          </c:val>
          <c:smooth val="0"/>
        </c:ser>
        <c:dLbls>
          <c:showLegendKey val="0"/>
          <c:showVal val="0"/>
          <c:showCatName val="0"/>
          <c:showSerName val="0"/>
          <c:showPercent val="0"/>
          <c:showBubbleSize val="0"/>
        </c:dLbls>
        <c:marker val="1"/>
        <c:smooth val="0"/>
        <c:axId val="143090048"/>
        <c:axId val="143091584"/>
      </c:lineChart>
      <c:catAx>
        <c:axId val="143090048"/>
        <c:scaling>
          <c:orientation val="minMax"/>
        </c:scaling>
        <c:delete val="0"/>
        <c:axPos val="b"/>
        <c:numFmt formatCode="General" sourceLinked="1"/>
        <c:majorTickMark val="none"/>
        <c:minorTickMark val="none"/>
        <c:tickLblPos val="nextTo"/>
        <c:crossAx val="143091584"/>
        <c:crosses val="autoZero"/>
        <c:auto val="1"/>
        <c:lblAlgn val="ctr"/>
        <c:lblOffset val="100"/>
        <c:noMultiLvlLbl val="0"/>
      </c:catAx>
      <c:valAx>
        <c:axId val="143091584"/>
        <c:scaling>
          <c:orientation val="minMax"/>
        </c:scaling>
        <c:delete val="0"/>
        <c:axPos val="l"/>
        <c:majorGridlines/>
        <c:title>
          <c:tx>
            <c:rich>
              <a:bodyPr/>
              <a:lstStyle/>
              <a:p>
                <a:pPr>
                  <a:defRPr/>
                </a:pPr>
                <a:r>
                  <a:rPr lang="es-CO"/>
                  <a:t>X 1000 NV</a:t>
                </a:r>
              </a:p>
            </c:rich>
          </c:tx>
          <c:overlay val="0"/>
        </c:title>
        <c:numFmt formatCode="General" sourceLinked="1"/>
        <c:majorTickMark val="none"/>
        <c:minorTickMark val="none"/>
        <c:tickLblPos val="nextTo"/>
        <c:crossAx val="143090048"/>
        <c:crosses val="autoZero"/>
        <c:crossBetween val="between"/>
      </c:valAx>
    </c:plotArea>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7030308156833046"/>
          <c:y val="6.2492298837921297E-2"/>
          <c:w val="0.74087833667063185"/>
          <c:h val="0.64883757857669955"/>
        </c:manualLayout>
      </c:layout>
      <c:barChart>
        <c:barDir val="col"/>
        <c:grouping val="clustered"/>
        <c:varyColors val="0"/>
        <c:ser>
          <c:idx val="1"/>
          <c:order val="0"/>
          <c:tx>
            <c:v># Muertes</c:v>
          </c:tx>
          <c:invertIfNegative val="0"/>
          <c:cat>
            <c:multiLvlStrRef>
              <c:f>Hoja3!$B$4:$H$6</c:f>
              <c:multiLvlStrCache>
                <c:ptCount val="7"/>
                <c:lvl>
                  <c:pt idx="0">
                    <c:v>11</c:v>
                  </c:pt>
                  <c:pt idx="1">
                    <c:v>12</c:v>
                  </c:pt>
                  <c:pt idx="2">
                    <c:v>17</c:v>
                  </c:pt>
                  <c:pt idx="3">
                    <c:v>9</c:v>
                  </c:pt>
                  <c:pt idx="4">
                    <c:v>13</c:v>
                  </c:pt>
                  <c:pt idx="5">
                    <c:v>15</c:v>
                  </c:pt>
                  <c:pt idx="6">
                    <c:v>3</c:v>
                  </c:pt>
                </c:lvl>
                <c:lvl>
                  <c:pt idx="0">
                    <c:v>15,3</c:v>
                  </c:pt>
                  <c:pt idx="1">
                    <c:v>16</c:v>
                  </c:pt>
                  <c:pt idx="2">
                    <c:v>21,6</c:v>
                  </c:pt>
                  <c:pt idx="3">
                    <c:v>13,3</c:v>
                  </c:pt>
                  <c:pt idx="4">
                    <c:v>22,7</c:v>
                  </c:pt>
                  <c:pt idx="5">
                    <c:v>27,2</c:v>
                  </c:pt>
                  <c:pt idx="6">
                    <c:v>4,9</c:v>
                  </c:pt>
                </c:lvl>
                <c:lvl>
                  <c:pt idx="0">
                    <c:v>2005</c:v>
                  </c:pt>
                  <c:pt idx="1">
                    <c:v>2006</c:v>
                  </c:pt>
                  <c:pt idx="2">
                    <c:v>2007</c:v>
                  </c:pt>
                  <c:pt idx="3">
                    <c:v>2008</c:v>
                  </c:pt>
                  <c:pt idx="4">
                    <c:v>2009</c:v>
                  </c:pt>
                  <c:pt idx="5">
                    <c:v>2010</c:v>
                  </c:pt>
                  <c:pt idx="6">
                    <c:v>2011</c:v>
                  </c:pt>
                </c:lvl>
              </c:multiLvlStrCache>
            </c:multiLvlStrRef>
          </c:cat>
          <c:val>
            <c:numRef>
              <c:f>Hoja3!$B$6:$H$6</c:f>
              <c:numCache>
                <c:formatCode>General</c:formatCode>
                <c:ptCount val="7"/>
                <c:pt idx="0">
                  <c:v>11</c:v>
                </c:pt>
                <c:pt idx="1">
                  <c:v>12</c:v>
                </c:pt>
                <c:pt idx="2">
                  <c:v>17</c:v>
                </c:pt>
                <c:pt idx="3">
                  <c:v>9</c:v>
                </c:pt>
                <c:pt idx="4">
                  <c:v>13</c:v>
                </c:pt>
                <c:pt idx="5">
                  <c:v>15</c:v>
                </c:pt>
                <c:pt idx="6">
                  <c:v>3</c:v>
                </c:pt>
              </c:numCache>
            </c:numRef>
          </c:val>
        </c:ser>
        <c:ser>
          <c:idx val="0"/>
          <c:order val="1"/>
          <c:tx>
            <c:v>TASA</c:v>
          </c:tx>
          <c:invertIfNegative val="0"/>
          <c:cat>
            <c:multiLvlStrRef>
              <c:f>Hoja3!$B$4:$H$6</c:f>
              <c:multiLvlStrCache>
                <c:ptCount val="7"/>
                <c:lvl>
                  <c:pt idx="0">
                    <c:v>11</c:v>
                  </c:pt>
                  <c:pt idx="1">
                    <c:v>12</c:v>
                  </c:pt>
                  <c:pt idx="2">
                    <c:v>17</c:v>
                  </c:pt>
                  <c:pt idx="3">
                    <c:v>9</c:v>
                  </c:pt>
                  <c:pt idx="4">
                    <c:v>13</c:v>
                  </c:pt>
                  <c:pt idx="5">
                    <c:v>15</c:v>
                  </c:pt>
                  <c:pt idx="6">
                    <c:v>3</c:v>
                  </c:pt>
                </c:lvl>
                <c:lvl>
                  <c:pt idx="0">
                    <c:v>15,3</c:v>
                  </c:pt>
                  <c:pt idx="1">
                    <c:v>16</c:v>
                  </c:pt>
                  <c:pt idx="2">
                    <c:v>21,6</c:v>
                  </c:pt>
                  <c:pt idx="3">
                    <c:v>13,3</c:v>
                  </c:pt>
                  <c:pt idx="4">
                    <c:v>22,7</c:v>
                  </c:pt>
                  <c:pt idx="5">
                    <c:v>27,2</c:v>
                  </c:pt>
                  <c:pt idx="6">
                    <c:v>4,9</c:v>
                  </c:pt>
                </c:lvl>
                <c:lvl>
                  <c:pt idx="0">
                    <c:v>2005</c:v>
                  </c:pt>
                  <c:pt idx="1">
                    <c:v>2006</c:v>
                  </c:pt>
                  <c:pt idx="2">
                    <c:v>2007</c:v>
                  </c:pt>
                  <c:pt idx="3">
                    <c:v>2008</c:v>
                  </c:pt>
                  <c:pt idx="4">
                    <c:v>2009</c:v>
                  </c:pt>
                  <c:pt idx="5">
                    <c:v>2010</c:v>
                  </c:pt>
                  <c:pt idx="6">
                    <c:v>2011</c:v>
                  </c:pt>
                </c:lvl>
              </c:multiLvlStrCache>
            </c:multiLvlStrRef>
          </c:cat>
          <c:val>
            <c:numRef>
              <c:f>Hoja3!$B$5:$H$5</c:f>
              <c:numCache>
                <c:formatCode>General</c:formatCode>
                <c:ptCount val="7"/>
                <c:pt idx="0">
                  <c:v>15.3</c:v>
                </c:pt>
                <c:pt idx="1">
                  <c:v>16</c:v>
                </c:pt>
                <c:pt idx="2">
                  <c:v>21.6</c:v>
                </c:pt>
                <c:pt idx="3">
                  <c:v>13.3</c:v>
                </c:pt>
                <c:pt idx="4">
                  <c:v>22.7</c:v>
                </c:pt>
                <c:pt idx="5">
                  <c:v>27.2</c:v>
                </c:pt>
                <c:pt idx="6">
                  <c:v>4.9000000000000004</c:v>
                </c:pt>
              </c:numCache>
            </c:numRef>
          </c:val>
        </c:ser>
        <c:dLbls>
          <c:showLegendKey val="0"/>
          <c:showVal val="0"/>
          <c:showCatName val="0"/>
          <c:showSerName val="0"/>
          <c:showPercent val="0"/>
          <c:showBubbleSize val="0"/>
        </c:dLbls>
        <c:gapWidth val="150"/>
        <c:axId val="143126528"/>
        <c:axId val="143128064"/>
      </c:barChart>
      <c:catAx>
        <c:axId val="143126528"/>
        <c:scaling>
          <c:orientation val="minMax"/>
        </c:scaling>
        <c:delete val="0"/>
        <c:axPos val="b"/>
        <c:numFmt formatCode="General" sourceLinked="1"/>
        <c:majorTickMark val="out"/>
        <c:minorTickMark val="none"/>
        <c:tickLblPos val="nextTo"/>
        <c:crossAx val="143128064"/>
        <c:crosses val="autoZero"/>
        <c:auto val="1"/>
        <c:lblAlgn val="ctr"/>
        <c:lblOffset val="100"/>
        <c:noMultiLvlLbl val="0"/>
      </c:catAx>
      <c:valAx>
        <c:axId val="143128064"/>
        <c:scaling>
          <c:orientation val="minMax"/>
        </c:scaling>
        <c:delete val="0"/>
        <c:axPos val="l"/>
        <c:majorGridlines/>
        <c:numFmt formatCode="General" sourceLinked="1"/>
        <c:majorTickMark val="out"/>
        <c:minorTickMark val="none"/>
        <c:tickLblPos val="nextTo"/>
        <c:crossAx val="143126528"/>
        <c:crosses val="autoZero"/>
        <c:crossBetween val="between"/>
      </c:valAx>
    </c:plotArea>
    <c:legend>
      <c:legendPos val="r"/>
      <c:layout>
        <c:manualLayout>
          <c:xMode val="edge"/>
          <c:yMode val="edge"/>
          <c:x val="2.0268690123103651E-3"/>
          <c:y val="0.72261944125311783"/>
          <c:w val="0.16911348879860075"/>
          <c:h val="0.17160534648471434"/>
        </c:manualLayout>
      </c:layout>
      <c:overlay val="0"/>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s-CO" sz="1200"/>
              <a:t>Tasa</a:t>
            </a:r>
            <a:r>
              <a:rPr lang="es-CO" sz="1200" baseline="0"/>
              <a:t> de mortalidad en poblacion de 0-17 años por causas externas</a:t>
            </a:r>
            <a:endParaRPr lang="es-CO" sz="1200"/>
          </a:p>
        </c:rich>
      </c:tx>
      <c:overlay val="0"/>
    </c:title>
    <c:autoTitleDeleted val="0"/>
    <c:plotArea>
      <c:layout/>
      <c:lineChart>
        <c:grouping val="standard"/>
        <c:varyColors val="0"/>
        <c:ser>
          <c:idx val="0"/>
          <c:order val="0"/>
          <c:spPr>
            <a:ln>
              <a:gradFill>
                <a:gsLst>
                  <a:gs pos="0">
                    <a:srgbClr val="3399FF"/>
                  </a:gs>
                  <a:gs pos="16000">
                    <a:srgbClr val="00CCCC"/>
                  </a:gs>
                  <a:gs pos="47000">
                    <a:srgbClr val="9999FF"/>
                  </a:gs>
                  <a:gs pos="60001">
                    <a:srgbClr val="2E6792"/>
                  </a:gs>
                  <a:gs pos="71001">
                    <a:srgbClr val="3333CC"/>
                  </a:gs>
                  <a:gs pos="81000">
                    <a:srgbClr val="1170FF"/>
                  </a:gs>
                  <a:gs pos="100000">
                    <a:srgbClr val="006699"/>
                  </a:gs>
                </a:gsLst>
                <a:lin ang="5400000" scaled="0"/>
              </a:gradFill>
            </a:ln>
          </c:spPr>
          <c:marker>
            <c:symbol val="star"/>
            <c:size val="7"/>
          </c:marker>
          <c:cat>
            <c:numRef>
              <c:f>Hoja4!$A$4:$G$4</c:f>
              <c:numCache>
                <c:formatCode>General</c:formatCode>
                <c:ptCount val="7"/>
                <c:pt idx="0">
                  <c:v>2005</c:v>
                </c:pt>
                <c:pt idx="1">
                  <c:v>2006</c:v>
                </c:pt>
                <c:pt idx="2">
                  <c:v>2007</c:v>
                </c:pt>
                <c:pt idx="3">
                  <c:v>2008</c:v>
                </c:pt>
                <c:pt idx="4">
                  <c:v>2009</c:v>
                </c:pt>
                <c:pt idx="5">
                  <c:v>2010</c:v>
                </c:pt>
                <c:pt idx="6">
                  <c:v>2011</c:v>
                </c:pt>
              </c:numCache>
            </c:numRef>
          </c:cat>
          <c:val>
            <c:numRef>
              <c:f>Hoja4!$A$5:$G$5</c:f>
              <c:numCache>
                <c:formatCode>General</c:formatCode>
                <c:ptCount val="7"/>
                <c:pt idx="0">
                  <c:v>1.06</c:v>
                </c:pt>
                <c:pt idx="1">
                  <c:v>0.53</c:v>
                </c:pt>
                <c:pt idx="2">
                  <c:v>2.68</c:v>
                </c:pt>
                <c:pt idx="3">
                  <c:v>2.0699999999999998</c:v>
                </c:pt>
                <c:pt idx="4">
                  <c:v>1.0900000000000001</c:v>
                </c:pt>
                <c:pt idx="5">
                  <c:v>3.8299999999999987</c:v>
                </c:pt>
                <c:pt idx="6">
                  <c:v>2.75</c:v>
                </c:pt>
              </c:numCache>
            </c:numRef>
          </c:val>
          <c:smooth val="0"/>
        </c:ser>
        <c:dLbls>
          <c:showLegendKey val="0"/>
          <c:showVal val="0"/>
          <c:showCatName val="0"/>
          <c:showSerName val="0"/>
          <c:showPercent val="0"/>
          <c:showBubbleSize val="0"/>
        </c:dLbls>
        <c:marker val="1"/>
        <c:smooth val="0"/>
        <c:axId val="146777216"/>
        <c:axId val="146778752"/>
      </c:lineChart>
      <c:catAx>
        <c:axId val="146777216"/>
        <c:scaling>
          <c:orientation val="minMax"/>
        </c:scaling>
        <c:delete val="0"/>
        <c:axPos val="b"/>
        <c:numFmt formatCode="General" sourceLinked="1"/>
        <c:majorTickMark val="none"/>
        <c:minorTickMark val="none"/>
        <c:tickLblPos val="nextTo"/>
        <c:crossAx val="146778752"/>
        <c:crosses val="autoZero"/>
        <c:auto val="1"/>
        <c:lblAlgn val="ctr"/>
        <c:lblOffset val="100"/>
        <c:noMultiLvlLbl val="0"/>
      </c:catAx>
      <c:valAx>
        <c:axId val="146778752"/>
        <c:scaling>
          <c:orientation val="minMax"/>
        </c:scaling>
        <c:delete val="0"/>
        <c:axPos val="l"/>
        <c:majorGridlines/>
        <c:title>
          <c:tx>
            <c:rich>
              <a:bodyPr/>
              <a:lstStyle/>
              <a:p>
                <a:pPr>
                  <a:defRPr/>
                </a:pPr>
                <a:r>
                  <a:rPr lang="es-CO"/>
                  <a:t>X 10.000 </a:t>
                </a:r>
              </a:p>
            </c:rich>
          </c:tx>
          <c:overlay val="0"/>
        </c:title>
        <c:numFmt formatCode="General" sourceLinked="1"/>
        <c:majorTickMark val="none"/>
        <c:minorTickMark val="none"/>
        <c:tickLblPos val="nextTo"/>
        <c:crossAx val="146777216"/>
        <c:crosses val="autoZero"/>
        <c:crossBetween val="between"/>
      </c:valAx>
    </c:plotArea>
    <c:plotVisOnly val="1"/>
    <c:dispBlanksAs val="gap"/>
    <c:showDLblsOverMax val="0"/>
  </c:chart>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1"/>
    </mc:Choice>
    <mc:Fallback>
      <c:style val="31"/>
    </mc:Fallback>
  </mc:AlternateContent>
  <c:clrMapOvr bg1="lt1" tx1="dk1" bg2="lt2" tx2="dk2" accent1="accent1" accent2="accent2" accent3="accent3" accent4="accent4" accent5="accent5" accent6="accent6" hlink="hlink" folHlink="folHlink"/>
  <c:chart>
    <c:title>
      <c:tx>
        <c:rich>
          <a:bodyPr/>
          <a:lstStyle/>
          <a:p>
            <a:pPr>
              <a:defRPr/>
            </a:pPr>
            <a:r>
              <a:rPr lang="es-CO" sz="1000"/>
              <a:t>PORCENTAJE</a:t>
            </a:r>
            <a:r>
              <a:rPr lang="es-CO" sz="1000" baseline="0"/>
              <a:t> DE NIÑOS DE 0-6 MESES QUE ASISTEN A CONTROLES DE CYD Y QUE RECIBEN LACTANCIA MATERNA EXCLUSIVA</a:t>
            </a:r>
            <a:endParaRPr lang="es-CO" sz="1000"/>
          </a:p>
        </c:rich>
      </c:tx>
      <c:overlay val="0"/>
    </c:title>
    <c:autoTitleDeleted val="0"/>
    <c:plotArea>
      <c:layout/>
      <c:barChart>
        <c:barDir val="col"/>
        <c:grouping val="clustered"/>
        <c:varyColors val="0"/>
        <c:ser>
          <c:idx val="0"/>
          <c:order val="0"/>
          <c:invertIfNegative val="0"/>
          <c:cat>
            <c:numRef>
              <c:f>Hoja5!$B$9:$H$9</c:f>
              <c:numCache>
                <c:formatCode>General</c:formatCode>
                <c:ptCount val="7"/>
                <c:pt idx="0">
                  <c:v>2005</c:v>
                </c:pt>
                <c:pt idx="1">
                  <c:v>2006</c:v>
                </c:pt>
                <c:pt idx="2">
                  <c:v>2007</c:v>
                </c:pt>
                <c:pt idx="3">
                  <c:v>2008</c:v>
                </c:pt>
                <c:pt idx="4">
                  <c:v>2009</c:v>
                </c:pt>
                <c:pt idx="5">
                  <c:v>2010</c:v>
                </c:pt>
                <c:pt idx="6">
                  <c:v>2011</c:v>
                </c:pt>
              </c:numCache>
            </c:numRef>
          </c:cat>
          <c:val>
            <c:numRef>
              <c:f>Hoja5!$B$10:$H$10</c:f>
              <c:numCache>
                <c:formatCode>General</c:formatCode>
                <c:ptCount val="7"/>
                <c:pt idx="0">
                  <c:v>85.8</c:v>
                </c:pt>
                <c:pt idx="1">
                  <c:v>86.3</c:v>
                </c:pt>
                <c:pt idx="2">
                  <c:v>91.2</c:v>
                </c:pt>
                <c:pt idx="3">
                  <c:v>78.099999999999994</c:v>
                </c:pt>
                <c:pt idx="4">
                  <c:v>89.6</c:v>
                </c:pt>
                <c:pt idx="5">
                  <c:v>79</c:v>
                </c:pt>
                <c:pt idx="6">
                  <c:v>80</c:v>
                </c:pt>
              </c:numCache>
            </c:numRef>
          </c:val>
        </c:ser>
        <c:dLbls>
          <c:showLegendKey val="0"/>
          <c:showVal val="0"/>
          <c:showCatName val="0"/>
          <c:showSerName val="0"/>
          <c:showPercent val="0"/>
          <c:showBubbleSize val="0"/>
        </c:dLbls>
        <c:gapWidth val="150"/>
        <c:axId val="146480128"/>
        <c:axId val="146498304"/>
      </c:barChart>
      <c:catAx>
        <c:axId val="146480128"/>
        <c:scaling>
          <c:orientation val="minMax"/>
        </c:scaling>
        <c:delete val="0"/>
        <c:axPos val="b"/>
        <c:numFmt formatCode="General" sourceLinked="1"/>
        <c:majorTickMark val="none"/>
        <c:minorTickMark val="none"/>
        <c:tickLblPos val="nextTo"/>
        <c:crossAx val="146498304"/>
        <c:crosses val="autoZero"/>
        <c:auto val="1"/>
        <c:lblAlgn val="ctr"/>
        <c:lblOffset val="100"/>
        <c:noMultiLvlLbl val="0"/>
      </c:catAx>
      <c:valAx>
        <c:axId val="146498304"/>
        <c:scaling>
          <c:orientation val="minMax"/>
          <c:min val="10"/>
        </c:scaling>
        <c:delete val="0"/>
        <c:axPos val="l"/>
        <c:majorGridlines/>
        <c:numFmt formatCode="General" sourceLinked="1"/>
        <c:majorTickMark val="none"/>
        <c:minorTickMark val="none"/>
        <c:tickLblPos val="nextTo"/>
        <c:crossAx val="146480128"/>
        <c:crosses val="autoZero"/>
        <c:crossBetween val="between"/>
      </c:valAx>
    </c:plotArea>
    <c:plotVisOnly val="1"/>
    <c:dispBlanksAs val="gap"/>
    <c:showDLblsOverMax val="0"/>
  </c:chart>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0"/>
    </mc:Choice>
    <mc:Fallback>
      <c:style val="30"/>
    </mc:Fallback>
  </mc:AlternateContent>
  <c:clrMapOvr bg1="lt1" tx1="dk1" bg2="lt2" tx2="dk2" accent1="accent1" accent2="accent2" accent3="accent3" accent4="accent4" accent5="accent5" accent6="accent6" hlink="hlink" folHlink="folHlink"/>
  <c:chart>
    <c:title>
      <c:tx>
        <c:rich>
          <a:bodyPr/>
          <a:lstStyle/>
          <a:p>
            <a:pPr>
              <a:defRPr sz="1200"/>
            </a:pPr>
            <a:r>
              <a:rPr lang="es-CO" sz="1200"/>
              <a:t>PORCENTAJE</a:t>
            </a:r>
            <a:r>
              <a:rPr lang="es-CO" sz="1200" baseline="0"/>
              <a:t> DE NIÑOS CON BAJO PESO AL NACER </a:t>
            </a:r>
            <a:endParaRPr lang="es-CO" sz="1200"/>
          </a:p>
        </c:rich>
      </c:tx>
      <c:overlay val="0"/>
    </c:title>
    <c:autoTitleDeleted val="0"/>
    <c:plotArea>
      <c:layout/>
      <c:barChart>
        <c:barDir val="col"/>
        <c:grouping val="clustered"/>
        <c:varyColors val="0"/>
        <c:ser>
          <c:idx val="0"/>
          <c:order val="0"/>
          <c:spPr>
            <a:gradFill>
              <a:gsLst>
                <a:gs pos="0">
                  <a:srgbClr val="CCCCFF"/>
                </a:gs>
                <a:gs pos="17999">
                  <a:srgbClr val="99CCFF"/>
                </a:gs>
                <a:gs pos="36000">
                  <a:srgbClr val="9966FF"/>
                </a:gs>
                <a:gs pos="61000">
                  <a:srgbClr val="CC99FF"/>
                </a:gs>
                <a:gs pos="82001">
                  <a:srgbClr val="99CCFF"/>
                </a:gs>
                <a:gs pos="100000">
                  <a:srgbClr val="CCCCFF"/>
                </a:gs>
              </a:gsLst>
              <a:lin ang="5400000" scaled="0"/>
            </a:gradFill>
          </c:spPr>
          <c:invertIfNegative val="0"/>
          <c:cat>
            <c:numRef>
              <c:f>Hoja6!$A$4:$G$4</c:f>
              <c:numCache>
                <c:formatCode>General</c:formatCode>
                <c:ptCount val="7"/>
                <c:pt idx="0">
                  <c:v>2005</c:v>
                </c:pt>
                <c:pt idx="1">
                  <c:v>2006</c:v>
                </c:pt>
                <c:pt idx="2">
                  <c:v>2007</c:v>
                </c:pt>
                <c:pt idx="3">
                  <c:v>2008</c:v>
                </c:pt>
                <c:pt idx="4">
                  <c:v>2009</c:v>
                </c:pt>
                <c:pt idx="5">
                  <c:v>2010</c:v>
                </c:pt>
                <c:pt idx="6">
                  <c:v>2011</c:v>
                </c:pt>
              </c:numCache>
            </c:numRef>
          </c:cat>
          <c:val>
            <c:numRef>
              <c:f>Hoja6!$A$5:$G$5</c:f>
              <c:numCache>
                <c:formatCode>General</c:formatCode>
                <c:ptCount val="7"/>
                <c:pt idx="0">
                  <c:v>5</c:v>
                </c:pt>
                <c:pt idx="1">
                  <c:v>5.2</c:v>
                </c:pt>
                <c:pt idx="2">
                  <c:v>6.8</c:v>
                </c:pt>
                <c:pt idx="3">
                  <c:v>7.4</c:v>
                </c:pt>
                <c:pt idx="4">
                  <c:v>6.5</c:v>
                </c:pt>
                <c:pt idx="5">
                  <c:v>6.3</c:v>
                </c:pt>
                <c:pt idx="6">
                  <c:v>2.4099999999999997</c:v>
                </c:pt>
              </c:numCache>
            </c:numRef>
          </c:val>
        </c:ser>
        <c:dLbls>
          <c:showLegendKey val="0"/>
          <c:showVal val="0"/>
          <c:showCatName val="0"/>
          <c:showSerName val="0"/>
          <c:showPercent val="0"/>
          <c:showBubbleSize val="0"/>
        </c:dLbls>
        <c:gapWidth val="150"/>
        <c:axId val="146526976"/>
        <c:axId val="146528512"/>
      </c:barChart>
      <c:catAx>
        <c:axId val="146526976"/>
        <c:scaling>
          <c:orientation val="minMax"/>
        </c:scaling>
        <c:delete val="0"/>
        <c:axPos val="b"/>
        <c:numFmt formatCode="General" sourceLinked="1"/>
        <c:majorTickMark val="none"/>
        <c:minorTickMark val="none"/>
        <c:tickLblPos val="nextTo"/>
        <c:crossAx val="146528512"/>
        <c:crosses val="autoZero"/>
        <c:auto val="1"/>
        <c:lblAlgn val="ctr"/>
        <c:lblOffset val="100"/>
        <c:noMultiLvlLbl val="0"/>
      </c:catAx>
      <c:valAx>
        <c:axId val="146528512"/>
        <c:scaling>
          <c:orientation val="minMax"/>
        </c:scaling>
        <c:delete val="0"/>
        <c:axPos val="l"/>
        <c:majorGridlines/>
        <c:numFmt formatCode="General" sourceLinked="1"/>
        <c:majorTickMark val="none"/>
        <c:minorTickMark val="none"/>
        <c:tickLblPos val="nextTo"/>
        <c:crossAx val="146526976"/>
        <c:crosses val="autoZero"/>
        <c:crossBetween val="between"/>
      </c:valAx>
    </c:plotArea>
    <c:plotVisOnly val="1"/>
    <c:dispBlanksAs val="gap"/>
    <c:showDLblsOverMax val="0"/>
  </c:chart>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sz="800"/>
            </a:pPr>
            <a:r>
              <a:rPr lang="es-ES_tradnl" sz="800"/>
              <a:t>Matricula grado preescolar</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'TASA NETA PRIM.'!$A$84:$A$89</c:f>
              <c:strCache>
                <c:ptCount val="6"/>
                <c:pt idx="0">
                  <c:v>año 2005</c:v>
                </c:pt>
                <c:pt idx="1">
                  <c:v>año 2006</c:v>
                </c:pt>
                <c:pt idx="2">
                  <c:v>año 2007</c:v>
                </c:pt>
                <c:pt idx="3">
                  <c:v>año 2008</c:v>
                </c:pt>
                <c:pt idx="4">
                  <c:v>año 2009</c:v>
                </c:pt>
                <c:pt idx="5">
                  <c:v>año 2010</c:v>
                </c:pt>
              </c:strCache>
            </c:strRef>
          </c:cat>
          <c:val>
            <c:numRef>
              <c:f>'TASA NETA PRIM.'!$B$84:$B$89</c:f>
              <c:numCache>
                <c:formatCode>#,##0</c:formatCode>
                <c:ptCount val="6"/>
                <c:pt idx="0">
                  <c:v>964</c:v>
                </c:pt>
                <c:pt idx="1">
                  <c:v>793</c:v>
                </c:pt>
                <c:pt idx="2">
                  <c:v>791</c:v>
                </c:pt>
                <c:pt idx="3">
                  <c:v>738</c:v>
                </c:pt>
                <c:pt idx="4">
                  <c:v>793</c:v>
                </c:pt>
                <c:pt idx="5">
                  <c:v>640</c:v>
                </c:pt>
              </c:numCache>
            </c:numRef>
          </c:val>
        </c:ser>
        <c:dLbls>
          <c:showLegendKey val="0"/>
          <c:showVal val="0"/>
          <c:showCatName val="0"/>
          <c:showSerName val="0"/>
          <c:showPercent val="0"/>
          <c:showBubbleSize val="0"/>
        </c:dLbls>
        <c:gapWidth val="150"/>
        <c:shape val="cylinder"/>
        <c:axId val="146697600"/>
        <c:axId val="146703488"/>
        <c:axId val="0"/>
      </c:bar3DChart>
      <c:catAx>
        <c:axId val="146697600"/>
        <c:scaling>
          <c:orientation val="minMax"/>
        </c:scaling>
        <c:delete val="0"/>
        <c:axPos val="b"/>
        <c:majorTickMark val="none"/>
        <c:minorTickMark val="none"/>
        <c:tickLblPos val="nextTo"/>
        <c:crossAx val="146703488"/>
        <c:crosses val="autoZero"/>
        <c:auto val="1"/>
        <c:lblAlgn val="ctr"/>
        <c:lblOffset val="100"/>
        <c:noMultiLvlLbl val="0"/>
      </c:catAx>
      <c:valAx>
        <c:axId val="146703488"/>
        <c:scaling>
          <c:orientation val="minMax"/>
        </c:scaling>
        <c:delete val="0"/>
        <c:axPos val="l"/>
        <c:majorGridlines/>
        <c:numFmt formatCode="#,##0" sourceLinked="1"/>
        <c:majorTickMark val="none"/>
        <c:minorTickMark val="none"/>
        <c:tickLblPos val="nextTo"/>
        <c:crossAx val="146697600"/>
        <c:crosses val="autoZero"/>
        <c:crossBetween val="between"/>
      </c:valAx>
      <c:dTable>
        <c:showHorzBorder val="1"/>
        <c:showVertBorder val="1"/>
        <c:showOutline val="1"/>
        <c:showKeys val="1"/>
      </c:dTable>
    </c:plotArea>
    <c:plotVisOnly val="1"/>
    <c:dispBlanksAs val="gap"/>
    <c:showDLblsOverMax val="0"/>
  </c:chart>
  <c:txPr>
    <a:bodyPr/>
    <a:lstStyle/>
    <a:p>
      <a:pPr>
        <a:defRPr sz="800"/>
      </a:pPr>
      <a:endParaRPr lang="es-CO"/>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s-ES_tradnl" sz="800"/>
              <a:t>Cobertura Total para Educación Básica Primaria</a:t>
            </a:r>
          </a:p>
        </c:rich>
      </c:tx>
      <c:overlay val="0"/>
    </c:title>
    <c:autoTitleDeleted val="0"/>
    <c:plotArea>
      <c:layout/>
      <c:lineChart>
        <c:grouping val="stacked"/>
        <c:varyColors val="0"/>
        <c:ser>
          <c:idx val="0"/>
          <c:order val="0"/>
          <c:tx>
            <c:v>TASA NETA</c:v>
          </c:tx>
          <c:spPr>
            <a:ln w="38100">
              <a:solidFill>
                <a:srgbClr val="7030A0"/>
              </a:solidFill>
            </a:ln>
          </c:spPr>
          <c:marker>
            <c:symbol val="star"/>
            <c:size val="9"/>
          </c:marker>
          <c:cat>
            <c:strRef>
              <c:f>'TASA NETA PRIM.'!$A$6:$A$11</c:f>
              <c:strCache>
                <c:ptCount val="6"/>
                <c:pt idx="0">
                  <c:v>año 2005</c:v>
                </c:pt>
                <c:pt idx="1">
                  <c:v>año 2006</c:v>
                </c:pt>
                <c:pt idx="2">
                  <c:v>año 2007</c:v>
                </c:pt>
                <c:pt idx="3">
                  <c:v>año 2008</c:v>
                </c:pt>
                <c:pt idx="4">
                  <c:v>año 2009</c:v>
                </c:pt>
                <c:pt idx="5">
                  <c:v>año 2010</c:v>
                </c:pt>
              </c:strCache>
            </c:strRef>
          </c:cat>
          <c:val>
            <c:numRef>
              <c:f>'TASA NETA PRIM.'!$B$6:$B$11</c:f>
              <c:numCache>
                <c:formatCode>0.0</c:formatCode>
                <c:ptCount val="6"/>
                <c:pt idx="0">
                  <c:v>86.712882726747509</c:v>
                </c:pt>
                <c:pt idx="1">
                  <c:v>87.312997862832688</c:v>
                </c:pt>
                <c:pt idx="2">
                  <c:v>87.120767273438489</c:v>
                </c:pt>
                <c:pt idx="3">
                  <c:v>81.035840882237082</c:v>
                </c:pt>
                <c:pt idx="4">
                  <c:v>82.446071640609546</c:v>
                </c:pt>
                <c:pt idx="5">
                  <c:v>82.040572792362752</c:v>
                </c:pt>
              </c:numCache>
            </c:numRef>
          </c:val>
          <c:smooth val="1"/>
        </c:ser>
        <c:dLbls>
          <c:showLegendKey val="0"/>
          <c:showVal val="0"/>
          <c:showCatName val="0"/>
          <c:showSerName val="0"/>
          <c:showPercent val="0"/>
          <c:showBubbleSize val="0"/>
        </c:dLbls>
        <c:marker val="1"/>
        <c:smooth val="0"/>
        <c:axId val="146717312"/>
        <c:axId val="146727296"/>
      </c:lineChart>
      <c:catAx>
        <c:axId val="146717312"/>
        <c:scaling>
          <c:orientation val="minMax"/>
        </c:scaling>
        <c:delete val="0"/>
        <c:axPos val="b"/>
        <c:majorTickMark val="none"/>
        <c:minorTickMark val="none"/>
        <c:tickLblPos val="nextTo"/>
        <c:crossAx val="146727296"/>
        <c:crosses val="autoZero"/>
        <c:auto val="1"/>
        <c:lblAlgn val="ctr"/>
        <c:lblOffset val="100"/>
        <c:noMultiLvlLbl val="0"/>
      </c:catAx>
      <c:valAx>
        <c:axId val="146727296"/>
        <c:scaling>
          <c:orientation val="minMax"/>
          <c:max val="100"/>
          <c:min val="10"/>
        </c:scaling>
        <c:delete val="0"/>
        <c:axPos val="l"/>
        <c:majorGridlines/>
        <c:numFmt formatCode="0.0" sourceLinked="1"/>
        <c:majorTickMark val="none"/>
        <c:minorTickMark val="none"/>
        <c:tickLblPos val="nextTo"/>
        <c:crossAx val="146717312"/>
        <c:crosses val="autoZero"/>
        <c:crossBetween val="between"/>
      </c:valAx>
      <c:dTable>
        <c:showHorzBorder val="1"/>
        <c:showVertBorder val="1"/>
        <c:showOutline val="1"/>
        <c:showKeys val="1"/>
      </c:dTable>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plotVisOnly val="1"/>
    <c:dispBlanksAs val="zero"/>
    <c:showDLblsOverMax val="0"/>
  </c:chart>
  <c:txPr>
    <a:bodyPr/>
    <a:lstStyle/>
    <a:p>
      <a:pPr>
        <a:defRPr sz="800"/>
      </a:pPr>
      <a:endParaRPr lang="es-C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20"/>
    </mc:Choice>
    <mc:Fallback>
      <c:style val="20"/>
    </mc:Fallback>
  </mc:AlternateContent>
  <c:chart>
    <c:title>
      <c:tx>
        <c:rich>
          <a:bodyPr/>
          <a:lstStyle/>
          <a:p>
            <a:pPr>
              <a:defRPr/>
            </a:pPr>
            <a:r>
              <a:rPr lang="en-US" sz="1100"/>
              <a:t>VIVIENDAS Y HOGARES  EN RIOSUCIO CALDAS 2010</a:t>
            </a:r>
          </a:p>
        </c:rich>
      </c:tx>
      <c:layout>
        <c:manualLayout>
          <c:xMode val="edge"/>
          <c:yMode val="edge"/>
          <c:x val="0.14010567249474917"/>
          <c:y val="0"/>
        </c:manualLayout>
      </c:layout>
      <c:overlay val="0"/>
    </c:title>
    <c:autoTitleDeleted val="0"/>
    <c:plotArea>
      <c:layout>
        <c:manualLayout>
          <c:layoutTarget val="inner"/>
          <c:xMode val="edge"/>
          <c:yMode val="edge"/>
          <c:x val="6.0249238778002666E-2"/>
          <c:y val="0.14571843295948414"/>
          <c:w val="0.90440730611016917"/>
          <c:h val="0.72712807244002386"/>
        </c:manualLayout>
      </c:layout>
      <c:barChart>
        <c:barDir val="col"/>
        <c:grouping val="clustered"/>
        <c:varyColors val="0"/>
        <c:ser>
          <c:idx val="0"/>
          <c:order val="0"/>
          <c:tx>
            <c:strRef>
              <c:f>Hoja3!$A$1</c:f>
              <c:strCache>
                <c:ptCount val="1"/>
                <c:pt idx="0">
                  <c:v>VIVIENDAS Y HOGARES  EN RIOSUCIO CALDAS 2010</c:v>
                </c:pt>
              </c:strCache>
            </c:strRef>
          </c:tx>
          <c:invertIfNegative val="0"/>
          <c:cat>
            <c:strRef>
              <c:f>Hoja3!$A$2:$C$2</c:f>
              <c:strCache>
                <c:ptCount val="3"/>
                <c:pt idx="0">
                  <c:v>VIVIENDAS</c:v>
                </c:pt>
                <c:pt idx="1">
                  <c:v>HOGARES</c:v>
                </c:pt>
                <c:pt idx="2">
                  <c:v>HOGARES CON ACTIVIDAD ECONOMICA</c:v>
                </c:pt>
              </c:strCache>
            </c:strRef>
          </c:cat>
          <c:val>
            <c:numRef>
              <c:f>Hoja3!$A$3:$C$3</c:f>
              <c:numCache>
                <c:formatCode>General</c:formatCode>
                <c:ptCount val="3"/>
                <c:pt idx="0">
                  <c:v>10023</c:v>
                </c:pt>
                <c:pt idx="1">
                  <c:v>9893</c:v>
                </c:pt>
                <c:pt idx="2">
                  <c:v>327</c:v>
                </c:pt>
              </c:numCache>
            </c:numRef>
          </c:val>
        </c:ser>
        <c:dLbls>
          <c:showLegendKey val="0"/>
          <c:showVal val="0"/>
          <c:showCatName val="0"/>
          <c:showSerName val="0"/>
          <c:showPercent val="0"/>
          <c:showBubbleSize val="0"/>
        </c:dLbls>
        <c:gapWidth val="164"/>
        <c:axId val="95142272"/>
        <c:axId val="95143808"/>
      </c:barChart>
      <c:catAx>
        <c:axId val="95142272"/>
        <c:scaling>
          <c:orientation val="minMax"/>
        </c:scaling>
        <c:delete val="0"/>
        <c:axPos val="b"/>
        <c:majorTickMark val="out"/>
        <c:minorTickMark val="none"/>
        <c:tickLblPos val="nextTo"/>
        <c:crossAx val="95143808"/>
        <c:crosses val="autoZero"/>
        <c:auto val="1"/>
        <c:lblAlgn val="ctr"/>
        <c:lblOffset val="100"/>
        <c:noMultiLvlLbl val="1"/>
      </c:catAx>
      <c:valAx>
        <c:axId val="95143808"/>
        <c:scaling>
          <c:orientation val="minMax"/>
          <c:max val="11000"/>
        </c:scaling>
        <c:delete val="0"/>
        <c:axPos val="l"/>
        <c:majorGridlines/>
        <c:numFmt formatCode="General" sourceLinked="1"/>
        <c:majorTickMark val="out"/>
        <c:minorTickMark val="none"/>
        <c:tickLblPos val="nextTo"/>
        <c:crossAx val="95142272"/>
        <c:crosses val="autoZero"/>
        <c:crossBetween val="between"/>
      </c:valAx>
    </c:plotArea>
    <c:plotVisOnly val="1"/>
    <c:dispBlanksAs val="gap"/>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sz="800"/>
            </a:pPr>
            <a:r>
              <a:rPr lang="es-ES_tradnl" sz="800"/>
              <a:t>Cobertura total para Educación Básica Secundaria</a:t>
            </a:r>
          </a:p>
        </c:rich>
      </c:tx>
      <c:overlay val="0"/>
    </c:title>
    <c:autoTitleDeleted val="0"/>
    <c:plotArea>
      <c:layout/>
      <c:lineChart>
        <c:grouping val="stacked"/>
        <c:varyColors val="0"/>
        <c:ser>
          <c:idx val="0"/>
          <c:order val="0"/>
          <c:tx>
            <c:v>TASA NETA</c:v>
          </c:tx>
          <c:cat>
            <c:strRef>
              <c:f>'TASA NETA SEC.'!$A$2:$A$7</c:f>
              <c:strCache>
                <c:ptCount val="6"/>
                <c:pt idx="0">
                  <c:v>año 2005</c:v>
                </c:pt>
                <c:pt idx="1">
                  <c:v>año 2006</c:v>
                </c:pt>
                <c:pt idx="2">
                  <c:v>año 2007</c:v>
                </c:pt>
                <c:pt idx="3">
                  <c:v>año 2008</c:v>
                </c:pt>
                <c:pt idx="4">
                  <c:v>año 2009</c:v>
                </c:pt>
                <c:pt idx="5">
                  <c:v>año 2010</c:v>
                </c:pt>
              </c:strCache>
            </c:strRef>
          </c:cat>
          <c:val>
            <c:numRef>
              <c:f>'TASA NETA SEC.'!$B$2:$B$7</c:f>
              <c:numCache>
                <c:formatCode>0.0</c:formatCode>
                <c:ptCount val="6"/>
                <c:pt idx="0">
                  <c:v>57</c:v>
                </c:pt>
                <c:pt idx="1">
                  <c:v>58.6</c:v>
                </c:pt>
                <c:pt idx="2">
                  <c:v>59.5</c:v>
                </c:pt>
                <c:pt idx="3">
                  <c:v>57.5</c:v>
                </c:pt>
                <c:pt idx="4">
                  <c:v>61.8</c:v>
                </c:pt>
                <c:pt idx="5">
                  <c:v>65.400000000000006</c:v>
                </c:pt>
              </c:numCache>
            </c:numRef>
          </c:val>
          <c:smooth val="0"/>
        </c:ser>
        <c:dLbls>
          <c:showLegendKey val="0"/>
          <c:showVal val="0"/>
          <c:showCatName val="0"/>
          <c:showSerName val="0"/>
          <c:showPercent val="0"/>
          <c:showBubbleSize val="0"/>
        </c:dLbls>
        <c:marker val="1"/>
        <c:smooth val="0"/>
        <c:axId val="146565376"/>
        <c:axId val="146571264"/>
      </c:lineChart>
      <c:catAx>
        <c:axId val="146565376"/>
        <c:scaling>
          <c:orientation val="minMax"/>
        </c:scaling>
        <c:delete val="0"/>
        <c:axPos val="b"/>
        <c:majorTickMark val="none"/>
        <c:minorTickMark val="none"/>
        <c:tickLblPos val="nextTo"/>
        <c:crossAx val="146571264"/>
        <c:crosses val="autoZero"/>
        <c:auto val="1"/>
        <c:lblAlgn val="ctr"/>
        <c:lblOffset val="100"/>
        <c:noMultiLvlLbl val="0"/>
      </c:catAx>
      <c:valAx>
        <c:axId val="146571264"/>
        <c:scaling>
          <c:orientation val="minMax"/>
          <c:min val="52"/>
        </c:scaling>
        <c:delete val="0"/>
        <c:axPos val="l"/>
        <c:majorGridlines/>
        <c:numFmt formatCode="0.0" sourceLinked="1"/>
        <c:majorTickMark val="none"/>
        <c:minorTickMark val="none"/>
        <c:tickLblPos val="nextTo"/>
        <c:crossAx val="146565376"/>
        <c:crosses val="autoZero"/>
        <c:crossBetween val="between"/>
      </c:valAx>
      <c:dTable>
        <c:showHorzBorder val="1"/>
        <c:showVertBorder val="1"/>
        <c:showOutline val="1"/>
        <c:showKeys val="1"/>
      </c:dTable>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plotVisOnly val="1"/>
    <c:dispBlanksAs val="zero"/>
    <c:showDLblsOverMax val="0"/>
  </c:chart>
  <c:txPr>
    <a:bodyPr/>
    <a:lstStyle/>
    <a:p>
      <a:pPr>
        <a:defRPr sz="800"/>
      </a:pPr>
      <a:endParaRPr lang="es-CO"/>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sz="800"/>
            </a:pPr>
            <a:r>
              <a:rPr lang="en-US" sz="800"/>
              <a:t>MATRICULA BASICA SECUNDARIA</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MATRICULA TOTAL</c:v>
          </c:tx>
          <c:invertIfNegative val="0"/>
          <c:cat>
            <c:strRef>
              <c:f>'TASA NETA PRIM.'!$A$43:$A$48</c:f>
              <c:strCache>
                <c:ptCount val="6"/>
                <c:pt idx="0">
                  <c:v>año 2005</c:v>
                </c:pt>
                <c:pt idx="1">
                  <c:v>año 2006</c:v>
                </c:pt>
                <c:pt idx="2">
                  <c:v>año 2007</c:v>
                </c:pt>
                <c:pt idx="3">
                  <c:v>año 2008</c:v>
                </c:pt>
                <c:pt idx="4">
                  <c:v>año 2009</c:v>
                </c:pt>
                <c:pt idx="5">
                  <c:v>año 2010</c:v>
                </c:pt>
              </c:strCache>
            </c:strRef>
          </c:cat>
          <c:val>
            <c:numRef>
              <c:f>'TASA NETA PRIM.'!$B$43:$B$48</c:f>
              <c:numCache>
                <c:formatCode>#,##0</c:formatCode>
                <c:ptCount val="6"/>
                <c:pt idx="0">
                  <c:v>3081</c:v>
                </c:pt>
                <c:pt idx="1">
                  <c:v>3133</c:v>
                </c:pt>
                <c:pt idx="2">
                  <c:v>3154</c:v>
                </c:pt>
                <c:pt idx="3">
                  <c:v>3095</c:v>
                </c:pt>
                <c:pt idx="4">
                  <c:v>3185</c:v>
                </c:pt>
                <c:pt idx="5">
                  <c:v>3353</c:v>
                </c:pt>
              </c:numCache>
            </c:numRef>
          </c:val>
        </c:ser>
        <c:dLbls>
          <c:showLegendKey val="0"/>
          <c:showVal val="0"/>
          <c:showCatName val="0"/>
          <c:showSerName val="0"/>
          <c:showPercent val="0"/>
          <c:showBubbleSize val="0"/>
        </c:dLbls>
        <c:gapWidth val="150"/>
        <c:shape val="cylinder"/>
        <c:axId val="147138432"/>
        <c:axId val="147139968"/>
        <c:axId val="0"/>
      </c:bar3DChart>
      <c:catAx>
        <c:axId val="147138432"/>
        <c:scaling>
          <c:orientation val="minMax"/>
        </c:scaling>
        <c:delete val="0"/>
        <c:axPos val="b"/>
        <c:majorTickMark val="none"/>
        <c:minorTickMark val="none"/>
        <c:tickLblPos val="nextTo"/>
        <c:crossAx val="147139968"/>
        <c:crosses val="autoZero"/>
        <c:auto val="1"/>
        <c:lblAlgn val="ctr"/>
        <c:lblOffset val="100"/>
        <c:noMultiLvlLbl val="0"/>
      </c:catAx>
      <c:valAx>
        <c:axId val="147139968"/>
        <c:scaling>
          <c:orientation val="minMax"/>
        </c:scaling>
        <c:delete val="0"/>
        <c:axPos val="l"/>
        <c:majorGridlines/>
        <c:numFmt formatCode="#,##0" sourceLinked="1"/>
        <c:majorTickMark val="none"/>
        <c:minorTickMark val="none"/>
        <c:tickLblPos val="nextTo"/>
        <c:crossAx val="147138432"/>
        <c:crosses val="autoZero"/>
        <c:crossBetween val="between"/>
      </c:valAx>
      <c:dTable>
        <c:showHorzBorder val="1"/>
        <c:showVertBorder val="1"/>
        <c:showOutline val="1"/>
        <c:showKeys val="1"/>
      </c:dTable>
    </c:plotArea>
    <c:plotVisOnly val="1"/>
    <c:dispBlanksAs val="gap"/>
    <c:showDLblsOverMax val="0"/>
  </c:chart>
  <c:txPr>
    <a:bodyPr/>
    <a:lstStyle/>
    <a:p>
      <a:pPr>
        <a:defRPr sz="800"/>
      </a:pPr>
      <a:endParaRPr lang="es-CO"/>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sz="800"/>
            </a:pPr>
            <a:r>
              <a:rPr lang="es-ES_tradnl" sz="800"/>
              <a:t>Cobertura Total para Educación Basica Media</a:t>
            </a:r>
          </a:p>
        </c:rich>
      </c:tx>
      <c:overlay val="0"/>
    </c:title>
    <c:autoTitleDeleted val="0"/>
    <c:plotArea>
      <c:layout/>
      <c:lineChart>
        <c:grouping val="stacked"/>
        <c:varyColors val="0"/>
        <c:ser>
          <c:idx val="0"/>
          <c:order val="0"/>
          <c:tx>
            <c:v>TASA NETA</c:v>
          </c:tx>
          <c:cat>
            <c:strRef>
              <c:f>'TASA NETA SEC.'!$A$29:$A$34</c:f>
              <c:strCache>
                <c:ptCount val="6"/>
                <c:pt idx="0">
                  <c:v>año 2005</c:v>
                </c:pt>
                <c:pt idx="1">
                  <c:v>año 2006</c:v>
                </c:pt>
                <c:pt idx="2">
                  <c:v>año 2007</c:v>
                </c:pt>
                <c:pt idx="3">
                  <c:v>año 2008</c:v>
                </c:pt>
                <c:pt idx="4">
                  <c:v>año 2009</c:v>
                </c:pt>
                <c:pt idx="5">
                  <c:v>año 2010</c:v>
                </c:pt>
              </c:strCache>
            </c:strRef>
          </c:cat>
          <c:val>
            <c:numRef>
              <c:f>'TASA NETA SEC.'!$B$29:$B$34</c:f>
              <c:numCache>
                <c:formatCode>0.0</c:formatCode>
                <c:ptCount val="6"/>
                <c:pt idx="0">
                  <c:v>28.3</c:v>
                </c:pt>
                <c:pt idx="1">
                  <c:v>27.7</c:v>
                </c:pt>
                <c:pt idx="2">
                  <c:v>30.6</c:v>
                </c:pt>
                <c:pt idx="3">
                  <c:v>33.300000000000004</c:v>
                </c:pt>
                <c:pt idx="4">
                  <c:v>34.4</c:v>
                </c:pt>
                <c:pt idx="5">
                  <c:v>35</c:v>
                </c:pt>
              </c:numCache>
            </c:numRef>
          </c:val>
          <c:smooth val="0"/>
        </c:ser>
        <c:dLbls>
          <c:showLegendKey val="0"/>
          <c:showVal val="0"/>
          <c:showCatName val="0"/>
          <c:showSerName val="0"/>
          <c:showPercent val="0"/>
          <c:showBubbleSize val="0"/>
        </c:dLbls>
        <c:marker val="1"/>
        <c:smooth val="0"/>
        <c:axId val="147170432"/>
        <c:axId val="147171968"/>
      </c:lineChart>
      <c:catAx>
        <c:axId val="147170432"/>
        <c:scaling>
          <c:orientation val="minMax"/>
        </c:scaling>
        <c:delete val="0"/>
        <c:axPos val="b"/>
        <c:majorTickMark val="none"/>
        <c:minorTickMark val="none"/>
        <c:tickLblPos val="nextTo"/>
        <c:crossAx val="147171968"/>
        <c:crosses val="autoZero"/>
        <c:auto val="1"/>
        <c:lblAlgn val="ctr"/>
        <c:lblOffset val="100"/>
        <c:noMultiLvlLbl val="0"/>
      </c:catAx>
      <c:valAx>
        <c:axId val="147171968"/>
        <c:scaling>
          <c:orientation val="minMax"/>
        </c:scaling>
        <c:delete val="0"/>
        <c:axPos val="l"/>
        <c:majorGridlines/>
        <c:numFmt formatCode="0.0" sourceLinked="1"/>
        <c:majorTickMark val="none"/>
        <c:minorTickMark val="none"/>
        <c:tickLblPos val="nextTo"/>
        <c:crossAx val="147170432"/>
        <c:crosses val="autoZero"/>
        <c:crossBetween val="between"/>
      </c:valAx>
      <c:dTable>
        <c:showHorzBorder val="1"/>
        <c:showVertBorder val="1"/>
        <c:showOutline val="1"/>
        <c:showKeys val="1"/>
      </c:dTable>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plotArea>
    <c:plotVisOnly val="1"/>
    <c:dispBlanksAs val="zero"/>
    <c:showDLblsOverMax val="0"/>
  </c:chart>
  <c:txPr>
    <a:bodyPr/>
    <a:lstStyle/>
    <a:p>
      <a:pPr>
        <a:defRPr sz="800"/>
      </a:pPr>
      <a:endParaRPr lang="es-CO"/>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n-US" sz="800"/>
              <a:t>TASA DESERCION ESCOLAR</a:t>
            </a:r>
          </a:p>
        </c:rich>
      </c:tx>
      <c:layout>
        <c:manualLayout>
          <c:xMode val="edge"/>
          <c:yMode val="edge"/>
          <c:x val="0.2723468385949957"/>
          <c:y val="3.0402837598175858E-2"/>
        </c:manualLayout>
      </c:layout>
      <c:overlay val="0"/>
    </c:title>
    <c:autoTitleDeleted val="0"/>
    <c:plotArea>
      <c:layout/>
      <c:lineChart>
        <c:grouping val="stacked"/>
        <c:varyColors val="0"/>
        <c:ser>
          <c:idx val="0"/>
          <c:order val="0"/>
          <c:tx>
            <c:v>DISMINUCIÓN DESERCION</c:v>
          </c:tx>
          <c:cat>
            <c:strRef>
              <c:f>'TASA DECERSION'!$A$2:$A$7</c:f>
              <c:strCache>
                <c:ptCount val="6"/>
                <c:pt idx="0">
                  <c:v>año 2005</c:v>
                </c:pt>
                <c:pt idx="1">
                  <c:v>año 2006</c:v>
                </c:pt>
                <c:pt idx="2">
                  <c:v>año 2007</c:v>
                </c:pt>
                <c:pt idx="3">
                  <c:v>año 2008</c:v>
                </c:pt>
                <c:pt idx="4">
                  <c:v>año 2009</c:v>
                </c:pt>
                <c:pt idx="5">
                  <c:v>año 2010</c:v>
                </c:pt>
              </c:strCache>
            </c:strRef>
          </c:cat>
          <c:val>
            <c:numRef>
              <c:f>'TASA DECERSION'!$B$2:$B$7</c:f>
              <c:numCache>
                <c:formatCode>0.0</c:formatCode>
                <c:ptCount val="6"/>
                <c:pt idx="0">
                  <c:v>6.39</c:v>
                </c:pt>
                <c:pt idx="1">
                  <c:v>5.3199999999999985</c:v>
                </c:pt>
                <c:pt idx="2">
                  <c:v>6.7</c:v>
                </c:pt>
                <c:pt idx="3">
                  <c:v>4.17</c:v>
                </c:pt>
                <c:pt idx="4">
                  <c:v>3.92</c:v>
                </c:pt>
                <c:pt idx="5">
                  <c:v>2</c:v>
                </c:pt>
              </c:numCache>
            </c:numRef>
          </c:val>
          <c:smooth val="0"/>
        </c:ser>
        <c:dLbls>
          <c:showLegendKey val="0"/>
          <c:showVal val="0"/>
          <c:showCatName val="0"/>
          <c:showSerName val="0"/>
          <c:showPercent val="0"/>
          <c:showBubbleSize val="0"/>
        </c:dLbls>
        <c:marker val="1"/>
        <c:smooth val="0"/>
        <c:axId val="147206528"/>
        <c:axId val="147208064"/>
      </c:lineChart>
      <c:catAx>
        <c:axId val="147206528"/>
        <c:scaling>
          <c:orientation val="minMax"/>
        </c:scaling>
        <c:delete val="0"/>
        <c:axPos val="b"/>
        <c:majorTickMark val="none"/>
        <c:minorTickMark val="none"/>
        <c:tickLblPos val="nextTo"/>
        <c:crossAx val="147208064"/>
        <c:crosses val="autoZero"/>
        <c:auto val="1"/>
        <c:lblAlgn val="ctr"/>
        <c:lblOffset val="100"/>
        <c:noMultiLvlLbl val="0"/>
      </c:catAx>
      <c:valAx>
        <c:axId val="147208064"/>
        <c:scaling>
          <c:orientation val="minMax"/>
        </c:scaling>
        <c:delete val="0"/>
        <c:axPos val="l"/>
        <c:majorGridlines/>
        <c:numFmt formatCode="0.0" sourceLinked="1"/>
        <c:majorTickMark val="none"/>
        <c:minorTickMark val="none"/>
        <c:tickLblPos val="nextTo"/>
        <c:crossAx val="147206528"/>
        <c:crosses val="autoZero"/>
        <c:crossBetween val="between"/>
      </c:valAx>
      <c:dTable>
        <c:showHorzBorder val="1"/>
        <c:showVertBorder val="1"/>
        <c:showOutline val="1"/>
        <c:showKeys val="1"/>
      </c:dTable>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plotArea>
    <c:plotVisOnly val="1"/>
    <c:dispBlanksAs val="zero"/>
    <c:showDLblsOverMax val="0"/>
  </c:chart>
  <c:txPr>
    <a:bodyPr/>
    <a:lstStyle/>
    <a:p>
      <a:pPr>
        <a:defRPr sz="800"/>
      </a:pPr>
      <a:endParaRPr lang="es-CO"/>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s-ES_tradnl" sz="800"/>
              <a:t>Tasa de Repitencia Educación  Media</a:t>
            </a:r>
          </a:p>
        </c:rich>
      </c:tx>
      <c:overlay val="0"/>
    </c:title>
    <c:autoTitleDeleted val="0"/>
    <c:plotArea>
      <c:layout/>
      <c:lineChart>
        <c:grouping val="standard"/>
        <c:varyColors val="0"/>
        <c:ser>
          <c:idx val="0"/>
          <c:order val="0"/>
          <c:tx>
            <c:v>ALUMNOS REPROBADOS</c:v>
          </c:tx>
          <c:cat>
            <c:strRef>
              <c:f>'TASA DECERSION'!$A$45:$A$50</c:f>
              <c:strCache>
                <c:ptCount val="6"/>
                <c:pt idx="0">
                  <c:v>año 2005</c:v>
                </c:pt>
                <c:pt idx="1">
                  <c:v>año 2006</c:v>
                </c:pt>
                <c:pt idx="2">
                  <c:v>año 2007</c:v>
                </c:pt>
                <c:pt idx="3">
                  <c:v>año 2008</c:v>
                </c:pt>
                <c:pt idx="4">
                  <c:v>año 2009</c:v>
                </c:pt>
                <c:pt idx="5">
                  <c:v>año 2010</c:v>
                </c:pt>
              </c:strCache>
            </c:strRef>
          </c:cat>
          <c:val>
            <c:numRef>
              <c:f>'TASA DECERSION'!$B$45:$B$50</c:f>
              <c:numCache>
                <c:formatCode>General</c:formatCode>
                <c:ptCount val="6"/>
                <c:pt idx="0">
                  <c:v>1.9000000000000001</c:v>
                </c:pt>
                <c:pt idx="1">
                  <c:v>2</c:v>
                </c:pt>
                <c:pt idx="2">
                  <c:v>1.2</c:v>
                </c:pt>
                <c:pt idx="3">
                  <c:v>3.8</c:v>
                </c:pt>
                <c:pt idx="4">
                  <c:v>3.1</c:v>
                </c:pt>
                <c:pt idx="5">
                  <c:v>2.9</c:v>
                </c:pt>
              </c:numCache>
            </c:numRef>
          </c:val>
          <c:smooth val="0"/>
        </c:ser>
        <c:dLbls>
          <c:showLegendKey val="0"/>
          <c:showVal val="0"/>
          <c:showCatName val="0"/>
          <c:showSerName val="0"/>
          <c:showPercent val="0"/>
          <c:showBubbleSize val="0"/>
        </c:dLbls>
        <c:marker val="1"/>
        <c:smooth val="0"/>
        <c:axId val="147234176"/>
        <c:axId val="147244160"/>
      </c:lineChart>
      <c:catAx>
        <c:axId val="147234176"/>
        <c:scaling>
          <c:orientation val="minMax"/>
        </c:scaling>
        <c:delete val="0"/>
        <c:axPos val="b"/>
        <c:majorTickMark val="none"/>
        <c:minorTickMark val="none"/>
        <c:tickLblPos val="nextTo"/>
        <c:crossAx val="147244160"/>
        <c:crosses val="autoZero"/>
        <c:auto val="1"/>
        <c:lblAlgn val="ctr"/>
        <c:lblOffset val="100"/>
        <c:noMultiLvlLbl val="0"/>
      </c:catAx>
      <c:valAx>
        <c:axId val="147244160"/>
        <c:scaling>
          <c:orientation val="minMax"/>
        </c:scaling>
        <c:delete val="0"/>
        <c:axPos val="l"/>
        <c:majorGridlines/>
        <c:numFmt formatCode="General" sourceLinked="1"/>
        <c:majorTickMark val="none"/>
        <c:minorTickMark val="none"/>
        <c:tickLblPos val="nextTo"/>
        <c:crossAx val="147234176"/>
        <c:crosses val="autoZero"/>
        <c:crossBetween val="between"/>
      </c:valAx>
      <c:dTable>
        <c:showHorzBorder val="1"/>
        <c:showVertBorder val="1"/>
        <c:showOutline val="1"/>
        <c:showKeys val="1"/>
      </c:dTable>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plotArea>
    <c:plotVisOnly val="1"/>
    <c:dispBlanksAs val="gap"/>
    <c:showDLblsOverMax val="0"/>
  </c:chart>
  <c:txPr>
    <a:bodyPr/>
    <a:lstStyle/>
    <a:p>
      <a:pPr>
        <a:defRPr sz="800"/>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Hoja4!$A$3</c:f>
              <c:strCache>
                <c:ptCount val="1"/>
                <c:pt idx="0">
                  <c:v>POBLACIÓN</c:v>
                </c:pt>
              </c:strCache>
            </c:strRef>
          </c:tx>
          <c:invertIfNegative val="0"/>
          <c:cat>
            <c:strRef>
              <c:f>Hoja4!$B$2</c:f>
              <c:strCache>
                <c:ptCount val="1"/>
                <c:pt idx="0">
                  <c:v>HABITANTES</c:v>
                </c:pt>
              </c:strCache>
            </c:strRef>
          </c:cat>
          <c:val>
            <c:numRef>
              <c:f>Hoja4!$B$3</c:f>
              <c:numCache>
                <c:formatCode>General</c:formatCode>
                <c:ptCount val="1"/>
                <c:pt idx="0">
                  <c:v>57935</c:v>
                </c:pt>
              </c:numCache>
            </c:numRef>
          </c:val>
        </c:ser>
        <c:ser>
          <c:idx val="1"/>
          <c:order val="1"/>
          <c:tx>
            <c:strRef>
              <c:f>Hoja4!$A$4</c:f>
              <c:strCache>
                <c:ptCount val="1"/>
                <c:pt idx="0">
                  <c:v>URBANO </c:v>
                </c:pt>
              </c:strCache>
            </c:strRef>
          </c:tx>
          <c:invertIfNegative val="0"/>
          <c:cat>
            <c:strRef>
              <c:f>Hoja4!$B$2</c:f>
              <c:strCache>
                <c:ptCount val="1"/>
                <c:pt idx="0">
                  <c:v>HABITANTES</c:v>
                </c:pt>
              </c:strCache>
            </c:strRef>
          </c:cat>
          <c:val>
            <c:numRef>
              <c:f>Hoja4!$B$4</c:f>
              <c:numCache>
                <c:formatCode>General</c:formatCode>
                <c:ptCount val="1"/>
                <c:pt idx="0">
                  <c:v>17482</c:v>
                </c:pt>
              </c:numCache>
            </c:numRef>
          </c:val>
        </c:ser>
        <c:ser>
          <c:idx val="2"/>
          <c:order val="2"/>
          <c:tx>
            <c:strRef>
              <c:f>Hoja4!$A$5</c:f>
              <c:strCache>
                <c:ptCount val="1"/>
                <c:pt idx="0">
                  <c:v>RURAL</c:v>
                </c:pt>
              </c:strCache>
            </c:strRef>
          </c:tx>
          <c:invertIfNegative val="0"/>
          <c:cat>
            <c:strRef>
              <c:f>Hoja4!$B$2</c:f>
              <c:strCache>
                <c:ptCount val="1"/>
                <c:pt idx="0">
                  <c:v>HABITANTES</c:v>
                </c:pt>
              </c:strCache>
            </c:strRef>
          </c:cat>
          <c:val>
            <c:numRef>
              <c:f>Hoja4!$B$5</c:f>
              <c:numCache>
                <c:formatCode>General</c:formatCode>
                <c:ptCount val="1"/>
                <c:pt idx="0">
                  <c:v>40453</c:v>
                </c:pt>
              </c:numCache>
            </c:numRef>
          </c:val>
        </c:ser>
        <c:dLbls>
          <c:showLegendKey val="0"/>
          <c:showVal val="0"/>
          <c:showCatName val="0"/>
          <c:showSerName val="0"/>
          <c:showPercent val="0"/>
          <c:showBubbleSize val="0"/>
        </c:dLbls>
        <c:gapWidth val="267"/>
        <c:overlap val="-67"/>
        <c:axId val="110518656"/>
        <c:axId val="110520192"/>
      </c:barChart>
      <c:catAx>
        <c:axId val="110518656"/>
        <c:scaling>
          <c:orientation val="minMax"/>
        </c:scaling>
        <c:delete val="0"/>
        <c:axPos val="b"/>
        <c:majorTickMark val="out"/>
        <c:minorTickMark val="none"/>
        <c:tickLblPos val="nextTo"/>
        <c:crossAx val="110520192"/>
        <c:crosses val="autoZero"/>
        <c:auto val="1"/>
        <c:lblAlgn val="ctr"/>
        <c:lblOffset val="100"/>
        <c:noMultiLvlLbl val="0"/>
      </c:catAx>
      <c:valAx>
        <c:axId val="110520192"/>
        <c:scaling>
          <c:orientation val="minMax"/>
        </c:scaling>
        <c:delete val="0"/>
        <c:axPos val="l"/>
        <c:majorGridlines/>
        <c:numFmt formatCode="General" sourceLinked="1"/>
        <c:majorTickMark val="out"/>
        <c:minorTickMark val="none"/>
        <c:tickLblPos val="nextTo"/>
        <c:crossAx val="110518656"/>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Hoja4!$A$3</c:f>
              <c:strCache>
                <c:ptCount val="1"/>
                <c:pt idx="0">
                  <c:v>POBLACIÓN</c:v>
                </c:pt>
              </c:strCache>
            </c:strRef>
          </c:tx>
          <c:invertIfNegative val="0"/>
          <c:cat>
            <c:strRef>
              <c:f>Hoja4!$C$2</c:f>
              <c:strCache>
                <c:ptCount val="1"/>
                <c:pt idx="0">
                  <c:v>TOTAL HOGARES</c:v>
                </c:pt>
              </c:strCache>
            </c:strRef>
          </c:cat>
          <c:val>
            <c:numRef>
              <c:f>Hoja4!$C$3</c:f>
              <c:numCache>
                <c:formatCode>General</c:formatCode>
                <c:ptCount val="1"/>
                <c:pt idx="0">
                  <c:v>9633</c:v>
                </c:pt>
              </c:numCache>
            </c:numRef>
          </c:val>
        </c:ser>
        <c:ser>
          <c:idx val="1"/>
          <c:order val="1"/>
          <c:tx>
            <c:strRef>
              <c:f>Hoja4!$A$4</c:f>
              <c:strCache>
                <c:ptCount val="1"/>
                <c:pt idx="0">
                  <c:v>URBANO </c:v>
                </c:pt>
              </c:strCache>
            </c:strRef>
          </c:tx>
          <c:invertIfNegative val="0"/>
          <c:cat>
            <c:strRef>
              <c:f>Hoja4!$C$2</c:f>
              <c:strCache>
                <c:ptCount val="1"/>
                <c:pt idx="0">
                  <c:v>TOTAL HOGARES</c:v>
                </c:pt>
              </c:strCache>
            </c:strRef>
          </c:cat>
          <c:val>
            <c:numRef>
              <c:f>Hoja4!$C$4</c:f>
              <c:numCache>
                <c:formatCode>General</c:formatCode>
                <c:ptCount val="1"/>
                <c:pt idx="0">
                  <c:v>3994</c:v>
                </c:pt>
              </c:numCache>
            </c:numRef>
          </c:val>
        </c:ser>
        <c:ser>
          <c:idx val="2"/>
          <c:order val="2"/>
          <c:tx>
            <c:strRef>
              <c:f>Hoja4!$A$5</c:f>
              <c:strCache>
                <c:ptCount val="1"/>
                <c:pt idx="0">
                  <c:v>RURAL</c:v>
                </c:pt>
              </c:strCache>
            </c:strRef>
          </c:tx>
          <c:invertIfNegative val="0"/>
          <c:cat>
            <c:strRef>
              <c:f>Hoja4!$C$2</c:f>
              <c:strCache>
                <c:ptCount val="1"/>
                <c:pt idx="0">
                  <c:v>TOTAL HOGARES</c:v>
                </c:pt>
              </c:strCache>
            </c:strRef>
          </c:cat>
          <c:val>
            <c:numRef>
              <c:f>Hoja4!$C$5</c:f>
              <c:numCache>
                <c:formatCode>General</c:formatCode>
                <c:ptCount val="1"/>
                <c:pt idx="0">
                  <c:v>5639</c:v>
                </c:pt>
              </c:numCache>
            </c:numRef>
          </c:val>
        </c:ser>
        <c:dLbls>
          <c:showLegendKey val="0"/>
          <c:showVal val="0"/>
          <c:showCatName val="0"/>
          <c:showSerName val="0"/>
          <c:showPercent val="0"/>
          <c:showBubbleSize val="0"/>
        </c:dLbls>
        <c:gapWidth val="267"/>
        <c:overlap val="-67"/>
        <c:axId val="110543616"/>
        <c:axId val="110545152"/>
      </c:barChart>
      <c:catAx>
        <c:axId val="110543616"/>
        <c:scaling>
          <c:orientation val="minMax"/>
        </c:scaling>
        <c:delete val="0"/>
        <c:axPos val="b"/>
        <c:majorTickMark val="out"/>
        <c:minorTickMark val="none"/>
        <c:tickLblPos val="nextTo"/>
        <c:crossAx val="110545152"/>
        <c:crosses val="autoZero"/>
        <c:auto val="1"/>
        <c:lblAlgn val="ctr"/>
        <c:lblOffset val="100"/>
        <c:noMultiLvlLbl val="0"/>
      </c:catAx>
      <c:valAx>
        <c:axId val="110545152"/>
        <c:scaling>
          <c:orientation val="minMax"/>
        </c:scaling>
        <c:delete val="0"/>
        <c:axPos val="l"/>
        <c:majorGridlines/>
        <c:numFmt formatCode="General" sourceLinked="1"/>
        <c:majorTickMark val="out"/>
        <c:minorTickMark val="none"/>
        <c:tickLblPos val="nextTo"/>
        <c:crossAx val="110543616"/>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Hoja4!$A$3</c:f>
              <c:strCache>
                <c:ptCount val="1"/>
                <c:pt idx="0">
                  <c:v>POBLACIÓN</c:v>
                </c:pt>
              </c:strCache>
            </c:strRef>
          </c:tx>
          <c:invertIfNegative val="0"/>
          <c:cat>
            <c:strLit>
              <c:ptCount val="1"/>
              <c:pt idx="0">
                <c:v>HOGARES CON DEFICIT DE NECESIDADES BASICAS</c:v>
              </c:pt>
            </c:strLit>
          </c:cat>
          <c:val>
            <c:numRef>
              <c:f>Hoja4!$E$3</c:f>
              <c:numCache>
                <c:formatCode>General</c:formatCode>
                <c:ptCount val="1"/>
                <c:pt idx="0">
                  <c:v>2295</c:v>
                </c:pt>
              </c:numCache>
            </c:numRef>
          </c:val>
        </c:ser>
        <c:ser>
          <c:idx val="1"/>
          <c:order val="1"/>
          <c:tx>
            <c:strRef>
              <c:f>Hoja4!$A$4</c:f>
              <c:strCache>
                <c:ptCount val="1"/>
                <c:pt idx="0">
                  <c:v>URBANO </c:v>
                </c:pt>
              </c:strCache>
            </c:strRef>
          </c:tx>
          <c:invertIfNegative val="0"/>
          <c:cat>
            <c:strLit>
              <c:ptCount val="1"/>
              <c:pt idx="0">
                <c:v>HOGARES CON DEFICIT DE NECESIDADES BASICAS</c:v>
              </c:pt>
            </c:strLit>
          </c:cat>
          <c:val>
            <c:numRef>
              <c:f>Hoja4!$E$4</c:f>
              <c:numCache>
                <c:formatCode>General</c:formatCode>
                <c:ptCount val="1"/>
                <c:pt idx="0">
                  <c:v>449</c:v>
                </c:pt>
              </c:numCache>
            </c:numRef>
          </c:val>
        </c:ser>
        <c:ser>
          <c:idx val="2"/>
          <c:order val="2"/>
          <c:tx>
            <c:strRef>
              <c:f>Hoja4!$A$5</c:f>
              <c:strCache>
                <c:ptCount val="1"/>
                <c:pt idx="0">
                  <c:v>RURAL</c:v>
                </c:pt>
              </c:strCache>
            </c:strRef>
          </c:tx>
          <c:invertIfNegative val="0"/>
          <c:cat>
            <c:strLit>
              <c:ptCount val="1"/>
              <c:pt idx="0">
                <c:v>HOGARES CON DEFICIT DE NECESIDADES BASICAS</c:v>
              </c:pt>
            </c:strLit>
          </c:cat>
          <c:val>
            <c:numRef>
              <c:f>Hoja4!$E$5</c:f>
              <c:numCache>
                <c:formatCode>General</c:formatCode>
                <c:ptCount val="1"/>
                <c:pt idx="0">
                  <c:v>1765</c:v>
                </c:pt>
              </c:numCache>
            </c:numRef>
          </c:val>
        </c:ser>
        <c:dLbls>
          <c:showLegendKey val="0"/>
          <c:showVal val="0"/>
          <c:showCatName val="0"/>
          <c:showSerName val="0"/>
          <c:showPercent val="0"/>
          <c:showBubbleSize val="0"/>
        </c:dLbls>
        <c:gapWidth val="267"/>
        <c:overlap val="-67"/>
        <c:axId val="142500608"/>
        <c:axId val="142502144"/>
      </c:barChart>
      <c:catAx>
        <c:axId val="142500608"/>
        <c:scaling>
          <c:orientation val="minMax"/>
        </c:scaling>
        <c:delete val="0"/>
        <c:axPos val="b"/>
        <c:majorTickMark val="out"/>
        <c:minorTickMark val="none"/>
        <c:tickLblPos val="nextTo"/>
        <c:crossAx val="142502144"/>
        <c:crosses val="autoZero"/>
        <c:auto val="1"/>
        <c:lblAlgn val="ctr"/>
        <c:lblOffset val="100"/>
        <c:noMultiLvlLbl val="0"/>
      </c:catAx>
      <c:valAx>
        <c:axId val="142502144"/>
        <c:scaling>
          <c:orientation val="minMax"/>
        </c:scaling>
        <c:delete val="0"/>
        <c:axPos val="l"/>
        <c:majorGridlines/>
        <c:numFmt formatCode="General" sourceLinked="1"/>
        <c:majorTickMark val="out"/>
        <c:minorTickMark val="none"/>
        <c:tickLblPos val="nextTo"/>
        <c:crossAx val="142500608"/>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Hoja4!$A$3</c:f>
              <c:strCache>
                <c:ptCount val="1"/>
                <c:pt idx="0">
                  <c:v>POBLACIÓN</c:v>
                </c:pt>
              </c:strCache>
            </c:strRef>
          </c:tx>
          <c:invertIfNegative val="0"/>
          <c:cat>
            <c:strLit>
              <c:ptCount val="1"/>
              <c:pt idx="0">
                <c:v>HOGARES SIN DEFICIT DE NECESIDADES BASICAS</c:v>
              </c:pt>
            </c:strLit>
          </c:cat>
          <c:val>
            <c:numRef>
              <c:f>Hoja4!$G$3</c:f>
              <c:numCache>
                <c:formatCode>General</c:formatCode>
                <c:ptCount val="1"/>
                <c:pt idx="0">
                  <c:v>7338</c:v>
                </c:pt>
              </c:numCache>
            </c:numRef>
          </c:val>
        </c:ser>
        <c:ser>
          <c:idx val="1"/>
          <c:order val="1"/>
          <c:tx>
            <c:strRef>
              <c:f>Hoja4!$A$4</c:f>
              <c:strCache>
                <c:ptCount val="1"/>
                <c:pt idx="0">
                  <c:v>URBANO </c:v>
                </c:pt>
              </c:strCache>
            </c:strRef>
          </c:tx>
          <c:invertIfNegative val="0"/>
          <c:cat>
            <c:strLit>
              <c:ptCount val="1"/>
              <c:pt idx="0">
                <c:v>HOGARES SIN DEFICIT DE NECESIDADES BASICAS</c:v>
              </c:pt>
            </c:strLit>
          </c:cat>
          <c:val>
            <c:numRef>
              <c:f>Hoja4!$G$4</c:f>
              <c:numCache>
                <c:formatCode>General</c:formatCode>
                <c:ptCount val="1"/>
                <c:pt idx="0">
                  <c:v>3545</c:v>
                </c:pt>
              </c:numCache>
            </c:numRef>
          </c:val>
        </c:ser>
        <c:ser>
          <c:idx val="2"/>
          <c:order val="2"/>
          <c:tx>
            <c:strRef>
              <c:f>Hoja4!$A$5</c:f>
              <c:strCache>
                <c:ptCount val="1"/>
                <c:pt idx="0">
                  <c:v>RURAL</c:v>
                </c:pt>
              </c:strCache>
            </c:strRef>
          </c:tx>
          <c:invertIfNegative val="0"/>
          <c:cat>
            <c:strLit>
              <c:ptCount val="1"/>
              <c:pt idx="0">
                <c:v>HOGARES SIN DEFICIT DE NECESIDADES BASICAS</c:v>
              </c:pt>
            </c:strLit>
          </c:cat>
          <c:val>
            <c:numRef>
              <c:f>Hoja4!$G$5</c:f>
              <c:numCache>
                <c:formatCode>General</c:formatCode>
                <c:ptCount val="1"/>
                <c:pt idx="0">
                  <c:v>3874</c:v>
                </c:pt>
              </c:numCache>
            </c:numRef>
          </c:val>
        </c:ser>
        <c:dLbls>
          <c:showLegendKey val="0"/>
          <c:showVal val="0"/>
          <c:showCatName val="0"/>
          <c:showSerName val="0"/>
          <c:showPercent val="0"/>
          <c:showBubbleSize val="0"/>
        </c:dLbls>
        <c:gapWidth val="267"/>
        <c:overlap val="-67"/>
        <c:axId val="142525184"/>
        <c:axId val="142526720"/>
      </c:barChart>
      <c:catAx>
        <c:axId val="142525184"/>
        <c:scaling>
          <c:orientation val="minMax"/>
        </c:scaling>
        <c:delete val="0"/>
        <c:axPos val="b"/>
        <c:majorTickMark val="out"/>
        <c:minorTickMark val="none"/>
        <c:tickLblPos val="nextTo"/>
        <c:crossAx val="142526720"/>
        <c:crosses val="autoZero"/>
        <c:auto val="1"/>
        <c:lblAlgn val="ctr"/>
        <c:lblOffset val="100"/>
        <c:noMultiLvlLbl val="0"/>
      </c:catAx>
      <c:valAx>
        <c:axId val="142526720"/>
        <c:scaling>
          <c:orientation val="minMax"/>
        </c:scaling>
        <c:delete val="0"/>
        <c:axPos val="l"/>
        <c:majorGridlines/>
        <c:numFmt formatCode="General" sourceLinked="1"/>
        <c:majorTickMark val="out"/>
        <c:minorTickMark val="none"/>
        <c:tickLblPos val="nextTo"/>
        <c:crossAx val="142525184"/>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lang="es-CO" sz="800"/>
            </a:pPr>
            <a:r>
              <a:rPr lang="es-ES_tradnl" sz="800"/>
              <a:t>Número de niños, niñas y adolescentes entre 0 y 17 años declarados en situación de adoptabilidad</a:t>
            </a:r>
          </a:p>
        </c:rich>
      </c:tx>
      <c:layout>
        <c:manualLayout>
          <c:xMode val="edge"/>
          <c:yMode val="edge"/>
          <c:x val="0.10149501208542706"/>
          <c:y val="0"/>
        </c:manualLayout>
      </c:layout>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9.9646019998919227E-2"/>
          <c:y val="0.41494036567012332"/>
          <c:w val="0.87404605525191481"/>
          <c:h val="0.42545843363915414"/>
        </c:manualLayout>
      </c:layout>
      <c:bar3DChart>
        <c:barDir val="col"/>
        <c:grouping val="clustered"/>
        <c:varyColors val="0"/>
        <c:ser>
          <c:idx val="0"/>
          <c:order val="0"/>
          <c:tx>
            <c:strRef>
              <c:f>ICBF!$Y$24</c:f>
              <c:strCache>
                <c:ptCount val="1"/>
                <c:pt idx="0">
                  <c:v>Nº</c:v>
                </c:pt>
              </c:strCache>
            </c:strRef>
          </c:tx>
          <c:spPr>
            <a:solidFill>
              <a:schemeClr val="accent4">
                <a:lumMod val="60000"/>
                <a:lumOff val="40000"/>
              </a:schemeClr>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ICBF!$Z$24:$AE$24</c:f>
              <c:numCache>
                <c:formatCode>General</c:formatCode>
                <c:ptCount val="6"/>
                <c:pt idx="0">
                  <c:v>1</c:v>
                </c:pt>
                <c:pt idx="1">
                  <c:v>3</c:v>
                </c:pt>
                <c:pt idx="2">
                  <c:v>10</c:v>
                </c:pt>
                <c:pt idx="3">
                  <c:v>12</c:v>
                </c:pt>
                <c:pt idx="4">
                  <c:v>3</c:v>
                </c:pt>
                <c:pt idx="5">
                  <c:v>15</c:v>
                </c:pt>
              </c:numCache>
            </c:numRef>
          </c:val>
        </c:ser>
        <c:dLbls>
          <c:showLegendKey val="0"/>
          <c:showVal val="0"/>
          <c:showCatName val="0"/>
          <c:showSerName val="0"/>
          <c:showPercent val="0"/>
          <c:showBubbleSize val="0"/>
        </c:dLbls>
        <c:gapWidth val="95"/>
        <c:gapDepth val="95"/>
        <c:shape val="cylinder"/>
        <c:axId val="142220672"/>
        <c:axId val="142288000"/>
        <c:axId val="0"/>
      </c:bar3DChart>
      <c:catAx>
        <c:axId val="142220672"/>
        <c:scaling>
          <c:orientation val="minMax"/>
        </c:scaling>
        <c:delete val="0"/>
        <c:axPos val="b"/>
        <c:numFmt formatCode="General" sourceLinked="1"/>
        <c:majorTickMark val="out"/>
        <c:minorTickMark val="none"/>
        <c:tickLblPos val="nextTo"/>
        <c:txPr>
          <a:bodyPr/>
          <a:lstStyle/>
          <a:p>
            <a:pPr>
              <a:defRPr lang="es-CO"/>
            </a:pPr>
            <a:endParaRPr lang="es-CO"/>
          </a:p>
        </c:txPr>
        <c:crossAx val="142288000"/>
        <c:crosses val="autoZero"/>
        <c:auto val="1"/>
        <c:lblAlgn val="ctr"/>
        <c:lblOffset val="100"/>
        <c:noMultiLvlLbl val="0"/>
      </c:catAx>
      <c:valAx>
        <c:axId val="142288000"/>
        <c:scaling>
          <c:orientation val="minMax"/>
        </c:scaling>
        <c:delete val="0"/>
        <c:axPos val="l"/>
        <c:majorGridlines/>
        <c:numFmt formatCode="General" sourceLinked="1"/>
        <c:majorTickMark val="out"/>
        <c:minorTickMark val="none"/>
        <c:tickLblPos val="nextTo"/>
        <c:txPr>
          <a:bodyPr/>
          <a:lstStyle/>
          <a:p>
            <a:pPr>
              <a:defRPr lang="es-CO" sz="800"/>
            </a:pPr>
            <a:endParaRPr lang="es-CO"/>
          </a:p>
        </c:txPr>
        <c:crossAx val="142220672"/>
        <c:crosses val="autoZero"/>
        <c:crossBetween val="between"/>
      </c:valAx>
      <c:dTable>
        <c:showHorzBorder val="1"/>
        <c:showVertBorder val="1"/>
        <c:showOutline val="1"/>
        <c:showKeys val="1"/>
        <c:txPr>
          <a:bodyPr/>
          <a:lstStyle/>
          <a:p>
            <a:pPr rtl="0">
              <a:defRPr lang="es-CO" sz="800"/>
            </a:pPr>
            <a:endParaRPr lang="es-CO"/>
          </a:p>
        </c:txPr>
      </c:dTable>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lang="es-CO" sz="800"/>
            </a:pPr>
            <a:r>
              <a:rPr lang="es-ES_tradnl" sz="800"/>
              <a:t>Número de niños, niñas y adolescentes entre 0 y 17 años declarados en situación de adoptabilidad, dados en adopción</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9.9646019998919227E-2"/>
          <c:y val="0.36023952078614124"/>
          <c:w val="0.87404605525191481"/>
          <c:h val="0.4573672598214758"/>
        </c:manualLayout>
      </c:layout>
      <c:bar3DChart>
        <c:barDir val="col"/>
        <c:grouping val="clustered"/>
        <c:varyColors val="0"/>
        <c:ser>
          <c:idx val="0"/>
          <c:order val="0"/>
          <c:tx>
            <c:strRef>
              <c:f>ICBF!$Y$47</c:f>
              <c:strCache>
                <c:ptCount val="1"/>
                <c:pt idx="0">
                  <c:v>Nº</c:v>
                </c:pt>
              </c:strCache>
            </c:strRef>
          </c:tx>
          <c:spPr>
            <a:solidFill>
              <a:schemeClr val="accent4"/>
            </a:solidFill>
          </c:spPr>
          <c:invertIfNegative val="0"/>
          <c:cat>
            <c:numRef>
              <c:f>ICBF!$Z$11:$AE$11</c:f>
              <c:numCache>
                <c:formatCode>General</c:formatCode>
                <c:ptCount val="6"/>
                <c:pt idx="0">
                  <c:v>2005</c:v>
                </c:pt>
                <c:pt idx="1">
                  <c:v>2006</c:v>
                </c:pt>
                <c:pt idx="2">
                  <c:v>2007</c:v>
                </c:pt>
                <c:pt idx="3">
                  <c:v>2008</c:v>
                </c:pt>
                <c:pt idx="4">
                  <c:v>2009</c:v>
                </c:pt>
                <c:pt idx="5">
                  <c:v>2010</c:v>
                </c:pt>
              </c:numCache>
            </c:numRef>
          </c:cat>
          <c:val>
            <c:numRef>
              <c:f>ICBF!$Z$47:$AE$47</c:f>
              <c:numCache>
                <c:formatCode>General</c:formatCode>
                <c:ptCount val="6"/>
                <c:pt idx="0">
                  <c:v>0</c:v>
                </c:pt>
                <c:pt idx="1">
                  <c:v>3</c:v>
                </c:pt>
                <c:pt idx="2">
                  <c:v>13</c:v>
                </c:pt>
                <c:pt idx="3">
                  <c:v>0</c:v>
                </c:pt>
                <c:pt idx="4">
                  <c:v>0</c:v>
                </c:pt>
                <c:pt idx="5">
                  <c:v>0</c:v>
                </c:pt>
              </c:numCache>
            </c:numRef>
          </c:val>
        </c:ser>
        <c:dLbls>
          <c:showLegendKey val="0"/>
          <c:showVal val="0"/>
          <c:showCatName val="0"/>
          <c:showSerName val="0"/>
          <c:showPercent val="0"/>
          <c:showBubbleSize val="0"/>
        </c:dLbls>
        <c:gapWidth val="95"/>
        <c:gapDepth val="95"/>
        <c:shape val="cylinder"/>
        <c:axId val="142305920"/>
        <c:axId val="142324096"/>
        <c:axId val="0"/>
      </c:bar3DChart>
      <c:catAx>
        <c:axId val="142305920"/>
        <c:scaling>
          <c:orientation val="minMax"/>
        </c:scaling>
        <c:delete val="0"/>
        <c:axPos val="b"/>
        <c:numFmt formatCode="General" sourceLinked="1"/>
        <c:majorTickMark val="out"/>
        <c:minorTickMark val="none"/>
        <c:tickLblPos val="nextTo"/>
        <c:txPr>
          <a:bodyPr/>
          <a:lstStyle/>
          <a:p>
            <a:pPr>
              <a:defRPr lang="es-CO"/>
            </a:pPr>
            <a:endParaRPr lang="es-CO"/>
          </a:p>
        </c:txPr>
        <c:crossAx val="142324096"/>
        <c:crosses val="autoZero"/>
        <c:auto val="1"/>
        <c:lblAlgn val="ctr"/>
        <c:lblOffset val="100"/>
        <c:noMultiLvlLbl val="0"/>
      </c:catAx>
      <c:valAx>
        <c:axId val="142324096"/>
        <c:scaling>
          <c:orientation val="minMax"/>
        </c:scaling>
        <c:delete val="0"/>
        <c:axPos val="l"/>
        <c:majorGridlines/>
        <c:numFmt formatCode="General" sourceLinked="1"/>
        <c:majorTickMark val="out"/>
        <c:minorTickMark val="none"/>
        <c:tickLblPos val="nextTo"/>
        <c:txPr>
          <a:bodyPr/>
          <a:lstStyle/>
          <a:p>
            <a:pPr>
              <a:defRPr lang="es-CO" sz="800"/>
            </a:pPr>
            <a:endParaRPr lang="es-CO"/>
          </a:p>
        </c:txPr>
        <c:crossAx val="142305920"/>
        <c:crosses val="autoZero"/>
        <c:crossBetween val="between"/>
      </c:valAx>
      <c:dTable>
        <c:showHorzBorder val="1"/>
        <c:showVertBorder val="1"/>
        <c:showOutline val="1"/>
        <c:showKeys val="1"/>
        <c:txPr>
          <a:bodyPr/>
          <a:lstStyle/>
          <a:p>
            <a:pPr rtl="0">
              <a:defRPr lang="es-CO" sz="800"/>
            </a:pPr>
            <a:endParaRPr lang="es-CO"/>
          </a:p>
        </c:txPr>
      </c:dTable>
    </c:plotArea>
    <c:plotVisOnly val="1"/>
    <c:dispBlanksAs val="gap"/>
    <c:showDLblsOverMax val="0"/>
  </c:chart>
  <c:spPr>
    <a:noFill/>
  </c:sp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5E742-2336-481D-8A05-2B1A5E17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17490</Words>
  <Characters>96195</Characters>
  <Application>Microsoft Office Word</Application>
  <DocSecurity>4</DocSecurity>
  <Lines>801</Lines>
  <Paragraphs>226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David Suarez Sanchez</cp:lastModifiedBy>
  <cp:revision>2</cp:revision>
  <dcterms:created xsi:type="dcterms:W3CDTF">2014-01-21T13:18:00Z</dcterms:created>
  <dcterms:modified xsi:type="dcterms:W3CDTF">2014-01-21T13:18:00Z</dcterms:modified>
</cp:coreProperties>
</file>