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theme/themeOverride2.xml" ContentType="application/vnd.openxmlformats-officedocument.themeOverride+xml"/>
  <Override PartName="/word/charts/chart7.xml" ContentType="application/vnd.openxmlformats-officedocument.drawingml.chart+xml"/>
  <Override PartName="/word/theme/themeOverride3.xml" ContentType="application/vnd.openxmlformats-officedocument.themeOverride+xml"/>
  <Override PartName="/word/charts/chart8.xml" ContentType="application/vnd.openxmlformats-officedocument.drawingml.chart+xml"/>
  <Override PartName="/word/theme/themeOverride4.xml" ContentType="application/vnd.openxmlformats-officedocument.themeOverride+xml"/>
  <Override PartName="/word/charts/chart9.xml" ContentType="application/vnd.openxmlformats-officedocument.drawingml.chart+xml"/>
  <Override PartName="/word/theme/themeOverride5.xml" ContentType="application/vnd.openxmlformats-officedocument.themeOverride+xml"/>
  <Override PartName="/word/charts/chart10.xml" ContentType="application/vnd.openxmlformats-officedocument.drawingml.chart+xml"/>
  <Override PartName="/word/theme/themeOverride6.xml" ContentType="application/vnd.openxmlformats-officedocument.themeOverride+xml"/>
  <Override PartName="/word/charts/chart11.xml" ContentType="application/vnd.openxmlformats-officedocument.drawingml.chart+xml"/>
  <Override PartName="/word/theme/themeOverride7.xml" ContentType="application/vnd.openxmlformats-officedocument.themeOverride+xml"/>
  <Override PartName="/word/charts/chart12.xml" ContentType="application/vnd.openxmlformats-officedocument.drawingml.chart+xml"/>
  <Override PartName="/word/theme/themeOverride8.xml" ContentType="application/vnd.openxmlformats-officedocument.themeOverride+xml"/>
  <Override PartName="/word/charts/chart13.xml" ContentType="application/vnd.openxmlformats-officedocument.drawingml.chart+xml"/>
  <Override PartName="/word/theme/themeOverride9.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DA0" w:rsidRPr="006772A7" w:rsidRDefault="00497DA0" w:rsidP="00497DA0">
      <w:pPr>
        <w:ind w:right="-234"/>
        <w:jc w:val="center"/>
        <w:rPr>
          <w:rFonts w:cs="Calibri"/>
          <w:b/>
          <w:sz w:val="28"/>
          <w:szCs w:val="28"/>
        </w:rPr>
      </w:pPr>
      <w:bookmarkStart w:id="0" w:name="_GoBack"/>
      <w:bookmarkEnd w:id="0"/>
      <w:r w:rsidRPr="006772A7">
        <w:rPr>
          <w:rFonts w:cs="Calibri"/>
          <w:b/>
          <w:sz w:val="28"/>
          <w:szCs w:val="28"/>
        </w:rPr>
        <w:t>DOCUMENTO DIAGNOSTICO PLAN DE DESARROLLO MUNICIPIO DE RIOSUCIO CALDAS</w:t>
      </w:r>
    </w:p>
    <w:p w:rsidR="00497DA0" w:rsidRPr="006772A7" w:rsidRDefault="00497DA0" w:rsidP="00497DA0">
      <w:pPr>
        <w:ind w:right="-234"/>
        <w:jc w:val="both"/>
        <w:rPr>
          <w:rFonts w:cs="Calibri"/>
          <w:sz w:val="28"/>
          <w:szCs w:val="28"/>
        </w:rPr>
      </w:pPr>
      <w:r w:rsidRPr="006772A7">
        <w:rPr>
          <w:rFonts w:cs="Calibri"/>
          <w:sz w:val="28"/>
          <w:szCs w:val="28"/>
        </w:rPr>
        <w:t>El presente documento diagnóstico, tiene como objetivo establecer un balance de la situación actual del Municipio de Riosucio – Caldas, con referencia a los diferentes sectores sobre los cuales se pretende implementar su plan de desarrollo para los próximos cuatro años. De acuerdo con lo establecido en la ley 152 de 1994, el presente diagnóstico busca identificar: características, limitaciones y potencialidades de los diferentes sectores de nuestro municipio, así como, la línea de base institucional y financiera del Municipio para así fijar un punto de partida en la formulación de los objetivos y metas estratégicas de nuestro Plan de Desarrollo: “POR EL RIOSUCIO QUE QUEREMOS, JUNTOS SÍ PODEMOS”.</w:t>
      </w:r>
    </w:p>
    <w:p w:rsidR="00497DA0" w:rsidRPr="006772A7" w:rsidRDefault="00497DA0" w:rsidP="00497DA0">
      <w:pPr>
        <w:pStyle w:val="Prrafodelista"/>
        <w:numPr>
          <w:ilvl w:val="0"/>
          <w:numId w:val="1"/>
        </w:numPr>
        <w:ind w:right="-234"/>
        <w:rPr>
          <w:rFonts w:cs="Calibri"/>
          <w:b/>
          <w:sz w:val="28"/>
          <w:szCs w:val="28"/>
        </w:rPr>
      </w:pPr>
      <w:r w:rsidRPr="006772A7">
        <w:rPr>
          <w:rFonts w:cs="Calibri"/>
          <w:b/>
          <w:sz w:val="28"/>
          <w:szCs w:val="28"/>
        </w:rPr>
        <w:t>Generalidades.</w:t>
      </w:r>
    </w:p>
    <w:p w:rsidR="00497DA0" w:rsidRPr="006772A7" w:rsidRDefault="00497DA0" w:rsidP="00497DA0">
      <w:pPr>
        <w:ind w:right="-234"/>
        <w:jc w:val="both"/>
        <w:rPr>
          <w:rFonts w:cs="Calibri"/>
          <w:sz w:val="28"/>
          <w:szCs w:val="28"/>
          <w:u w:val="single"/>
        </w:rPr>
      </w:pPr>
      <w:r w:rsidRPr="006772A7">
        <w:rPr>
          <w:rFonts w:cs="Calibri"/>
          <w:sz w:val="28"/>
          <w:szCs w:val="28"/>
          <w:u w:val="single"/>
        </w:rPr>
        <w:t>1.1 Geográficas:</w:t>
      </w:r>
    </w:p>
    <w:p w:rsidR="00497DA0" w:rsidRPr="006772A7" w:rsidRDefault="00497DA0" w:rsidP="00497DA0">
      <w:pPr>
        <w:ind w:right="-234"/>
        <w:jc w:val="both"/>
        <w:rPr>
          <w:rFonts w:cs="Calibri"/>
          <w:sz w:val="28"/>
          <w:szCs w:val="28"/>
        </w:rPr>
      </w:pPr>
      <w:r w:rsidRPr="006772A7">
        <w:rPr>
          <w:rFonts w:cs="Calibri"/>
          <w:sz w:val="28"/>
          <w:szCs w:val="28"/>
        </w:rPr>
        <w:t>El municipio de Riosucio se encuentra ubicado en el noroccidente del Departamento de Caldas a 91 Km de su capital Manizales (</w:t>
      </w:r>
      <w:proofErr w:type="spellStart"/>
      <w:r w:rsidRPr="006772A7">
        <w:rPr>
          <w:rFonts w:cs="Calibri"/>
          <w:sz w:val="28"/>
          <w:szCs w:val="28"/>
        </w:rPr>
        <w:t>aprox</w:t>
      </w:r>
      <w:proofErr w:type="spellEnd"/>
      <w:r w:rsidRPr="006772A7">
        <w:rPr>
          <w:rFonts w:cs="Calibri"/>
          <w:sz w:val="28"/>
          <w:szCs w:val="28"/>
        </w:rPr>
        <w:t xml:space="preserve">). Limita al norte con los municipios de Jardín y Támesis en Antioquia, al sur con los municipios de Guatica y Quinchía en Risaralda, al oriente con los municipios de Filadelfia y Supía en Caldas y al occidente con el municipio de </w:t>
      </w:r>
      <w:proofErr w:type="spellStart"/>
      <w:r w:rsidRPr="006772A7">
        <w:rPr>
          <w:rFonts w:cs="Calibri"/>
          <w:sz w:val="28"/>
          <w:szCs w:val="28"/>
        </w:rPr>
        <w:t>Mistrata</w:t>
      </w:r>
      <w:proofErr w:type="spellEnd"/>
      <w:r w:rsidRPr="006772A7">
        <w:rPr>
          <w:rFonts w:cs="Calibri"/>
          <w:sz w:val="28"/>
          <w:szCs w:val="28"/>
        </w:rPr>
        <w:t xml:space="preserve"> en Risaralda. Tiene una extensión aproximada de 491Km  y una temperatura promedio de 20° C. </w:t>
      </w:r>
    </w:p>
    <w:p w:rsidR="00497DA0" w:rsidRPr="006772A7" w:rsidRDefault="00497DA0" w:rsidP="00497DA0">
      <w:pPr>
        <w:ind w:right="-234"/>
        <w:jc w:val="center"/>
        <w:rPr>
          <w:rFonts w:cs="Calibri"/>
          <w:sz w:val="28"/>
          <w:szCs w:val="28"/>
        </w:rPr>
      </w:pPr>
      <w:r>
        <w:rPr>
          <w:rFonts w:cs="Calibri"/>
          <w:noProof/>
          <w:sz w:val="28"/>
          <w:szCs w:val="28"/>
          <w:lang w:eastAsia="es-CO"/>
        </w:rPr>
        <w:drawing>
          <wp:inline distT="0" distB="0" distL="0" distR="0">
            <wp:extent cx="3936365" cy="2381250"/>
            <wp:effectExtent l="0" t="0" r="6985" b="0"/>
            <wp:docPr id="14" name="Imagen 14" descr="C:\Users\seven\Desktop\MAPA_RIOSUCIO_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C:\Users\seven\Desktop\MAPA_RIOSUCIO_thum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6365" cy="2381250"/>
                    </a:xfrm>
                    <a:prstGeom prst="rect">
                      <a:avLst/>
                    </a:prstGeom>
                    <a:noFill/>
                    <a:ln>
                      <a:noFill/>
                    </a:ln>
                  </pic:spPr>
                </pic:pic>
              </a:graphicData>
            </a:graphic>
          </wp:inline>
        </w:drawing>
      </w:r>
    </w:p>
    <w:p w:rsidR="00497DA0" w:rsidRPr="006772A7" w:rsidRDefault="00497DA0" w:rsidP="00497DA0">
      <w:pPr>
        <w:ind w:right="-234"/>
        <w:jc w:val="both"/>
        <w:rPr>
          <w:rFonts w:cs="Calibri"/>
          <w:sz w:val="28"/>
          <w:szCs w:val="28"/>
        </w:rPr>
      </w:pPr>
      <w:r w:rsidRPr="006772A7">
        <w:rPr>
          <w:rFonts w:cs="Calibri"/>
          <w:sz w:val="28"/>
          <w:szCs w:val="28"/>
        </w:rPr>
        <w:lastRenderedPageBreak/>
        <w:t>El municipio de Riosucio cuenta con cuatro resguardos indígenas en donde habita en promedio el 80% de la población. Los resguardos son: Cañamomo y Lomaprieta (26% del total), Escopetera y Pirza (13.28% del total), Nuestra Señora Candelaria de la Montaña (29.7%) y San Lorenzo (19.49%). Dichos territorios indígenas están poblados principalmente por indígenas de la etnia Embera Chamí. De acuerdo con CENSO 2011, la distribución es la siguiente:</w:t>
      </w:r>
    </w:p>
    <w:tbl>
      <w:tblPr>
        <w:tblW w:w="9016" w:type="dxa"/>
        <w:tblBorders>
          <w:top w:val="single" w:sz="8" w:space="0" w:color="8064A2"/>
          <w:bottom w:val="single" w:sz="8" w:space="0" w:color="8064A2"/>
        </w:tblBorders>
        <w:tblLook w:val="04A0" w:firstRow="1" w:lastRow="0" w:firstColumn="1" w:lastColumn="0" w:noHBand="0" w:noVBand="1"/>
      </w:tblPr>
      <w:tblGrid>
        <w:gridCol w:w="2388"/>
        <w:gridCol w:w="1744"/>
        <w:gridCol w:w="992"/>
        <w:gridCol w:w="1408"/>
        <w:gridCol w:w="1122"/>
        <w:gridCol w:w="1362"/>
      </w:tblGrid>
      <w:tr w:rsidR="00497DA0" w:rsidRPr="006772A7" w:rsidTr="006919A9">
        <w:trPr>
          <w:trHeight w:val="497"/>
        </w:trPr>
        <w:tc>
          <w:tcPr>
            <w:tcW w:w="2388" w:type="dxa"/>
            <w:tcBorders>
              <w:top w:val="single" w:sz="8" w:space="0" w:color="8064A2"/>
              <w:left w:val="nil"/>
              <w:bottom w:val="single" w:sz="8" w:space="0" w:color="8064A2"/>
              <w:right w:val="nil"/>
            </w:tcBorders>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RESGUARDO </w:t>
            </w:r>
          </w:p>
        </w:tc>
        <w:tc>
          <w:tcPr>
            <w:tcW w:w="1744" w:type="dxa"/>
            <w:tcBorders>
              <w:top w:val="single" w:sz="8" w:space="0" w:color="8064A2"/>
              <w:left w:val="nil"/>
              <w:bottom w:val="single" w:sz="8" w:space="0" w:color="8064A2"/>
              <w:right w:val="nil"/>
            </w:tcBorders>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        HOMBRE </w:t>
            </w:r>
          </w:p>
        </w:tc>
        <w:tc>
          <w:tcPr>
            <w:tcW w:w="992" w:type="dxa"/>
            <w:tcBorders>
              <w:top w:val="single" w:sz="8" w:space="0" w:color="8064A2"/>
              <w:left w:val="nil"/>
              <w:bottom w:val="single" w:sz="8" w:space="0" w:color="8064A2"/>
              <w:right w:val="nil"/>
            </w:tcBorders>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    % </w:t>
            </w:r>
          </w:p>
        </w:tc>
        <w:tc>
          <w:tcPr>
            <w:tcW w:w="1408" w:type="dxa"/>
            <w:tcBorders>
              <w:top w:val="single" w:sz="8" w:space="0" w:color="8064A2"/>
              <w:left w:val="nil"/>
              <w:bottom w:val="single" w:sz="8" w:space="0" w:color="8064A2"/>
              <w:right w:val="nil"/>
            </w:tcBorders>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     MUJER </w:t>
            </w:r>
          </w:p>
        </w:tc>
        <w:tc>
          <w:tcPr>
            <w:tcW w:w="1122" w:type="dxa"/>
            <w:tcBorders>
              <w:top w:val="single" w:sz="8" w:space="0" w:color="8064A2"/>
              <w:left w:val="nil"/>
              <w:bottom w:val="single" w:sz="8" w:space="0" w:color="8064A2"/>
              <w:right w:val="nil"/>
            </w:tcBorders>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     % </w:t>
            </w:r>
          </w:p>
        </w:tc>
        <w:tc>
          <w:tcPr>
            <w:tcW w:w="1362" w:type="dxa"/>
            <w:tcBorders>
              <w:top w:val="single" w:sz="8" w:space="0" w:color="8064A2"/>
              <w:left w:val="nil"/>
              <w:bottom w:val="single" w:sz="8" w:space="0" w:color="8064A2"/>
              <w:right w:val="nil"/>
            </w:tcBorders>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TOTAL </w:t>
            </w:r>
          </w:p>
        </w:tc>
      </w:tr>
      <w:tr w:rsidR="00497DA0" w:rsidRPr="006772A7" w:rsidTr="006919A9">
        <w:trPr>
          <w:trHeight w:val="497"/>
        </w:trPr>
        <w:tc>
          <w:tcPr>
            <w:tcW w:w="2388" w:type="dxa"/>
            <w:tcBorders>
              <w:left w:val="nil"/>
              <w:right w:val="nil"/>
            </w:tcBorders>
            <w:shd w:val="clear" w:color="auto" w:fill="DFD8E8"/>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CAÑAMOMO </w:t>
            </w:r>
          </w:p>
        </w:tc>
        <w:tc>
          <w:tcPr>
            <w:tcW w:w="1744"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7268</w:t>
            </w:r>
          </w:p>
        </w:tc>
        <w:tc>
          <w:tcPr>
            <w:tcW w:w="99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49,3</w:t>
            </w:r>
          </w:p>
        </w:tc>
        <w:tc>
          <w:tcPr>
            <w:tcW w:w="1408"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7472</w:t>
            </w:r>
          </w:p>
        </w:tc>
        <w:tc>
          <w:tcPr>
            <w:tcW w:w="112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50,6</w:t>
            </w:r>
          </w:p>
        </w:tc>
        <w:tc>
          <w:tcPr>
            <w:tcW w:w="136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14740</w:t>
            </w:r>
          </w:p>
        </w:tc>
      </w:tr>
      <w:tr w:rsidR="00497DA0" w:rsidRPr="006772A7" w:rsidTr="006919A9">
        <w:trPr>
          <w:trHeight w:val="497"/>
        </w:trPr>
        <w:tc>
          <w:tcPr>
            <w:tcW w:w="2388" w:type="dxa"/>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ESCOPETERA </w:t>
            </w:r>
          </w:p>
        </w:tc>
        <w:tc>
          <w:tcPr>
            <w:tcW w:w="1744"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4007</w:t>
            </w:r>
          </w:p>
        </w:tc>
        <w:tc>
          <w:tcPr>
            <w:tcW w:w="992"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48,2</w:t>
            </w:r>
          </w:p>
        </w:tc>
        <w:tc>
          <w:tcPr>
            <w:tcW w:w="1408"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4298</w:t>
            </w:r>
          </w:p>
        </w:tc>
        <w:tc>
          <w:tcPr>
            <w:tcW w:w="1122"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51,7</w:t>
            </w:r>
          </w:p>
        </w:tc>
        <w:tc>
          <w:tcPr>
            <w:tcW w:w="1362"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8305</w:t>
            </w:r>
          </w:p>
        </w:tc>
      </w:tr>
      <w:tr w:rsidR="00497DA0" w:rsidRPr="006772A7" w:rsidTr="006919A9">
        <w:trPr>
          <w:trHeight w:val="497"/>
        </w:trPr>
        <w:tc>
          <w:tcPr>
            <w:tcW w:w="2388" w:type="dxa"/>
            <w:tcBorders>
              <w:left w:val="nil"/>
              <w:right w:val="nil"/>
            </w:tcBorders>
            <w:shd w:val="clear" w:color="auto" w:fill="DFD8E8"/>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LA MONTAÑA </w:t>
            </w:r>
          </w:p>
        </w:tc>
        <w:tc>
          <w:tcPr>
            <w:tcW w:w="1744"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8976</w:t>
            </w:r>
          </w:p>
        </w:tc>
        <w:tc>
          <w:tcPr>
            <w:tcW w:w="99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49,9</w:t>
            </w:r>
          </w:p>
        </w:tc>
        <w:tc>
          <w:tcPr>
            <w:tcW w:w="1408"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8987</w:t>
            </w:r>
          </w:p>
        </w:tc>
        <w:tc>
          <w:tcPr>
            <w:tcW w:w="112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50</w:t>
            </w:r>
          </w:p>
        </w:tc>
        <w:tc>
          <w:tcPr>
            <w:tcW w:w="136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17963</w:t>
            </w:r>
          </w:p>
        </w:tc>
      </w:tr>
      <w:tr w:rsidR="00497DA0" w:rsidRPr="006772A7" w:rsidTr="006919A9">
        <w:trPr>
          <w:trHeight w:val="497"/>
        </w:trPr>
        <w:tc>
          <w:tcPr>
            <w:tcW w:w="2388" w:type="dxa"/>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SAN LORENZO </w:t>
            </w:r>
          </w:p>
        </w:tc>
        <w:tc>
          <w:tcPr>
            <w:tcW w:w="1744"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5933</w:t>
            </w:r>
          </w:p>
        </w:tc>
        <w:tc>
          <w:tcPr>
            <w:tcW w:w="992"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51</w:t>
            </w:r>
          </w:p>
        </w:tc>
        <w:tc>
          <w:tcPr>
            <w:tcW w:w="1408"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5685</w:t>
            </w:r>
          </w:p>
        </w:tc>
        <w:tc>
          <w:tcPr>
            <w:tcW w:w="1122"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48,9</w:t>
            </w:r>
          </w:p>
        </w:tc>
        <w:tc>
          <w:tcPr>
            <w:tcW w:w="1362" w:type="dxa"/>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11618</w:t>
            </w:r>
          </w:p>
        </w:tc>
      </w:tr>
      <w:tr w:rsidR="00497DA0" w:rsidRPr="006772A7" w:rsidTr="006919A9">
        <w:trPr>
          <w:trHeight w:val="497"/>
        </w:trPr>
        <w:tc>
          <w:tcPr>
            <w:tcW w:w="2388" w:type="dxa"/>
            <w:tcBorders>
              <w:left w:val="nil"/>
              <w:right w:val="nil"/>
            </w:tcBorders>
            <w:shd w:val="clear" w:color="auto" w:fill="DFD8E8"/>
            <w:noWrap/>
            <w:hideMark/>
          </w:tcPr>
          <w:p w:rsidR="00497DA0" w:rsidRPr="006772A7" w:rsidRDefault="00497DA0" w:rsidP="006919A9">
            <w:pPr>
              <w:ind w:right="-234"/>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TOTAL </w:t>
            </w:r>
          </w:p>
        </w:tc>
        <w:tc>
          <w:tcPr>
            <w:tcW w:w="1744"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26184</w:t>
            </w:r>
          </w:p>
        </w:tc>
        <w:tc>
          <w:tcPr>
            <w:tcW w:w="99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49,7</w:t>
            </w:r>
          </w:p>
        </w:tc>
        <w:tc>
          <w:tcPr>
            <w:tcW w:w="1408"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26442</w:t>
            </w:r>
          </w:p>
        </w:tc>
        <w:tc>
          <w:tcPr>
            <w:tcW w:w="112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50,2</w:t>
            </w:r>
          </w:p>
        </w:tc>
        <w:tc>
          <w:tcPr>
            <w:tcW w:w="1362" w:type="dxa"/>
            <w:tcBorders>
              <w:left w:val="nil"/>
              <w:right w:val="nil"/>
            </w:tcBorders>
            <w:shd w:val="clear" w:color="auto" w:fill="DFD8E8"/>
            <w:noWrap/>
            <w:hideMark/>
          </w:tcPr>
          <w:p w:rsidR="00497DA0" w:rsidRPr="006772A7" w:rsidRDefault="00497DA0" w:rsidP="006919A9">
            <w:pPr>
              <w:ind w:right="-234"/>
              <w:jc w:val="both"/>
              <w:rPr>
                <w:rFonts w:eastAsia="Times New Roman" w:cs="Calibri"/>
                <w:color w:val="000000"/>
                <w:sz w:val="28"/>
                <w:szCs w:val="28"/>
                <w:lang w:eastAsia="es-ES"/>
              </w:rPr>
            </w:pPr>
            <w:r w:rsidRPr="006772A7">
              <w:rPr>
                <w:rFonts w:eastAsia="Times New Roman" w:cs="Calibri"/>
                <w:color w:val="000000"/>
                <w:sz w:val="28"/>
                <w:szCs w:val="28"/>
                <w:lang w:eastAsia="es-ES"/>
              </w:rPr>
              <w:t>52626</w:t>
            </w:r>
          </w:p>
        </w:tc>
      </w:tr>
    </w:tbl>
    <w:p w:rsidR="00497DA0" w:rsidRPr="006772A7" w:rsidRDefault="00497DA0" w:rsidP="00497DA0">
      <w:pPr>
        <w:ind w:right="-234"/>
        <w:jc w:val="both"/>
        <w:rPr>
          <w:rFonts w:cs="Calibri"/>
          <w:sz w:val="28"/>
          <w:szCs w:val="28"/>
        </w:rPr>
      </w:pPr>
    </w:p>
    <w:p w:rsidR="00497DA0" w:rsidRPr="006772A7" w:rsidRDefault="00497DA0" w:rsidP="00497DA0">
      <w:pPr>
        <w:ind w:right="-234"/>
        <w:jc w:val="both"/>
        <w:rPr>
          <w:rFonts w:cs="Calibri"/>
          <w:sz w:val="28"/>
          <w:szCs w:val="28"/>
          <w:u w:val="single"/>
        </w:rPr>
      </w:pPr>
      <w:r w:rsidRPr="006772A7">
        <w:rPr>
          <w:rFonts w:cs="Calibri"/>
          <w:sz w:val="28"/>
          <w:szCs w:val="28"/>
          <w:u w:val="single"/>
        </w:rPr>
        <w:t>1.2 Económicas:</w:t>
      </w:r>
    </w:p>
    <w:p w:rsidR="00497DA0" w:rsidRPr="006772A7" w:rsidRDefault="00497DA0" w:rsidP="00497DA0">
      <w:pPr>
        <w:ind w:right="-234"/>
        <w:jc w:val="both"/>
        <w:rPr>
          <w:rFonts w:cs="Calibri"/>
          <w:i/>
          <w:sz w:val="28"/>
          <w:szCs w:val="28"/>
        </w:rPr>
      </w:pPr>
      <w:r w:rsidRPr="006772A7">
        <w:rPr>
          <w:rFonts w:cs="Calibri"/>
          <w:sz w:val="28"/>
          <w:szCs w:val="28"/>
        </w:rPr>
        <w:t xml:space="preserve">La economía del municipio se concentra particularmente en su tradición agrícola de la cual se destacan la producción y comercialización de café y panela, así mismo, en el municipio se desarrollan actividades complementarias que contribuyen a su desarrollo  económico: minería artesanal, ganadería y producción de artesanías. La producción artesanal es una actividad económica desarrollada principalmente por las comunidades indígenas que habitan en el resguardo de: </w:t>
      </w:r>
      <w:r w:rsidRPr="006772A7">
        <w:rPr>
          <w:rFonts w:cs="Calibri"/>
          <w:i/>
          <w:sz w:val="28"/>
          <w:szCs w:val="28"/>
        </w:rPr>
        <w:t>Cañamomo y Lomaprieta.</w:t>
      </w:r>
    </w:p>
    <w:p w:rsidR="00497DA0" w:rsidRPr="006772A7" w:rsidRDefault="00497DA0" w:rsidP="00497DA0">
      <w:pPr>
        <w:ind w:right="-234"/>
        <w:jc w:val="both"/>
        <w:rPr>
          <w:rFonts w:cs="Calibri"/>
          <w:sz w:val="28"/>
          <w:szCs w:val="28"/>
          <w:u w:val="single"/>
        </w:rPr>
      </w:pPr>
      <w:r w:rsidRPr="006772A7">
        <w:rPr>
          <w:rFonts w:cs="Calibri"/>
          <w:sz w:val="28"/>
          <w:szCs w:val="28"/>
          <w:u w:val="single"/>
        </w:rPr>
        <w:t>1.3 Demográficas y sociales:</w:t>
      </w:r>
    </w:p>
    <w:p w:rsidR="00497DA0" w:rsidRPr="006772A7" w:rsidRDefault="00497DA0" w:rsidP="00497DA0">
      <w:pPr>
        <w:ind w:right="-234"/>
        <w:jc w:val="both"/>
        <w:rPr>
          <w:rFonts w:cs="Calibri"/>
          <w:sz w:val="28"/>
          <w:szCs w:val="28"/>
        </w:rPr>
      </w:pPr>
      <w:r w:rsidRPr="006772A7">
        <w:rPr>
          <w:rFonts w:cs="Calibri"/>
          <w:sz w:val="28"/>
          <w:szCs w:val="28"/>
        </w:rPr>
        <w:t xml:space="preserve">De acuerdo con los datos estadísticos del DANE el Municipio de Riosucio tiene una población aproximada de 57.935 habitantes, distribuidos así: 17.482 en la cabecera y 40.453 en el resto. La distribución de población por sexo tiene una relación de 51.3% mujeres y un 48.7% hombres. </w:t>
      </w:r>
    </w:p>
    <w:p w:rsidR="00497DA0" w:rsidRPr="006772A7" w:rsidRDefault="00497DA0" w:rsidP="00497DA0">
      <w:pPr>
        <w:ind w:left="360" w:right="-234"/>
        <w:jc w:val="both"/>
        <w:rPr>
          <w:rFonts w:cs="Calibri"/>
          <w:sz w:val="28"/>
          <w:szCs w:val="28"/>
        </w:rPr>
      </w:pPr>
      <w:r>
        <w:rPr>
          <w:rFonts w:cs="Calibri"/>
          <w:noProof/>
          <w:sz w:val="28"/>
          <w:szCs w:val="28"/>
          <w:lang w:eastAsia="es-CO"/>
        </w:rPr>
        <w:lastRenderedPageBreak/>
        <w:drawing>
          <wp:anchor distT="0" distB="0" distL="114300" distR="114300" simplePos="0" relativeHeight="251659264" behindDoc="0" locked="0" layoutInCell="1" allowOverlap="1">
            <wp:simplePos x="0" y="0"/>
            <wp:positionH relativeFrom="column">
              <wp:posOffset>-91440</wp:posOffset>
            </wp:positionH>
            <wp:positionV relativeFrom="paragraph">
              <wp:posOffset>274955</wp:posOffset>
            </wp:positionV>
            <wp:extent cx="2734945" cy="1886585"/>
            <wp:effectExtent l="0" t="0" r="8255" b="0"/>
            <wp:wrapSquare wrapText="right"/>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4945" cy="1886585"/>
                    </a:xfrm>
                    <a:prstGeom prst="rect">
                      <a:avLst/>
                    </a:prstGeom>
                    <a:noFill/>
                    <a:ln>
                      <a:noFill/>
                    </a:ln>
                  </pic:spPr>
                </pic:pic>
              </a:graphicData>
            </a:graphic>
          </wp:anchor>
        </w:drawing>
      </w:r>
    </w:p>
    <w:p w:rsidR="00497DA0" w:rsidRPr="006772A7" w:rsidRDefault="00497DA0" w:rsidP="00497DA0">
      <w:pPr>
        <w:ind w:left="360" w:right="-234"/>
        <w:jc w:val="both"/>
        <w:rPr>
          <w:rFonts w:cs="Calibri"/>
          <w:sz w:val="28"/>
          <w:szCs w:val="28"/>
        </w:rPr>
      </w:pPr>
      <w:r>
        <w:rPr>
          <w:rFonts w:cs="Calibri"/>
          <w:noProof/>
          <w:sz w:val="28"/>
          <w:szCs w:val="28"/>
          <w:lang w:eastAsia="es-CO"/>
        </w:rPr>
        <w:drawing>
          <wp:inline distT="0" distB="0" distL="0" distR="0">
            <wp:extent cx="3170555" cy="172212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0555" cy="1722120"/>
                    </a:xfrm>
                    <a:prstGeom prst="rect">
                      <a:avLst/>
                    </a:prstGeom>
                    <a:noFill/>
                    <a:ln>
                      <a:noFill/>
                    </a:ln>
                  </pic:spPr>
                </pic:pic>
              </a:graphicData>
            </a:graphic>
          </wp:inline>
        </w:drawing>
      </w:r>
    </w:p>
    <w:p w:rsidR="00497DA0" w:rsidRPr="006772A7" w:rsidRDefault="00497DA0" w:rsidP="00497DA0">
      <w:pPr>
        <w:ind w:right="-234"/>
        <w:jc w:val="both"/>
        <w:rPr>
          <w:rFonts w:cs="Calibri"/>
          <w:sz w:val="28"/>
          <w:szCs w:val="28"/>
        </w:rPr>
      </w:pPr>
      <w:r w:rsidRPr="006772A7">
        <w:rPr>
          <w:rFonts w:cs="Calibri"/>
          <w:sz w:val="28"/>
          <w:szCs w:val="28"/>
        </w:rPr>
        <w:t>Fuente: DANE 2012.</w:t>
      </w:r>
    </w:p>
    <w:p w:rsidR="00497DA0" w:rsidRPr="006772A7" w:rsidRDefault="00497DA0" w:rsidP="00497DA0">
      <w:pPr>
        <w:ind w:right="-234"/>
        <w:jc w:val="both"/>
        <w:rPr>
          <w:rFonts w:cs="Calibri"/>
          <w:sz w:val="28"/>
          <w:szCs w:val="28"/>
        </w:rPr>
      </w:pPr>
      <w:r w:rsidRPr="006772A7">
        <w:rPr>
          <w:rFonts w:cs="Calibri"/>
          <w:sz w:val="28"/>
          <w:szCs w:val="28"/>
        </w:rPr>
        <w:t>De la totalidad de población del municipio el 75% se auto reconoce como indígena.</w:t>
      </w:r>
      <w:r w:rsidRPr="006772A7">
        <w:rPr>
          <w:rStyle w:val="Refdenotaalpie"/>
          <w:rFonts w:cs="Calibri"/>
        </w:rPr>
        <w:footnoteReference w:id="1"/>
      </w:r>
      <w:r w:rsidRPr="006772A7">
        <w:rPr>
          <w:rFonts w:cs="Calibri"/>
          <w:sz w:val="28"/>
          <w:szCs w:val="28"/>
        </w:rPr>
        <w:t xml:space="preserve"> </w:t>
      </w:r>
      <w:proofErr w:type="gramStart"/>
      <w:r w:rsidRPr="006772A7">
        <w:rPr>
          <w:rFonts w:cs="Calibri"/>
          <w:sz w:val="28"/>
          <w:szCs w:val="28"/>
        </w:rPr>
        <w:t>y</w:t>
      </w:r>
      <w:proofErr w:type="gramEnd"/>
      <w:r w:rsidRPr="006772A7">
        <w:rPr>
          <w:rFonts w:cs="Calibri"/>
          <w:sz w:val="28"/>
          <w:szCs w:val="28"/>
        </w:rPr>
        <w:t xml:space="preserve"> el porcentaje de personas en NBI es de 23,82%. Según datos del RUPD, las cifras de desplazamiento en el municipio son: Recepción: 1325 personas y expulsión 3924 personas.</w:t>
      </w:r>
      <w:r w:rsidRPr="006772A7">
        <w:rPr>
          <w:rStyle w:val="Refdenotaalpie"/>
          <w:rFonts w:cs="Calibri"/>
        </w:rPr>
        <w:footnoteReference w:id="2"/>
      </w:r>
    </w:p>
    <w:tbl>
      <w:tblPr>
        <w:tblW w:w="4840" w:type="pct"/>
        <w:tblCellSpacing w:w="15" w:type="dxa"/>
        <w:tblInd w:w="39" w:type="dxa"/>
        <w:tblBorders>
          <w:top w:val="single" w:sz="4" w:space="0" w:color="CCCCCC"/>
          <w:left w:val="single" w:sz="4" w:space="0" w:color="CCCCCC"/>
          <w:bottom w:val="single" w:sz="4" w:space="0" w:color="CCCCCC"/>
          <w:right w:val="single" w:sz="4"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6724"/>
        <w:gridCol w:w="525"/>
        <w:gridCol w:w="834"/>
        <w:gridCol w:w="579"/>
      </w:tblGrid>
      <w:tr w:rsidR="00497DA0" w:rsidRPr="006772A7" w:rsidTr="006919A9">
        <w:trPr>
          <w:trHeight w:val="258"/>
          <w:tblCellSpacing w:w="15" w:type="dxa"/>
        </w:trPr>
        <w:tc>
          <w:tcPr>
            <w:tcW w:w="0" w:type="auto"/>
            <w:shd w:val="clear" w:color="auto" w:fill="FFFFE0"/>
            <w:vAlign w:val="center"/>
            <w:hideMark/>
          </w:tcPr>
          <w:p w:rsidR="00497DA0" w:rsidRPr="006772A7" w:rsidRDefault="00497DA0" w:rsidP="006919A9">
            <w:pPr>
              <w:spacing w:before="130" w:after="39"/>
              <w:ind w:right="-234"/>
              <w:jc w:val="center"/>
              <w:rPr>
                <w:rFonts w:eastAsia="Times New Roman" w:cs="Calibri"/>
                <w:b/>
                <w:bCs/>
                <w:color w:val="666666"/>
                <w:sz w:val="28"/>
                <w:szCs w:val="28"/>
                <w:lang w:eastAsia="es-CO"/>
              </w:rPr>
            </w:pPr>
            <w:r w:rsidRPr="006772A7">
              <w:rPr>
                <w:rFonts w:eastAsia="Times New Roman" w:cs="Calibri"/>
                <w:b/>
                <w:bCs/>
                <w:color w:val="666666"/>
                <w:sz w:val="28"/>
                <w:szCs w:val="28"/>
                <w:lang w:eastAsia="es-CO"/>
              </w:rPr>
              <w:t>Indicador</w:t>
            </w:r>
          </w:p>
        </w:tc>
        <w:tc>
          <w:tcPr>
            <w:tcW w:w="0" w:type="auto"/>
            <w:shd w:val="clear" w:color="auto" w:fill="FFFFE0"/>
            <w:vAlign w:val="center"/>
            <w:hideMark/>
          </w:tcPr>
          <w:p w:rsidR="00497DA0" w:rsidRPr="006772A7" w:rsidRDefault="00497DA0" w:rsidP="006919A9">
            <w:pPr>
              <w:spacing w:before="130" w:after="39"/>
              <w:ind w:right="-234"/>
              <w:jc w:val="center"/>
              <w:rPr>
                <w:rFonts w:eastAsia="Times New Roman" w:cs="Calibri"/>
                <w:b/>
                <w:bCs/>
                <w:color w:val="666666"/>
                <w:sz w:val="28"/>
                <w:szCs w:val="28"/>
                <w:lang w:eastAsia="es-CO"/>
              </w:rPr>
            </w:pPr>
            <w:r w:rsidRPr="006772A7">
              <w:rPr>
                <w:rFonts w:eastAsia="Times New Roman" w:cs="Calibri"/>
                <w:b/>
                <w:bCs/>
                <w:color w:val="666666"/>
                <w:sz w:val="28"/>
                <w:szCs w:val="28"/>
                <w:lang w:eastAsia="es-CO"/>
              </w:rPr>
              <w:t>Rural</w:t>
            </w:r>
          </w:p>
        </w:tc>
        <w:tc>
          <w:tcPr>
            <w:tcW w:w="0" w:type="auto"/>
            <w:shd w:val="clear" w:color="auto" w:fill="FFFFE0"/>
            <w:vAlign w:val="center"/>
            <w:hideMark/>
          </w:tcPr>
          <w:p w:rsidR="00497DA0" w:rsidRPr="006772A7" w:rsidRDefault="00497DA0" w:rsidP="006919A9">
            <w:pPr>
              <w:spacing w:before="130" w:after="39"/>
              <w:ind w:right="-234"/>
              <w:jc w:val="center"/>
              <w:rPr>
                <w:rFonts w:eastAsia="Times New Roman" w:cs="Calibri"/>
                <w:b/>
                <w:bCs/>
                <w:color w:val="666666"/>
                <w:sz w:val="28"/>
                <w:szCs w:val="28"/>
                <w:lang w:eastAsia="es-CO"/>
              </w:rPr>
            </w:pPr>
            <w:r w:rsidRPr="006772A7">
              <w:rPr>
                <w:rFonts w:eastAsia="Times New Roman" w:cs="Calibri"/>
                <w:b/>
                <w:bCs/>
                <w:color w:val="666666"/>
                <w:sz w:val="28"/>
                <w:szCs w:val="28"/>
                <w:lang w:eastAsia="es-CO"/>
              </w:rPr>
              <w:t>Urbano</w:t>
            </w:r>
          </w:p>
        </w:tc>
        <w:tc>
          <w:tcPr>
            <w:tcW w:w="0" w:type="auto"/>
            <w:shd w:val="clear" w:color="auto" w:fill="FFFFE0"/>
            <w:vAlign w:val="center"/>
            <w:hideMark/>
          </w:tcPr>
          <w:p w:rsidR="00497DA0" w:rsidRPr="006772A7" w:rsidRDefault="00497DA0" w:rsidP="006919A9">
            <w:pPr>
              <w:spacing w:before="130" w:after="39"/>
              <w:ind w:right="-234"/>
              <w:jc w:val="center"/>
              <w:rPr>
                <w:rFonts w:eastAsia="Times New Roman" w:cs="Calibri"/>
                <w:b/>
                <w:bCs/>
                <w:color w:val="666666"/>
                <w:sz w:val="28"/>
                <w:szCs w:val="28"/>
                <w:lang w:eastAsia="es-CO"/>
              </w:rPr>
            </w:pPr>
            <w:r w:rsidRPr="006772A7">
              <w:rPr>
                <w:rFonts w:eastAsia="Times New Roman" w:cs="Calibri"/>
                <w:b/>
                <w:bCs/>
                <w:color w:val="666666"/>
                <w:sz w:val="28"/>
                <w:szCs w:val="28"/>
                <w:lang w:eastAsia="es-CO"/>
              </w:rPr>
              <w:t>Total</w:t>
            </w:r>
          </w:p>
        </w:tc>
      </w:tr>
      <w:tr w:rsidR="00497DA0" w:rsidRPr="006772A7" w:rsidTr="006919A9">
        <w:trPr>
          <w:trHeight w:val="268"/>
          <w:tblCellSpacing w:w="15" w:type="dxa"/>
        </w:trPr>
        <w:tc>
          <w:tcPr>
            <w:tcW w:w="0" w:type="auto"/>
            <w:shd w:val="clear" w:color="auto" w:fill="F0F0F0"/>
            <w:vAlign w:val="center"/>
            <w:hideMark/>
          </w:tcPr>
          <w:p w:rsidR="00497DA0" w:rsidRPr="006772A7" w:rsidRDefault="00497DA0" w:rsidP="006919A9">
            <w:pPr>
              <w:spacing w:before="130" w:after="39"/>
              <w:ind w:right="-234"/>
              <w:rPr>
                <w:rFonts w:eastAsia="Times New Roman" w:cs="Calibri"/>
                <w:color w:val="666666"/>
                <w:sz w:val="28"/>
                <w:szCs w:val="28"/>
                <w:lang w:eastAsia="es-CO"/>
              </w:rPr>
            </w:pPr>
            <w:r w:rsidRPr="006772A7">
              <w:rPr>
                <w:rFonts w:eastAsia="Times New Roman" w:cs="Calibri"/>
                <w:color w:val="666666"/>
                <w:sz w:val="28"/>
                <w:szCs w:val="28"/>
                <w:lang w:eastAsia="es-CO"/>
              </w:rPr>
              <w:t>No. de hogares con NBI</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40.9</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40,90</w:t>
            </w:r>
          </w:p>
        </w:tc>
      </w:tr>
      <w:tr w:rsidR="00497DA0" w:rsidRPr="006772A7" w:rsidTr="006919A9">
        <w:trPr>
          <w:trHeight w:val="268"/>
          <w:tblCellSpacing w:w="15" w:type="dxa"/>
        </w:trPr>
        <w:tc>
          <w:tcPr>
            <w:tcW w:w="0" w:type="auto"/>
            <w:shd w:val="clear" w:color="auto" w:fill="F9F9F9"/>
            <w:vAlign w:val="center"/>
            <w:hideMark/>
          </w:tcPr>
          <w:p w:rsidR="00497DA0" w:rsidRPr="006772A7" w:rsidRDefault="00497DA0" w:rsidP="006919A9">
            <w:pPr>
              <w:spacing w:before="130" w:after="39"/>
              <w:ind w:right="-234"/>
              <w:rPr>
                <w:rFonts w:eastAsia="Times New Roman" w:cs="Calibri"/>
                <w:color w:val="666666"/>
                <w:sz w:val="28"/>
                <w:szCs w:val="28"/>
                <w:lang w:eastAsia="es-CO"/>
              </w:rPr>
            </w:pPr>
            <w:r w:rsidRPr="006772A7">
              <w:rPr>
                <w:rFonts w:eastAsia="Times New Roman" w:cs="Calibri"/>
                <w:color w:val="666666"/>
                <w:sz w:val="28"/>
                <w:szCs w:val="28"/>
                <w:lang w:eastAsia="es-CO"/>
              </w:rPr>
              <w:t>No. de hogares con vivienda inadecuada</w:t>
            </w: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5.9</w:t>
            </w: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5,90</w:t>
            </w:r>
          </w:p>
        </w:tc>
      </w:tr>
      <w:tr w:rsidR="00497DA0" w:rsidRPr="006772A7" w:rsidTr="006919A9">
        <w:trPr>
          <w:trHeight w:val="258"/>
          <w:tblCellSpacing w:w="15" w:type="dxa"/>
        </w:trPr>
        <w:tc>
          <w:tcPr>
            <w:tcW w:w="0" w:type="auto"/>
            <w:shd w:val="clear" w:color="auto" w:fill="F0F0F0"/>
            <w:vAlign w:val="center"/>
            <w:hideMark/>
          </w:tcPr>
          <w:p w:rsidR="00497DA0" w:rsidRPr="006772A7" w:rsidRDefault="00497DA0" w:rsidP="006919A9">
            <w:pPr>
              <w:spacing w:before="130" w:after="39"/>
              <w:ind w:right="-234"/>
              <w:rPr>
                <w:rFonts w:eastAsia="Times New Roman" w:cs="Calibri"/>
                <w:color w:val="666666"/>
                <w:sz w:val="28"/>
                <w:szCs w:val="28"/>
                <w:lang w:eastAsia="es-CO"/>
              </w:rPr>
            </w:pPr>
            <w:r w:rsidRPr="006772A7">
              <w:rPr>
                <w:rFonts w:eastAsia="Times New Roman" w:cs="Calibri"/>
                <w:color w:val="666666"/>
                <w:sz w:val="28"/>
                <w:szCs w:val="28"/>
                <w:lang w:eastAsia="es-CO"/>
              </w:rPr>
              <w:t>No. de hogares con servicios públicos inadecuados</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2.8</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2,80</w:t>
            </w:r>
          </w:p>
        </w:tc>
      </w:tr>
      <w:tr w:rsidR="00497DA0" w:rsidRPr="006772A7" w:rsidTr="006919A9">
        <w:trPr>
          <w:trHeight w:val="268"/>
          <w:tblCellSpacing w:w="15" w:type="dxa"/>
        </w:trPr>
        <w:tc>
          <w:tcPr>
            <w:tcW w:w="0" w:type="auto"/>
            <w:shd w:val="clear" w:color="auto" w:fill="F9F9F9"/>
            <w:vAlign w:val="center"/>
            <w:hideMark/>
          </w:tcPr>
          <w:p w:rsidR="00497DA0" w:rsidRPr="006772A7" w:rsidRDefault="00497DA0" w:rsidP="006919A9">
            <w:pPr>
              <w:spacing w:before="130" w:after="39"/>
              <w:ind w:right="-234"/>
              <w:rPr>
                <w:rFonts w:eastAsia="Times New Roman" w:cs="Calibri"/>
                <w:color w:val="666666"/>
                <w:sz w:val="28"/>
                <w:szCs w:val="28"/>
                <w:lang w:eastAsia="es-CO"/>
              </w:rPr>
            </w:pPr>
            <w:r w:rsidRPr="006772A7">
              <w:rPr>
                <w:rFonts w:eastAsia="Times New Roman" w:cs="Calibri"/>
                <w:color w:val="666666"/>
                <w:sz w:val="28"/>
                <w:szCs w:val="28"/>
                <w:lang w:eastAsia="es-CO"/>
              </w:rPr>
              <w:t>No. de hogares con hacinamiento crítico</w:t>
            </w: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9.7</w:t>
            </w: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9,70</w:t>
            </w:r>
          </w:p>
        </w:tc>
      </w:tr>
      <w:tr w:rsidR="00497DA0" w:rsidRPr="006772A7" w:rsidTr="006919A9">
        <w:trPr>
          <w:trHeight w:val="268"/>
          <w:tblCellSpacing w:w="15" w:type="dxa"/>
        </w:trPr>
        <w:tc>
          <w:tcPr>
            <w:tcW w:w="0" w:type="auto"/>
            <w:shd w:val="clear" w:color="auto" w:fill="F0F0F0"/>
            <w:vAlign w:val="center"/>
            <w:hideMark/>
          </w:tcPr>
          <w:p w:rsidR="00497DA0" w:rsidRPr="006772A7" w:rsidRDefault="00497DA0" w:rsidP="006919A9">
            <w:pPr>
              <w:spacing w:before="130" w:after="39"/>
              <w:ind w:right="-234"/>
              <w:rPr>
                <w:rFonts w:eastAsia="Times New Roman" w:cs="Calibri"/>
                <w:color w:val="666666"/>
                <w:sz w:val="28"/>
                <w:szCs w:val="28"/>
                <w:lang w:eastAsia="es-CO"/>
              </w:rPr>
            </w:pPr>
            <w:r w:rsidRPr="006772A7">
              <w:rPr>
                <w:rFonts w:eastAsia="Times New Roman" w:cs="Calibri"/>
                <w:color w:val="666666"/>
                <w:sz w:val="28"/>
                <w:szCs w:val="28"/>
                <w:lang w:eastAsia="es-CO"/>
              </w:rPr>
              <w:t>No. de hogares con alta dependencia económica</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17.7</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17,70</w:t>
            </w:r>
          </w:p>
        </w:tc>
      </w:tr>
      <w:tr w:rsidR="00497DA0" w:rsidRPr="006772A7" w:rsidTr="006919A9">
        <w:trPr>
          <w:trHeight w:val="258"/>
          <w:tblCellSpacing w:w="15" w:type="dxa"/>
        </w:trPr>
        <w:tc>
          <w:tcPr>
            <w:tcW w:w="0" w:type="auto"/>
            <w:shd w:val="clear" w:color="auto" w:fill="F9F9F9"/>
            <w:vAlign w:val="center"/>
            <w:hideMark/>
          </w:tcPr>
          <w:p w:rsidR="00497DA0" w:rsidRPr="006772A7" w:rsidRDefault="00497DA0" w:rsidP="006919A9">
            <w:pPr>
              <w:spacing w:before="130" w:after="39"/>
              <w:ind w:right="-234"/>
              <w:rPr>
                <w:rFonts w:eastAsia="Times New Roman" w:cs="Calibri"/>
                <w:color w:val="666666"/>
                <w:sz w:val="28"/>
                <w:szCs w:val="28"/>
                <w:lang w:eastAsia="es-CO"/>
              </w:rPr>
            </w:pPr>
            <w:r w:rsidRPr="006772A7">
              <w:rPr>
                <w:rFonts w:eastAsia="Times New Roman" w:cs="Calibri"/>
                <w:color w:val="666666"/>
                <w:sz w:val="28"/>
                <w:szCs w:val="28"/>
                <w:lang w:eastAsia="es-CO"/>
              </w:rPr>
              <w:t>No. de hogares con ausentismo escolar</w:t>
            </w: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9.8</w:t>
            </w:r>
          </w:p>
        </w:tc>
        <w:tc>
          <w:tcPr>
            <w:tcW w:w="0" w:type="auto"/>
            <w:shd w:val="clear" w:color="auto" w:fill="F9F9F9"/>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9,80</w:t>
            </w:r>
          </w:p>
        </w:tc>
      </w:tr>
      <w:tr w:rsidR="00497DA0" w:rsidRPr="006772A7" w:rsidTr="006919A9">
        <w:trPr>
          <w:trHeight w:val="268"/>
          <w:tblCellSpacing w:w="15" w:type="dxa"/>
        </w:trPr>
        <w:tc>
          <w:tcPr>
            <w:tcW w:w="0" w:type="auto"/>
            <w:shd w:val="clear" w:color="auto" w:fill="F0F0F0"/>
            <w:vAlign w:val="center"/>
            <w:hideMark/>
          </w:tcPr>
          <w:p w:rsidR="00497DA0" w:rsidRPr="006772A7" w:rsidRDefault="00497DA0" w:rsidP="006919A9">
            <w:pPr>
              <w:spacing w:before="130" w:after="39"/>
              <w:ind w:right="-234"/>
              <w:rPr>
                <w:rFonts w:eastAsia="Times New Roman" w:cs="Calibri"/>
                <w:color w:val="666666"/>
                <w:sz w:val="28"/>
                <w:szCs w:val="28"/>
                <w:lang w:eastAsia="es-CO"/>
              </w:rPr>
            </w:pPr>
            <w:r w:rsidRPr="006772A7">
              <w:rPr>
                <w:rFonts w:eastAsia="Times New Roman" w:cs="Calibri"/>
                <w:color w:val="666666"/>
                <w:sz w:val="28"/>
                <w:szCs w:val="28"/>
                <w:lang w:eastAsia="es-CO"/>
              </w:rPr>
              <w:t>No. de hogares en la miseria</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13.2</w:t>
            </w:r>
          </w:p>
        </w:tc>
        <w:tc>
          <w:tcPr>
            <w:tcW w:w="0" w:type="auto"/>
            <w:shd w:val="clear" w:color="auto" w:fill="F0F0F0"/>
            <w:vAlign w:val="center"/>
            <w:hideMark/>
          </w:tcPr>
          <w:p w:rsidR="00497DA0" w:rsidRPr="006772A7" w:rsidRDefault="00497DA0" w:rsidP="006919A9">
            <w:pPr>
              <w:spacing w:before="130" w:after="39"/>
              <w:ind w:right="-234"/>
              <w:jc w:val="right"/>
              <w:rPr>
                <w:rFonts w:eastAsia="Times New Roman" w:cs="Calibri"/>
                <w:color w:val="666666"/>
                <w:sz w:val="28"/>
                <w:szCs w:val="28"/>
                <w:lang w:eastAsia="es-CO"/>
              </w:rPr>
            </w:pPr>
            <w:r w:rsidRPr="006772A7">
              <w:rPr>
                <w:rFonts w:eastAsia="Times New Roman" w:cs="Calibri"/>
                <w:color w:val="666666"/>
                <w:sz w:val="28"/>
                <w:szCs w:val="28"/>
                <w:lang w:eastAsia="es-CO"/>
              </w:rPr>
              <w:t>13,20</w:t>
            </w:r>
          </w:p>
        </w:tc>
      </w:tr>
    </w:tbl>
    <w:p w:rsidR="00497DA0" w:rsidRPr="006772A7" w:rsidRDefault="00497DA0" w:rsidP="00497DA0">
      <w:pPr>
        <w:tabs>
          <w:tab w:val="left" w:pos="426"/>
        </w:tabs>
        <w:ind w:right="-234"/>
        <w:jc w:val="both"/>
        <w:rPr>
          <w:rFonts w:cs="Calibri"/>
          <w:sz w:val="28"/>
          <w:szCs w:val="28"/>
        </w:rPr>
      </w:pPr>
      <w:r w:rsidRPr="006772A7">
        <w:rPr>
          <w:rFonts w:cs="Calibri"/>
          <w:sz w:val="28"/>
          <w:szCs w:val="28"/>
        </w:rPr>
        <w:lastRenderedPageBreak/>
        <w:t xml:space="preserve">Fuente: Alcaldía del Municipio de Riosucio. </w:t>
      </w:r>
      <w:r w:rsidRPr="006772A7">
        <w:rPr>
          <w:rStyle w:val="Refdenotaalpie"/>
          <w:rFonts w:cs="Calibri"/>
        </w:rPr>
        <w:footnoteReference w:id="3"/>
      </w:r>
    </w:p>
    <w:p w:rsidR="00497DA0" w:rsidRPr="006772A7" w:rsidRDefault="00497DA0" w:rsidP="00497DA0">
      <w:pPr>
        <w:tabs>
          <w:tab w:val="left" w:pos="426"/>
        </w:tabs>
        <w:ind w:right="-234"/>
        <w:jc w:val="both"/>
        <w:rPr>
          <w:rFonts w:cs="Calibri"/>
          <w:sz w:val="28"/>
          <w:szCs w:val="28"/>
        </w:rPr>
      </w:pPr>
      <w:r w:rsidRPr="006772A7">
        <w:rPr>
          <w:rFonts w:cs="Calibri"/>
          <w:sz w:val="28"/>
          <w:szCs w:val="28"/>
          <w:u w:val="single"/>
        </w:rPr>
        <w:t>1.4 Vías de comunicación y Servicios Públicos</w:t>
      </w:r>
      <w:r w:rsidRPr="006772A7">
        <w:rPr>
          <w:rFonts w:cs="Calibri"/>
          <w:sz w:val="28"/>
          <w:szCs w:val="28"/>
        </w:rPr>
        <w:t>.</w:t>
      </w:r>
    </w:p>
    <w:p w:rsidR="00497DA0" w:rsidRPr="006772A7" w:rsidRDefault="00497DA0" w:rsidP="00497DA0">
      <w:pPr>
        <w:tabs>
          <w:tab w:val="left" w:pos="426"/>
        </w:tabs>
        <w:ind w:right="-234"/>
        <w:jc w:val="both"/>
        <w:rPr>
          <w:rFonts w:cs="Calibri"/>
          <w:sz w:val="28"/>
          <w:szCs w:val="28"/>
        </w:rPr>
      </w:pPr>
      <w:r w:rsidRPr="006772A7">
        <w:rPr>
          <w:rFonts w:cs="Calibri"/>
          <w:sz w:val="28"/>
          <w:szCs w:val="28"/>
        </w:rPr>
        <w:t xml:space="preserve">Las vías de comunicación del municipio son </w:t>
      </w:r>
      <w:proofErr w:type="spellStart"/>
      <w:r w:rsidRPr="006772A7">
        <w:rPr>
          <w:rFonts w:cs="Calibri"/>
          <w:sz w:val="28"/>
          <w:szCs w:val="28"/>
        </w:rPr>
        <w:t>carreteables</w:t>
      </w:r>
      <w:proofErr w:type="spellEnd"/>
      <w:r w:rsidRPr="006772A7">
        <w:rPr>
          <w:rFonts w:cs="Calibri"/>
          <w:sz w:val="28"/>
          <w:szCs w:val="28"/>
        </w:rPr>
        <w:t xml:space="preserve"> y comunican la cabecera municipal con los cuatro resguardos indígenas y con las demás zonas rurales del municipio. De igual manera, se encuentran habilitadas vías que comunican al municipio con otros centros urbanos de importancia: Medellín, Cali y Manizales.</w:t>
      </w:r>
    </w:p>
    <w:p w:rsidR="00497DA0" w:rsidRPr="006772A7" w:rsidRDefault="00497DA0" w:rsidP="00497DA0">
      <w:pPr>
        <w:tabs>
          <w:tab w:val="left" w:pos="426"/>
        </w:tabs>
        <w:ind w:right="-234"/>
        <w:jc w:val="both"/>
        <w:rPr>
          <w:rFonts w:cs="Calibri"/>
          <w:sz w:val="28"/>
          <w:szCs w:val="28"/>
        </w:rPr>
      </w:pPr>
      <w:r w:rsidRPr="006772A7">
        <w:rPr>
          <w:rFonts w:cs="Calibri"/>
          <w:sz w:val="28"/>
          <w:szCs w:val="28"/>
        </w:rPr>
        <w:t xml:space="preserve">En materia de servicios públicos, los datos de la administración municipal señalan que el 91% de la población cuenta con servicio de acueducto y alcantarillado, el 90% con energía eléctrica y 60% con servicio de telefonía. </w:t>
      </w:r>
    </w:p>
    <w:p w:rsidR="00497DA0" w:rsidRPr="006772A7" w:rsidRDefault="00497DA0" w:rsidP="00497DA0">
      <w:pPr>
        <w:pStyle w:val="Prrafodelista"/>
        <w:numPr>
          <w:ilvl w:val="0"/>
          <w:numId w:val="1"/>
        </w:numPr>
        <w:tabs>
          <w:tab w:val="left" w:pos="426"/>
        </w:tabs>
        <w:ind w:right="-234"/>
        <w:jc w:val="both"/>
        <w:rPr>
          <w:rFonts w:cs="Calibri"/>
          <w:b/>
          <w:sz w:val="28"/>
          <w:szCs w:val="28"/>
        </w:rPr>
      </w:pPr>
      <w:r w:rsidRPr="006772A7">
        <w:rPr>
          <w:rFonts w:cs="Calibri"/>
          <w:b/>
          <w:sz w:val="28"/>
          <w:szCs w:val="28"/>
        </w:rPr>
        <w:t>Seguridad y Convivencia</w:t>
      </w:r>
    </w:p>
    <w:p w:rsidR="00497DA0" w:rsidRPr="006772A7" w:rsidRDefault="00497DA0" w:rsidP="00497DA0">
      <w:pPr>
        <w:tabs>
          <w:tab w:val="left" w:pos="426"/>
        </w:tabs>
        <w:ind w:right="-234"/>
        <w:jc w:val="both"/>
        <w:rPr>
          <w:rFonts w:cs="Calibri"/>
          <w:sz w:val="28"/>
          <w:szCs w:val="28"/>
          <w:u w:val="single"/>
        </w:rPr>
      </w:pPr>
      <w:r w:rsidRPr="006772A7">
        <w:rPr>
          <w:rFonts w:cs="Calibri"/>
          <w:sz w:val="28"/>
          <w:szCs w:val="28"/>
          <w:u w:val="single"/>
        </w:rPr>
        <w:t>2.1 Características:</w:t>
      </w:r>
    </w:p>
    <w:p w:rsidR="00497DA0" w:rsidRPr="006772A7" w:rsidRDefault="00497DA0" w:rsidP="00497DA0">
      <w:pPr>
        <w:ind w:right="-234"/>
        <w:jc w:val="both"/>
        <w:rPr>
          <w:rFonts w:cs="Calibri"/>
          <w:sz w:val="28"/>
          <w:szCs w:val="28"/>
        </w:rPr>
      </w:pPr>
      <w:r w:rsidRPr="006772A7">
        <w:rPr>
          <w:rFonts w:cs="Calibri"/>
          <w:sz w:val="28"/>
          <w:szCs w:val="28"/>
        </w:rPr>
        <w:t>Las acciones que con mayor frecuencia impactan la seguridad pública y la convivencia de la comunidad riosuceña están relacionadas con riñas en el marco de un alto consumo de drogas y alcohol. Las contravenciones y denuncias por lesiones personales son las  infracciones más comunes en el municipio. Con referencia a índices de violencia los indicadores señalan que  el número de homicidios por cada 100 habitantes, disminuyó en 2011</w:t>
      </w:r>
      <w:r w:rsidRPr="006772A7">
        <w:rPr>
          <w:rStyle w:val="Refdenotaalpie"/>
          <w:rFonts w:cs="Calibri"/>
        </w:rPr>
        <w:footnoteReference w:id="4"/>
      </w:r>
      <w:r w:rsidRPr="006772A7">
        <w:rPr>
          <w:rFonts w:cs="Calibri"/>
          <w:sz w:val="28"/>
          <w:szCs w:val="28"/>
        </w:rPr>
        <w:t xml:space="preserve">. De otra parte los accidentes de tránsito aumentaron así: </w:t>
      </w:r>
    </w:p>
    <w:tbl>
      <w:tblPr>
        <w:tblW w:w="5465" w:type="dxa"/>
        <w:jc w:val="cente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Look w:val="04A0" w:firstRow="1" w:lastRow="0" w:firstColumn="1" w:lastColumn="0" w:noHBand="0" w:noVBand="1"/>
      </w:tblPr>
      <w:tblGrid>
        <w:gridCol w:w="2178"/>
        <w:gridCol w:w="1465"/>
        <w:gridCol w:w="1822"/>
      </w:tblGrid>
      <w:tr w:rsidR="00497DA0" w:rsidRPr="006772A7" w:rsidTr="006919A9">
        <w:trPr>
          <w:trHeight w:val="556"/>
          <w:jc w:val="center"/>
        </w:trPr>
        <w:tc>
          <w:tcPr>
            <w:tcW w:w="2178" w:type="dxa"/>
            <w:shd w:val="clear" w:color="auto" w:fill="FDE4D0"/>
          </w:tcPr>
          <w:p w:rsidR="00497DA0" w:rsidRPr="006772A7" w:rsidRDefault="00497DA0" w:rsidP="006919A9">
            <w:pPr>
              <w:spacing w:after="0"/>
              <w:ind w:right="-234"/>
              <w:jc w:val="center"/>
              <w:rPr>
                <w:rFonts w:cs="Calibri"/>
                <w:b/>
                <w:bCs/>
                <w:sz w:val="28"/>
                <w:szCs w:val="28"/>
                <w:lang w:eastAsia="es-CO"/>
              </w:rPr>
            </w:pPr>
            <w:r w:rsidRPr="006772A7">
              <w:rPr>
                <w:rFonts w:cs="Calibri"/>
                <w:b/>
                <w:bCs/>
                <w:sz w:val="28"/>
                <w:szCs w:val="28"/>
                <w:lang w:eastAsia="es-CO"/>
              </w:rPr>
              <w:t>Delitos</w:t>
            </w:r>
          </w:p>
        </w:tc>
        <w:tc>
          <w:tcPr>
            <w:tcW w:w="1465" w:type="dxa"/>
            <w:shd w:val="clear" w:color="auto" w:fill="FDE4D0"/>
          </w:tcPr>
          <w:p w:rsidR="00497DA0" w:rsidRPr="006772A7" w:rsidRDefault="00497DA0" w:rsidP="006919A9">
            <w:pPr>
              <w:spacing w:after="0"/>
              <w:ind w:right="-234"/>
              <w:jc w:val="center"/>
              <w:rPr>
                <w:rFonts w:cs="Calibri"/>
                <w:b/>
                <w:bCs/>
                <w:sz w:val="28"/>
                <w:szCs w:val="28"/>
                <w:lang w:eastAsia="es-CO"/>
              </w:rPr>
            </w:pPr>
            <w:r w:rsidRPr="006772A7">
              <w:rPr>
                <w:rFonts w:cs="Calibri"/>
                <w:b/>
                <w:bCs/>
                <w:sz w:val="28"/>
                <w:szCs w:val="28"/>
                <w:lang w:eastAsia="es-CO"/>
              </w:rPr>
              <w:t>2010</w:t>
            </w:r>
          </w:p>
        </w:tc>
        <w:tc>
          <w:tcPr>
            <w:tcW w:w="1822" w:type="dxa"/>
            <w:shd w:val="clear" w:color="auto" w:fill="FDE4D0"/>
          </w:tcPr>
          <w:p w:rsidR="00497DA0" w:rsidRPr="006772A7" w:rsidRDefault="00497DA0" w:rsidP="006919A9">
            <w:pPr>
              <w:spacing w:after="0"/>
              <w:ind w:right="-234"/>
              <w:jc w:val="center"/>
              <w:rPr>
                <w:rFonts w:cs="Calibri"/>
                <w:b/>
                <w:bCs/>
                <w:sz w:val="28"/>
                <w:szCs w:val="28"/>
                <w:lang w:eastAsia="es-CO"/>
              </w:rPr>
            </w:pPr>
            <w:r w:rsidRPr="006772A7">
              <w:rPr>
                <w:rFonts w:cs="Calibri"/>
                <w:b/>
                <w:bCs/>
                <w:sz w:val="28"/>
                <w:szCs w:val="28"/>
                <w:lang w:eastAsia="es-CO"/>
              </w:rPr>
              <w:t>2011</w:t>
            </w:r>
          </w:p>
        </w:tc>
      </w:tr>
      <w:tr w:rsidR="00497DA0" w:rsidRPr="006772A7" w:rsidTr="006919A9">
        <w:trPr>
          <w:trHeight w:val="571"/>
          <w:jc w:val="center"/>
        </w:trPr>
        <w:tc>
          <w:tcPr>
            <w:tcW w:w="2178" w:type="dxa"/>
            <w:shd w:val="clear" w:color="auto" w:fill="FBCAA2"/>
          </w:tcPr>
          <w:p w:rsidR="00497DA0" w:rsidRPr="006772A7" w:rsidRDefault="00497DA0" w:rsidP="006919A9">
            <w:pPr>
              <w:spacing w:after="0"/>
              <w:ind w:right="-234"/>
              <w:jc w:val="both"/>
              <w:rPr>
                <w:rFonts w:cs="Calibri"/>
                <w:b/>
                <w:bCs/>
                <w:sz w:val="28"/>
                <w:szCs w:val="28"/>
                <w:lang w:eastAsia="es-CO"/>
              </w:rPr>
            </w:pPr>
            <w:r w:rsidRPr="006772A7">
              <w:rPr>
                <w:rFonts w:cs="Calibri"/>
                <w:b/>
                <w:bCs/>
                <w:sz w:val="28"/>
                <w:szCs w:val="28"/>
                <w:lang w:eastAsia="es-CO"/>
              </w:rPr>
              <w:t>Homicidios / 100.000 hab.</w:t>
            </w:r>
          </w:p>
        </w:tc>
        <w:tc>
          <w:tcPr>
            <w:tcW w:w="1465" w:type="dxa"/>
            <w:shd w:val="clear" w:color="auto" w:fill="FBCAA2"/>
          </w:tcPr>
          <w:p w:rsidR="00497DA0" w:rsidRPr="006772A7" w:rsidRDefault="00497DA0" w:rsidP="006919A9">
            <w:pPr>
              <w:spacing w:after="0"/>
              <w:ind w:right="-234"/>
              <w:jc w:val="center"/>
              <w:rPr>
                <w:rFonts w:cs="Calibri"/>
                <w:sz w:val="28"/>
                <w:szCs w:val="28"/>
                <w:lang w:eastAsia="es-CO"/>
              </w:rPr>
            </w:pPr>
            <w:r w:rsidRPr="006772A7">
              <w:rPr>
                <w:rFonts w:cs="Calibri"/>
                <w:sz w:val="28"/>
                <w:szCs w:val="28"/>
                <w:lang w:eastAsia="es-CO"/>
              </w:rPr>
              <w:t>15</w:t>
            </w:r>
          </w:p>
        </w:tc>
        <w:tc>
          <w:tcPr>
            <w:tcW w:w="1822" w:type="dxa"/>
            <w:shd w:val="clear" w:color="auto" w:fill="FBCAA2"/>
          </w:tcPr>
          <w:p w:rsidR="00497DA0" w:rsidRPr="006772A7" w:rsidRDefault="00497DA0" w:rsidP="006919A9">
            <w:pPr>
              <w:spacing w:after="0"/>
              <w:ind w:right="-234"/>
              <w:jc w:val="center"/>
              <w:rPr>
                <w:rFonts w:cs="Calibri"/>
                <w:sz w:val="28"/>
                <w:szCs w:val="28"/>
                <w:lang w:eastAsia="es-CO"/>
              </w:rPr>
            </w:pPr>
            <w:r>
              <w:rPr>
                <w:rFonts w:cs="Calibri"/>
                <w:sz w:val="28"/>
                <w:szCs w:val="28"/>
                <w:lang w:eastAsia="es-CO"/>
              </w:rPr>
              <w:t>9</w:t>
            </w:r>
          </w:p>
        </w:tc>
      </w:tr>
      <w:tr w:rsidR="00497DA0" w:rsidRPr="006772A7" w:rsidTr="006919A9">
        <w:trPr>
          <w:trHeight w:val="571"/>
          <w:jc w:val="center"/>
        </w:trPr>
        <w:tc>
          <w:tcPr>
            <w:tcW w:w="2178" w:type="dxa"/>
            <w:shd w:val="clear" w:color="auto" w:fill="FDE4D0"/>
          </w:tcPr>
          <w:p w:rsidR="00497DA0" w:rsidRPr="006772A7" w:rsidRDefault="00497DA0" w:rsidP="006919A9">
            <w:pPr>
              <w:spacing w:after="0"/>
              <w:ind w:right="-234"/>
              <w:jc w:val="both"/>
              <w:rPr>
                <w:rFonts w:cs="Calibri"/>
                <w:b/>
                <w:bCs/>
                <w:sz w:val="28"/>
                <w:szCs w:val="28"/>
                <w:lang w:eastAsia="es-CO"/>
              </w:rPr>
            </w:pPr>
            <w:r w:rsidRPr="006772A7">
              <w:rPr>
                <w:rFonts w:cs="Calibri"/>
                <w:b/>
                <w:bCs/>
                <w:sz w:val="28"/>
                <w:szCs w:val="28"/>
                <w:lang w:eastAsia="es-CO"/>
              </w:rPr>
              <w:t xml:space="preserve"> Accidentes de </w:t>
            </w:r>
            <w:r w:rsidRPr="006772A7">
              <w:rPr>
                <w:rFonts w:cs="Calibri"/>
                <w:b/>
                <w:bCs/>
                <w:sz w:val="28"/>
                <w:szCs w:val="28"/>
                <w:lang w:eastAsia="es-CO"/>
              </w:rPr>
              <w:lastRenderedPageBreak/>
              <w:t>tránsito.</w:t>
            </w:r>
          </w:p>
        </w:tc>
        <w:tc>
          <w:tcPr>
            <w:tcW w:w="1465" w:type="dxa"/>
            <w:shd w:val="clear" w:color="auto" w:fill="FDE4D0"/>
          </w:tcPr>
          <w:p w:rsidR="00497DA0" w:rsidRPr="006772A7" w:rsidRDefault="00497DA0" w:rsidP="006919A9">
            <w:pPr>
              <w:spacing w:after="0"/>
              <w:ind w:right="-234"/>
              <w:jc w:val="center"/>
              <w:rPr>
                <w:rFonts w:cs="Calibri"/>
                <w:sz w:val="28"/>
                <w:szCs w:val="28"/>
                <w:lang w:eastAsia="es-CO"/>
              </w:rPr>
            </w:pPr>
            <w:r w:rsidRPr="006772A7">
              <w:rPr>
                <w:rFonts w:cs="Calibri"/>
                <w:sz w:val="28"/>
                <w:szCs w:val="28"/>
                <w:lang w:eastAsia="es-CO"/>
              </w:rPr>
              <w:lastRenderedPageBreak/>
              <w:t>3</w:t>
            </w:r>
          </w:p>
        </w:tc>
        <w:tc>
          <w:tcPr>
            <w:tcW w:w="1822" w:type="dxa"/>
            <w:shd w:val="clear" w:color="auto" w:fill="FDE4D0"/>
          </w:tcPr>
          <w:p w:rsidR="00497DA0" w:rsidRPr="006772A7" w:rsidRDefault="00497DA0" w:rsidP="006919A9">
            <w:pPr>
              <w:spacing w:after="0"/>
              <w:ind w:right="-234"/>
              <w:jc w:val="center"/>
              <w:rPr>
                <w:rFonts w:cs="Calibri"/>
                <w:sz w:val="28"/>
                <w:szCs w:val="28"/>
                <w:lang w:eastAsia="es-CO"/>
              </w:rPr>
            </w:pPr>
            <w:r w:rsidRPr="006772A7">
              <w:rPr>
                <w:rFonts w:cs="Calibri"/>
                <w:sz w:val="28"/>
                <w:szCs w:val="28"/>
                <w:lang w:eastAsia="es-CO"/>
              </w:rPr>
              <w:t>4</w:t>
            </w:r>
          </w:p>
        </w:tc>
      </w:tr>
      <w:tr w:rsidR="00497DA0" w:rsidRPr="006772A7" w:rsidTr="006919A9">
        <w:trPr>
          <w:trHeight w:val="571"/>
          <w:jc w:val="center"/>
        </w:trPr>
        <w:tc>
          <w:tcPr>
            <w:tcW w:w="2178" w:type="dxa"/>
            <w:shd w:val="clear" w:color="auto" w:fill="FBCAA2"/>
          </w:tcPr>
          <w:p w:rsidR="00497DA0" w:rsidRPr="006772A7" w:rsidRDefault="00497DA0" w:rsidP="006919A9">
            <w:pPr>
              <w:spacing w:after="0"/>
              <w:ind w:right="-234"/>
              <w:jc w:val="both"/>
              <w:rPr>
                <w:rFonts w:cs="Calibri"/>
                <w:b/>
                <w:bCs/>
                <w:sz w:val="28"/>
                <w:szCs w:val="28"/>
                <w:lang w:eastAsia="es-CO"/>
              </w:rPr>
            </w:pPr>
            <w:r w:rsidRPr="006772A7">
              <w:rPr>
                <w:rFonts w:cs="Calibri"/>
                <w:b/>
                <w:bCs/>
                <w:sz w:val="28"/>
                <w:szCs w:val="28"/>
                <w:lang w:eastAsia="es-CO"/>
              </w:rPr>
              <w:lastRenderedPageBreak/>
              <w:t>Lesiones personales</w:t>
            </w:r>
          </w:p>
        </w:tc>
        <w:tc>
          <w:tcPr>
            <w:tcW w:w="1465" w:type="dxa"/>
            <w:shd w:val="clear" w:color="auto" w:fill="FBCAA2"/>
          </w:tcPr>
          <w:p w:rsidR="00497DA0" w:rsidRPr="006772A7" w:rsidRDefault="00497DA0" w:rsidP="006919A9">
            <w:pPr>
              <w:spacing w:after="0"/>
              <w:ind w:right="-234"/>
              <w:jc w:val="center"/>
              <w:rPr>
                <w:rFonts w:cs="Calibri"/>
                <w:sz w:val="28"/>
                <w:szCs w:val="28"/>
                <w:lang w:eastAsia="es-CO"/>
              </w:rPr>
            </w:pPr>
            <w:r w:rsidRPr="006772A7">
              <w:rPr>
                <w:rFonts w:cs="Calibri"/>
                <w:sz w:val="28"/>
                <w:szCs w:val="28"/>
                <w:lang w:eastAsia="es-CO"/>
              </w:rPr>
              <w:t>64</w:t>
            </w:r>
          </w:p>
        </w:tc>
        <w:tc>
          <w:tcPr>
            <w:tcW w:w="1822" w:type="dxa"/>
            <w:shd w:val="clear" w:color="auto" w:fill="FBCAA2"/>
          </w:tcPr>
          <w:p w:rsidR="00497DA0" w:rsidRPr="006772A7" w:rsidRDefault="00497DA0" w:rsidP="006919A9">
            <w:pPr>
              <w:spacing w:after="0"/>
              <w:ind w:right="-234"/>
              <w:jc w:val="center"/>
              <w:rPr>
                <w:rFonts w:cs="Calibri"/>
                <w:sz w:val="28"/>
                <w:szCs w:val="28"/>
                <w:lang w:eastAsia="es-CO"/>
              </w:rPr>
            </w:pPr>
            <w:r w:rsidRPr="006772A7">
              <w:rPr>
                <w:rFonts w:cs="Calibri"/>
                <w:sz w:val="28"/>
                <w:szCs w:val="28"/>
                <w:lang w:eastAsia="es-CO"/>
              </w:rPr>
              <w:t>74</w:t>
            </w:r>
          </w:p>
        </w:tc>
      </w:tr>
      <w:tr w:rsidR="00497DA0" w:rsidRPr="006772A7" w:rsidTr="006919A9">
        <w:trPr>
          <w:trHeight w:val="571"/>
          <w:jc w:val="center"/>
        </w:trPr>
        <w:tc>
          <w:tcPr>
            <w:tcW w:w="2178" w:type="dxa"/>
            <w:shd w:val="clear" w:color="auto" w:fill="FDE4D0"/>
          </w:tcPr>
          <w:p w:rsidR="00497DA0" w:rsidRPr="006772A7" w:rsidRDefault="00497DA0" w:rsidP="006919A9">
            <w:pPr>
              <w:spacing w:after="0"/>
              <w:ind w:right="-234"/>
              <w:jc w:val="both"/>
              <w:rPr>
                <w:rFonts w:cs="Calibri"/>
                <w:b/>
                <w:bCs/>
                <w:sz w:val="28"/>
                <w:szCs w:val="28"/>
                <w:lang w:eastAsia="es-CO"/>
              </w:rPr>
            </w:pPr>
            <w:r w:rsidRPr="006772A7">
              <w:rPr>
                <w:rFonts w:cs="Calibri"/>
                <w:b/>
                <w:bCs/>
                <w:sz w:val="28"/>
                <w:szCs w:val="28"/>
                <w:lang w:eastAsia="es-CO"/>
              </w:rPr>
              <w:t>Incautación de armas</w:t>
            </w:r>
          </w:p>
        </w:tc>
        <w:tc>
          <w:tcPr>
            <w:tcW w:w="1465" w:type="dxa"/>
            <w:shd w:val="clear" w:color="auto" w:fill="FDE4D0"/>
          </w:tcPr>
          <w:p w:rsidR="00497DA0" w:rsidRPr="006772A7" w:rsidRDefault="00497DA0" w:rsidP="006919A9">
            <w:pPr>
              <w:spacing w:after="0"/>
              <w:ind w:right="-234"/>
              <w:jc w:val="center"/>
              <w:rPr>
                <w:rFonts w:cs="Calibri"/>
                <w:sz w:val="28"/>
                <w:szCs w:val="28"/>
                <w:lang w:eastAsia="es-CO"/>
              </w:rPr>
            </w:pPr>
          </w:p>
        </w:tc>
        <w:tc>
          <w:tcPr>
            <w:tcW w:w="1822" w:type="dxa"/>
            <w:shd w:val="clear" w:color="auto" w:fill="FDE4D0"/>
          </w:tcPr>
          <w:p w:rsidR="00497DA0" w:rsidRPr="006772A7" w:rsidRDefault="00497DA0" w:rsidP="006919A9">
            <w:pPr>
              <w:spacing w:after="0"/>
              <w:ind w:right="-234"/>
              <w:jc w:val="center"/>
              <w:rPr>
                <w:rFonts w:cs="Calibri"/>
                <w:sz w:val="28"/>
                <w:szCs w:val="28"/>
                <w:lang w:eastAsia="es-CO"/>
              </w:rPr>
            </w:pPr>
            <w:r w:rsidRPr="006772A7">
              <w:rPr>
                <w:rFonts w:cs="Calibri"/>
                <w:sz w:val="28"/>
                <w:szCs w:val="28"/>
                <w:lang w:eastAsia="es-CO"/>
              </w:rPr>
              <w:t>28</w:t>
            </w:r>
          </w:p>
        </w:tc>
      </w:tr>
      <w:tr w:rsidR="00497DA0" w:rsidRPr="006772A7" w:rsidTr="006919A9">
        <w:trPr>
          <w:trHeight w:val="571"/>
          <w:jc w:val="center"/>
        </w:trPr>
        <w:tc>
          <w:tcPr>
            <w:tcW w:w="2178" w:type="dxa"/>
            <w:shd w:val="clear" w:color="auto" w:fill="FBCAA2"/>
          </w:tcPr>
          <w:p w:rsidR="00497DA0" w:rsidRPr="006772A7" w:rsidRDefault="00497DA0" w:rsidP="006919A9">
            <w:pPr>
              <w:spacing w:after="0"/>
              <w:ind w:right="-234"/>
              <w:jc w:val="both"/>
              <w:rPr>
                <w:rFonts w:cs="Calibri"/>
                <w:b/>
                <w:bCs/>
                <w:sz w:val="28"/>
                <w:szCs w:val="28"/>
                <w:lang w:eastAsia="es-CO"/>
              </w:rPr>
            </w:pPr>
            <w:r w:rsidRPr="006772A7">
              <w:rPr>
                <w:rFonts w:cs="Calibri"/>
                <w:b/>
                <w:bCs/>
                <w:sz w:val="28"/>
                <w:szCs w:val="28"/>
                <w:lang w:eastAsia="es-CO"/>
              </w:rPr>
              <w:t xml:space="preserve">Captura </w:t>
            </w:r>
            <w:proofErr w:type="spellStart"/>
            <w:r w:rsidRPr="006772A7">
              <w:rPr>
                <w:rFonts w:cs="Calibri"/>
                <w:b/>
                <w:bCs/>
                <w:sz w:val="28"/>
                <w:szCs w:val="28"/>
                <w:lang w:eastAsia="es-CO"/>
              </w:rPr>
              <w:t>inflagrancia</w:t>
            </w:r>
            <w:proofErr w:type="spellEnd"/>
          </w:p>
        </w:tc>
        <w:tc>
          <w:tcPr>
            <w:tcW w:w="1465" w:type="dxa"/>
            <w:shd w:val="clear" w:color="auto" w:fill="FBCAA2"/>
          </w:tcPr>
          <w:p w:rsidR="00497DA0" w:rsidRPr="006772A7" w:rsidRDefault="00497DA0" w:rsidP="006919A9">
            <w:pPr>
              <w:spacing w:after="0"/>
              <w:ind w:right="-234"/>
              <w:jc w:val="center"/>
              <w:rPr>
                <w:rFonts w:cs="Calibri"/>
                <w:sz w:val="28"/>
                <w:szCs w:val="28"/>
                <w:lang w:eastAsia="es-CO"/>
              </w:rPr>
            </w:pPr>
          </w:p>
        </w:tc>
        <w:tc>
          <w:tcPr>
            <w:tcW w:w="1822" w:type="dxa"/>
            <w:shd w:val="clear" w:color="auto" w:fill="FBCAA2"/>
          </w:tcPr>
          <w:p w:rsidR="00497DA0" w:rsidRPr="006772A7" w:rsidRDefault="00497DA0" w:rsidP="006919A9">
            <w:pPr>
              <w:spacing w:after="0"/>
              <w:ind w:right="-234"/>
              <w:jc w:val="center"/>
              <w:rPr>
                <w:rFonts w:cs="Calibri"/>
                <w:sz w:val="28"/>
                <w:szCs w:val="28"/>
                <w:lang w:eastAsia="es-CO"/>
              </w:rPr>
            </w:pPr>
            <w:r w:rsidRPr="006772A7">
              <w:rPr>
                <w:rFonts w:cs="Calibri"/>
                <w:sz w:val="28"/>
                <w:szCs w:val="28"/>
                <w:lang w:eastAsia="es-CO"/>
              </w:rPr>
              <w:t>181</w:t>
            </w:r>
          </w:p>
        </w:tc>
      </w:tr>
    </w:tbl>
    <w:p w:rsidR="00497DA0" w:rsidRPr="006772A7" w:rsidRDefault="00497DA0" w:rsidP="00497DA0">
      <w:pPr>
        <w:ind w:right="-234"/>
        <w:jc w:val="both"/>
        <w:rPr>
          <w:rFonts w:cs="Calibri"/>
          <w:sz w:val="28"/>
          <w:szCs w:val="28"/>
        </w:rPr>
      </w:pPr>
    </w:p>
    <w:p w:rsidR="00497DA0" w:rsidRPr="006772A7" w:rsidRDefault="00497DA0" w:rsidP="00497DA0">
      <w:pPr>
        <w:ind w:right="-234"/>
        <w:jc w:val="both"/>
        <w:rPr>
          <w:rFonts w:cs="Calibri"/>
          <w:sz w:val="28"/>
          <w:szCs w:val="28"/>
        </w:rPr>
      </w:pPr>
      <w:r w:rsidRPr="006772A7">
        <w:rPr>
          <w:rFonts w:cs="Calibri"/>
          <w:sz w:val="28"/>
          <w:szCs w:val="28"/>
        </w:rPr>
        <w:t>Dado el alto porcentaje de población indígena del municipio es necesario establecer los delitos y hechos que afectan de manera negativa y con mayor frecuencia la convivencia de estas comunidades. Durante 2011, los principales delitos estuvieron relacionados con temas de derecho familiar: violencia intrafamiliar, inasistencia alimentaria y maltrato infantil. En menor medida, los denuncios por calumnia, lesiones personales y hurto también impactaron la convivencia ciudadana de los cuatro resguardos indígenas del municipio.</w:t>
      </w:r>
      <w:r w:rsidRPr="006772A7">
        <w:rPr>
          <w:rStyle w:val="Refdenotaalpie"/>
          <w:rFonts w:cs="Calibri"/>
        </w:rPr>
        <w:footnoteReference w:id="5"/>
      </w:r>
    </w:p>
    <w:p w:rsidR="00497DA0" w:rsidRPr="006772A7" w:rsidRDefault="00497DA0" w:rsidP="00497DA0">
      <w:pPr>
        <w:ind w:right="-234"/>
        <w:jc w:val="both"/>
        <w:rPr>
          <w:rFonts w:cs="Calibri"/>
          <w:sz w:val="28"/>
          <w:szCs w:val="28"/>
        </w:rPr>
      </w:pPr>
      <w:r w:rsidRPr="006772A7">
        <w:rPr>
          <w:rFonts w:cs="Calibri"/>
          <w:sz w:val="28"/>
          <w:szCs w:val="28"/>
        </w:rPr>
        <w:t>El espacio público como escenario natural para la convivencia ha sido vulnerado repetidamente, dada  la ocupación ilegal por parte de transportadores, comerciantes y vendedores ambulantes, este hecho limita la posibilidad de generar encuentros ciudadanos y afecta la locomoción de los riosuceños.  El Plan de Ordenamiento Territorial no contempla la generación de un orden urbanístico en este sentido.</w:t>
      </w:r>
    </w:p>
    <w:p w:rsidR="00497DA0" w:rsidRPr="006772A7" w:rsidRDefault="00497DA0" w:rsidP="00497DA0">
      <w:pPr>
        <w:ind w:right="-234"/>
        <w:jc w:val="both"/>
        <w:rPr>
          <w:rFonts w:cs="Calibri"/>
          <w:sz w:val="28"/>
          <w:szCs w:val="28"/>
        </w:rPr>
      </w:pPr>
      <w:r w:rsidRPr="006772A7">
        <w:rPr>
          <w:rFonts w:cs="Calibri"/>
          <w:sz w:val="28"/>
          <w:szCs w:val="28"/>
        </w:rPr>
        <w:lastRenderedPageBreak/>
        <w:t xml:space="preserve">En materia de orden público y de acciones relacionadas con el conflicto colombiano, es posible señalar que Si bien la presencia subversiva y paramilitar se redujo considerablemente por los avances en el control territorial de la Fuerza Pública en la jurisdicción del municipio, aún se denuncia en comunidades indígenas presencia de grupos armados ilegales. Hay comunidades distantes de los centros poblados de los resguardos con temor por reclutamiento forzado de sus jóvenes. </w:t>
      </w:r>
    </w:p>
    <w:p w:rsidR="00497DA0" w:rsidRPr="006772A7" w:rsidRDefault="00497DA0" w:rsidP="00497DA0">
      <w:pPr>
        <w:ind w:right="-234"/>
        <w:jc w:val="both"/>
        <w:rPr>
          <w:rFonts w:cs="Calibri"/>
          <w:sz w:val="28"/>
          <w:szCs w:val="28"/>
        </w:rPr>
      </w:pPr>
    </w:p>
    <w:p w:rsidR="00497DA0" w:rsidRPr="006772A7" w:rsidRDefault="00497DA0" w:rsidP="00497DA0">
      <w:pPr>
        <w:ind w:right="-234"/>
        <w:rPr>
          <w:rFonts w:cs="Calibri"/>
          <w:sz w:val="28"/>
          <w:szCs w:val="28"/>
          <w:u w:val="single"/>
        </w:rPr>
      </w:pPr>
      <w:r w:rsidRPr="006772A7">
        <w:rPr>
          <w:rFonts w:cs="Calibri"/>
          <w:sz w:val="28"/>
          <w:szCs w:val="28"/>
          <w:u w:val="single"/>
        </w:rPr>
        <w:t>2.2 Debilidades:</w:t>
      </w:r>
    </w:p>
    <w:p w:rsidR="00497DA0" w:rsidRPr="006772A7" w:rsidRDefault="00497DA0" w:rsidP="00497DA0">
      <w:pPr>
        <w:ind w:right="-234"/>
        <w:jc w:val="both"/>
        <w:rPr>
          <w:rFonts w:cs="Calibri"/>
          <w:sz w:val="28"/>
          <w:szCs w:val="28"/>
        </w:rPr>
      </w:pPr>
      <w:r w:rsidRPr="006772A7">
        <w:rPr>
          <w:rFonts w:cs="Calibri"/>
          <w:sz w:val="28"/>
          <w:szCs w:val="28"/>
        </w:rPr>
        <w:t>Los recursos con los que cuenta el municipio son insuficientes para emprender acciones de carácter preventivo en materia de seguridad ciudadana. No existe un observatorio del delito ni un sistema de información unificado que permita tomar decisiones y generar acciones oportunas que garanticen la seguridad del municipio. De igual manera, la falta de estadísticas y de un registro riguroso de los datos limita la posibilidad de hacer un seguimiento preventivo.</w:t>
      </w:r>
    </w:p>
    <w:p w:rsidR="00497DA0" w:rsidRPr="006772A7" w:rsidRDefault="00497DA0" w:rsidP="00497DA0">
      <w:pPr>
        <w:ind w:right="-234"/>
        <w:jc w:val="both"/>
        <w:rPr>
          <w:rFonts w:cs="Calibri"/>
          <w:sz w:val="28"/>
          <w:szCs w:val="28"/>
        </w:rPr>
      </w:pPr>
      <w:r w:rsidRPr="006772A7">
        <w:rPr>
          <w:rFonts w:cs="Calibri"/>
          <w:sz w:val="28"/>
          <w:szCs w:val="28"/>
        </w:rPr>
        <w:t>El municipio no cuenta con los recursos para generar una infraestructura adecuada para prevenir y atender de manera rápida las acciones que atentan en contra de la seguridad de sus habitantes. La infraestructura es insuficiente ya que falta alumbrado público y más vehículos para la movilización oportuna de la Policía Nacional, de igual manera dada la densidad de población del municipio se hace necesaria la implementación de un Centro de Atención Inmediata CAI</w:t>
      </w:r>
    </w:p>
    <w:p w:rsidR="00497DA0" w:rsidRPr="006772A7" w:rsidRDefault="00497DA0" w:rsidP="00497DA0">
      <w:pPr>
        <w:ind w:right="-234"/>
        <w:jc w:val="both"/>
        <w:rPr>
          <w:rFonts w:cs="Calibri"/>
          <w:sz w:val="28"/>
          <w:szCs w:val="28"/>
        </w:rPr>
      </w:pPr>
      <w:r w:rsidRPr="006772A7">
        <w:rPr>
          <w:rFonts w:cs="Calibri"/>
          <w:sz w:val="28"/>
          <w:szCs w:val="28"/>
        </w:rPr>
        <w:t>Pese a que el decreto 056 de 2002 es un importante esfuerzo por unificar la normatividad existente en materia de seguridad y convivencia, es necesario hacer una actualización de dicho decreto, de acuerdo con las nuevas dinámicas del municipio y de acuerdo con un principio de participación efectiva y de concertación.</w:t>
      </w:r>
    </w:p>
    <w:p w:rsidR="00497DA0" w:rsidRPr="006772A7" w:rsidRDefault="00497DA0" w:rsidP="00497DA0">
      <w:pPr>
        <w:ind w:right="-234"/>
        <w:jc w:val="both"/>
        <w:rPr>
          <w:rFonts w:cs="Calibri"/>
          <w:sz w:val="28"/>
          <w:szCs w:val="28"/>
        </w:rPr>
      </w:pPr>
      <w:r w:rsidRPr="006772A7">
        <w:rPr>
          <w:rFonts w:cs="Calibri"/>
          <w:sz w:val="28"/>
          <w:szCs w:val="28"/>
        </w:rPr>
        <w:t xml:space="preserve">Existe una deficiencia en materia de políticas públicas que promuevan y favorezcan el pluralismo jurídico, de acuerdo con las necesidades surgidas a partir del establecimiento de diferentes sistemas de justicia indígena. Son </w:t>
      </w:r>
      <w:r w:rsidRPr="006772A7">
        <w:rPr>
          <w:rFonts w:cs="Calibri"/>
          <w:sz w:val="28"/>
          <w:szCs w:val="28"/>
        </w:rPr>
        <w:lastRenderedPageBreak/>
        <w:t>cuatro los sistemas judiciales que operan en el municipio y por tanto es necesario generar políticas que establezcan puntos de diálogo y de encuentro.</w:t>
      </w:r>
    </w:p>
    <w:p w:rsidR="00497DA0" w:rsidRPr="006772A7" w:rsidRDefault="00497DA0" w:rsidP="00497DA0">
      <w:pPr>
        <w:ind w:right="-234"/>
        <w:jc w:val="both"/>
        <w:rPr>
          <w:rFonts w:cs="Calibri"/>
          <w:sz w:val="28"/>
          <w:szCs w:val="28"/>
        </w:rPr>
      </w:pPr>
      <w:r w:rsidRPr="006772A7">
        <w:rPr>
          <w:rFonts w:cs="Calibri"/>
          <w:sz w:val="28"/>
          <w:szCs w:val="28"/>
        </w:rPr>
        <w:t xml:space="preserve">En materia de Derechos Humanos, el municipio se encuentra atrasado y en deuda con las normatividades actuales. No existe en el municipio un plan de Derechos Humanos, como tampoco hay presupuesto </w:t>
      </w:r>
      <w:r>
        <w:rPr>
          <w:rFonts w:cs="Calibri"/>
          <w:sz w:val="28"/>
          <w:szCs w:val="28"/>
        </w:rPr>
        <w:t xml:space="preserve">para procesos de formación en derechos humanos, en  prevención </w:t>
      </w:r>
      <w:r w:rsidRPr="006772A7">
        <w:rPr>
          <w:rFonts w:cs="Calibri"/>
          <w:sz w:val="28"/>
          <w:szCs w:val="28"/>
        </w:rPr>
        <w:t xml:space="preserve">de </w:t>
      </w:r>
      <w:r>
        <w:rPr>
          <w:rFonts w:cs="Calibri"/>
          <w:sz w:val="28"/>
          <w:szCs w:val="28"/>
        </w:rPr>
        <w:t>accidentes de minas antipersonal y municiones sin e</w:t>
      </w:r>
      <w:r w:rsidRPr="006772A7">
        <w:rPr>
          <w:rFonts w:cs="Calibri"/>
          <w:sz w:val="28"/>
          <w:szCs w:val="28"/>
        </w:rPr>
        <w:t xml:space="preserve">xplotar. En materia de desplazamiento el municipio no ha formulado su Plan Integral Único de atención, de acuerdo con las órdenes del auto 383 de 2010 de  la Honorable Corte Constitucional y con el objetivo de garantizar el goce efectivo de derechos de la población victima de desplazamiento, Riosucio tampoco ha cumplido con las disposiciones de la ley 1190. </w:t>
      </w:r>
    </w:p>
    <w:p w:rsidR="00497DA0" w:rsidRDefault="00497DA0" w:rsidP="00497DA0">
      <w:pPr>
        <w:ind w:right="-234"/>
        <w:jc w:val="both"/>
        <w:rPr>
          <w:rFonts w:cs="Calibri"/>
          <w:sz w:val="28"/>
          <w:szCs w:val="28"/>
        </w:rPr>
      </w:pPr>
      <w:r w:rsidRPr="006772A7">
        <w:rPr>
          <w:rFonts w:cs="Calibri"/>
          <w:sz w:val="28"/>
          <w:szCs w:val="28"/>
        </w:rPr>
        <w:t>Con referencia al tema del espacio público el desconocimiento por parte de la población y la despreocupación de las administraciones municipales frente al Plan de Ordenamiento Territorial, han limitado  la posibilidad de un control frente al buen uso del espacio público y una efectiva veeduría ciudadana frente al mismo tema.</w:t>
      </w:r>
    </w:p>
    <w:p w:rsidR="00497DA0" w:rsidRDefault="00497DA0" w:rsidP="00497DA0">
      <w:pPr>
        <w:ind w:right="-234"/>
        <w:jc w:val="both"/>
        <w:rPr>
          <w:rFonts w:cs="Calibri"/>
          <w:sz w:val="28"/>
          <w:szCs w:val="28"/>
        </w:rPr>
      </w:pPr>
      <w:r>
        <w:rPr>
          <w:rFonts w:cs="Calibri"/>
          <w:sz w:val="28"/>
          <w:szCs w:val="28"/>
        </w:rPr>
        <w:t xml:space="preserve">Cultura ciudadana: No se cuenta con un diagnóstico en los diferentes campos y componentes de la cultura ciudadana, como son: </w:t>
      </w:r>
    </w:p>
    <w:p w:rsidR="00497DA0" w:rsidRDefault="00497DA0" w:rsidP="00497DA0">
      <w:pPr>
        <w:numPr>
          <w:ilvl w:val="0"/>
          <w:numId w:val="20"/>
        </w:numPr>
        <w:ind w:right="-234"/>
        <w:jc w:val="both"/>
        <w:rPr>
          <w:rFonts w:cs="Calibri"/>
          <w:sz w:val="28"/>
          <w:szCs w:val="28"/>
        </w:rPr>
      </w:pPr>
      <w:r>
        <w:rPr>
          <w:rFonts w:cs="Calibri"/>
          <w:sz w:val="28"/>
          <w:szCs w:val="28"/>
        </w:rPr>
        <w:t>Conocimiento, actitudes y percepciones sobre las normas básica de convivencia.</w:t>
      </w:r>
    </w:p>
    <w:p w:rsidR="00497DA0" w:rsidRDefault="00497DA0" w:rsidP="00497DA0">
      <w:pPr>
        <w:numPr>
          <w:ilvl w:val="0"/>
          <w:numId w:val="20"/>
        </w:numPr>
        <w:ind w:right="-234"/>
        <w:jc w:val="both"/>
        <w:rPr>
          <w:rFonts w:cs="Calibri"/>
          <w:sz w:val="28"/>
          <w:szCs w:val="28"/>
        </w:rPr>
      </w:pPr>
      <w:r>
        <w:rPr>
          <w:rFonts w:cs="Calibri"/>
          <w:sz w:val="28"/>
          <w:szCs w:val="28"/>
        </w:rPr>
        <w:t>Seguridad.</w:t>
      </w:r>
    </w:p>
    <w:p w:rsidR="00497DA0" w:rsidRDefault="00497DA0" w:rsidP="00497DA0">
      <w:pPr>
        <w:numPr>
          <w:ilvl w:val="0"/>
          <w:numId w:val="20"/>
        </w:numPr>
        <w:ind w:right="-234"/>
        <w:jc w:val="both"/>
        <w:rPr>
          <w:rFonts w:cs="Calibri"/>
          <w:sz w:val="28"/>
          <w:szCs w:val="28"/>
        </w:rPr>
      </w:pPr>
      <w:r>
        <w:rPr>
          <w:rFonts w:cs="Calibri"/>
          <w:sz w:val="28"/>
          <w:szCs w:val="28"/>
        </w:rPr>
        <w:t>Actitudes y percepciones sobre la convivencia y seguridad en barrios y resguardos indígenas.</w:t>
      </w:r>
    </w:p>
    <w:p w:rsidR="00497DA0" w:rsidRDefault="00497DA0" w:rsidP="00497DA0">
      <w:pPr>
        <w:numPr>
          <w:ilvl w:val="0"/>
          <w:numId w:val="20"/>
        </w:numPr>
        <w:ind w:right="-234"/>
        <w:jc w:val="both"/>
        <w:rPr>
          <w:rFonts w:cs="Calibri"/>
          <w:sz w:val="28"/>
          <w:szCs w:val="28"/>
        </w:rPr>
      </w:pPr>
      <w:r>
        <w:rPr>
          <w:rFonts w:cs="Calibri"/>
          <w:sz w:val="28"/>
          <w:szCs w:val="28"/>
        </w:rPr>
        <w:t>Cultura democrática.</w:t>
      </w:r>
    </w:p>
    <w:p w:rsidR="00497DA0" w:rsidRPr="006772A7" w:rsidRDefault="00497DA0" w:rsidP="00497DA0">
      <w:pPr>
        <w:ind w:left="720" w:right="-234"/>
        <w:jc w:val="both"/>
        <w:rPr>
          <w:rFonts w:cs="Calibri"/>
          <w:sz w:val="28"/>
          <w:szCs w:val="28"/>
        </w:rPr>
      </w:pPr>
      <w:r>
        <w:rPr>
          <w:rFonts w:cs="Calibri"/>
          <w:sz w:val="28"/>
          <w:szCs w:val="28"/>
        </w:rPr>
        <w:t xml:space="preserve"> Por lo tanto es necesario establecer indicadores cuantificables para el enfoque y desarrollo de programas de convivencia.</w:t>
      </w:r>
    </w:p>
    <w:p w:rsidR="00497DA0" w:rsidRPr="006772A7" w:rsidRDefault="00497DA0" w:rsidP="00497DA0">
      <w:pPr>
        <w:ind w:right="-234"/>
        <w:jc w:val="both"/>
        <w:rPr>
          <w:rFonts w:cs="Calibri"/>
          <w:sz w:val="28"/>
          <w:szCs w:val="28"/>
          <w:u w:val="single"/>
        </w:rPr>
      </w:pPr>
      <w:r w:rsidRPr="006772A7">
        <w:rPr>
          <w:rFonts w:cs="Calibri"/>
          <w:sz w:val="28"/>
          <w:szCs w:val="28"/>
          <w:u w:val="single"/>
        </w:rPr>
        <w:t>2.3 Potencialidades:</w:t>
      </w:r>
    </w:p>
    <w:p w:rsidR="00497DA0" w:rsidRPr="006772A7" w:rsidRDefault="00497DA0" w:rsidP="00497DA0">
      <w:pPr>
        <w:ind w:right="-234"/>
        <w:jc w:val="both"/>
        <w:rPr>
          <w:rFonts w:cs="Calibri"/>
          <w:sz w:val="28"/>
          <w:szCs w:val="28"/>
        </w:rPr>
      </w:pPr>
      <w:r w:rsidRPr="006772A7">
        <w:rPr>
          <w:rFonts w:cs="Calibri"/>
          <w:sz w:val="28"/>
          <w:szCs w:val="28"/>
        </w:rPr>
        <w:lastRenderedPageBreak/>
        <w:t>Si bien el decreto</w:t>
      </w:r>
      <w:r>
        <w:rPr>
          <w:rFonts w:cs="Calibri"/>
          <w:sz w:val="28"/>
          <w:szCs w:val="28"/>
        </w:rPr>
        <w:t xml:space="preserve"> municipal</w:t>
      </w:r>
      <w:r w:rsidRPr="006772A7">
        <w:rPr>
          <w:rFonts w:cs="Calibri"/>
          <w:sz w:val="28"/>
          <w:szCs w:val="28"/>
        </w:rPr>
        <w:t xml:space="preserve"> 056</w:t>
      </w:r>
      <w:r>
        <w:rPr>
          <w:rFonts w:cs="Calibri"/>
          <w:sz w:val="28"/>
          <w:szCs w:val="28"/>
        </w:rPr>
        <w:t xml:space="preserve"> de 2002</w:t>
      </w:r>
      <w:r w:rsidRPr="006772A7">
        <w:rPr>
          <w:rFonts w:cs="Calibri"/>
          <w:sz w:val="28"/>
          <w:szCs w:val="28"/>
        </w:rPr>
        <w:t>, presenta algunas falencias en su carácter participativo y de concertación, este marco normativo es una potencialidad en materia de seguridad para el municipio ya que allí se condensan las normas para garantizar la sana convivencia ciudadana. De este decreto podemos partir para actualizar la normatividad en el marco de un ejercicio más participativo y concertado.</w:t>
      </w:r>
    </w:p>
    <w:p w:rsidR="00497DA0" w:rsidRPr="006772A7" w:rsidRDefault="00497DA0" w:rsidP="00497DA0">
      <w:pPr>
        <w:ind w:right="-234"/>
        <w:jc w:val="both"/>
        <w:rPr>
          <w:rFonts w:cs="Calibri"/>
          <w:sz w:val="28"/>
          <w:szCs w:val="28"/>
        </w:rPr>
      </w:pPr>
      <w:r w:rsidRPr="006772A7">
        <w:rPr>
          <w:rFonts w:cs="Calibri"/>
          <w:sz w:val="28"/>
          <w:szCs w:val="28"/>
        </w:rPr>
        <w:t>El fortalecimiento de la justicia ancestral de los resguardos indígenas, es una apuesta valiosa no solo en materia de justicia, sino además en el carácter incluyente y diferencial del plan de desarrollo municipal, por esta razón es importante que la administración municipal genere mecanismos desde lo académico y lo práctico para seguir fortaleciendo el proceso de implementación de sistemas de justicia indígena. De igual manera, es necesario encontrar puntos de encuentro entre los cinco diferentes sistemas de justicia que existen en el municipio.</w:t>
      </w:r>
    </w:p>
    <w:p w:rsidR="00497DA0" w:rsidRPr="006772A7" w:rsidRDefault="00497DA0" w:rsidP="00497DA0">
      <w:pPr>
        <w:ind w:right="-234"/>
        <w:jc w:val="both"/>
        <w:rPr>
          <w:rFonts w:cs="Calibri"/>
          <w:sz w:val="28"/>
          <w:szCs w:val="28"/>
        </w:rPr>
      </w:pPr>
      <w:r w:rsidRPr="006772A7">
        <w:rPr>
          <w:rFonts w:cs="Calibri"/>
          <w:sz w:val="28"/>
          <w:szCs w:val="28"/>
        </w:rPr>
        <w:t>De otra parte, las acciones adelantadas en el marco del auto 004 en coordinación con el gobierno nacional para la formulación de un Plan Salvaguarda, son un importante punto de partida para la efectiva prevención y atención del desplazamiento de las comunidades indígenas del municipio. Las comunidades indígenas Embera Chamí cuentan con medidas cautelares de la Comisión Interamericana de Derechos Humanos, por lo cual es necesario un plan que contribuya al levamiento de  tales medidas en el entendido de la responsabilidad de todos los entes del Estado, dicho plan será articulado con el presente Plan de Desarrollo.</w:t>
      </w:r>
    </w:p>
    <w:p w:rsidR="00497DA0" w:rsidRPr="006772A7" w:rsidRDefault="00497DA0" w:rsidP="00497DA0">
      <w:pPr>
        <w:ind w:right="-234"/>
        <w:jc w:val="both"/>
        <w:rPr>
          <w:rFonts w:cs="Calibri"/>
          <w:sz w:val="28"/>
          <w:szCs w:val="28"/>
        </w:rPr>
      </w:pPr>
      <w:r w:rsidRPr="006772A7">
        <w:rPr>
          <w:rFonts w:cs="Calibri"/>
          <w:sz w:val="28"/>
          <w:szCs w:val="28"/>
        </w:rPr>
        <w:t>La ley 1448 de 2011, es otro punto de partida importante para la protección y atención a víctimas en nuestro municipio. Es necesario en el marco del Comité de Justicia Transicional formular un Plan de Atención a Víctimas que pueda ser incluido de manera eficiente al presente Plan de Desarrollo y que permita al municipio implementar los recursos técnicos, físicos, logísticos y humanos  necesarios para atender a las víctimas del conflicto.</w:t>
      </w:r>
    </w:p>
    <w:p w:rsidR="00497DA0" w:rsidRPr="006772A7" w:rsidRDefault="00497DA0" w:rsidP="00497DA0">
      <w:pPr>
        <w:ind w:right="-234"/>
        <w:jc w:val="both"/>
        <w:rPr>
          <w:rFonts w:cs="Calibri"/>
          <w:sz w:val="28"/>
          <w:szCs w:val="28"/>
        </w:rPr>
      </w:pPr>
      <w:r w:rsidRPr="006772A7">
        <w:rPr>
          <w:rFonts w:cs="Calibri"/>
          <w:sz w:val="28"/>
          <w:szCs w:val="28"/>
        </w:rPr>
        <w:lastRenderedPageBreak/>
        <w:t>Finalmente es importante señalar que el municipio de Riosucio debe hacer un esfuerzo por generar nuevos y mejores espacios públicos para la convivencia y las acciones comunitarias de los cuatro resguardos indígenas del municipio.</w:t>
      </w:r>
    </w:p>
    <w:p w:rsidR="00497DA0" w:rsidRPr="006772A7" w:rsidRDefault="00497DA0" w:rsidP="00497DA0">
      <w:pPr>
        <w:ind w:right="-234"/>
        <w:jc w:val="both"/>
        <w:rPr>
          <w:rFonts w:cs="Calibri"/>
          <w:sz w:val="28"/>
          <w:szCs w:val="28"/>
        </w:rPr>
      </w:pPr>
    </w:p>
    <w:p w:rsidR="00497DA0" w:rsidRPr="006772A7" w:rsidRDefault="00497DA0" w:rsidP="00497DA0">
      <w:pPr>
        <w:numPr>
          <w:ilvl w:val="0"/>
          <w:numId w:val="1"/>
        </w:numPr>
        <w:ind w:right="-234"/>
        <w:jc w:val="both"/>
        <w:rPr>
          <w:rFonts w:cs="Calibri"/>
          <w:b/>
          <w:sz w:val="28"/>
          <w:szCs w:val="28"/>
        </w:rPr>
      </w:pPr>
      <w:r w:rsidRPr="006772A7">
        <w:rPr>
          <w:rFonts w:cs="Calibri"/>
          <w:b/>
          <w:sz w:val="28"/>
          <w:szCs w:val="28"/>
        </w:rPr>
        <w:t>Educación:</w:t>
      </w:r>
    </w:p>
    <w:p w:rsidR="00497DA0" w:rsidRPr="006772A7" w:rsidRDefault="00497DA0" w:rsidP="00497DA0">
      <w:pPr>
        <w:numPr>
          <w:ilvl w:val="1"/>
          <w:numId w:val="1"/>
        </w:numPr>
        <w:ind w:right="-234"/>
        <w:jc w:val="both"/>
        <w:rPr>
          <w:rFonts w:cs="Calibri"/>
          <w:sz w:val="28"/>
          <w:szCs w:val="28"/>
          <w:u w:val="single"/>
        </w:rPr>
      </w:pPr>
      <w:r w:rsidRPr="006772A7">
        <w:rPr>
          <w:rFonts w:cs="Calibri"/>
          <w:sz w:val="28"/>
          <w:szCs w:val="28"/>
          <w:u w:val="single"/>
        </w:rPr>
        <w:t>Características.</w:t>
      </w:r>
    </w:p>
    <w:p w:rsidR="00497DA0" w:rsidRPr="006772A7" w:rsidRDefault="00497DA0" w:rsidP="00497DA0">
      <w:pPr>
        <w:ind w:right="-234"/>
        <w:jc w:val="both"/>
        <w:rPr>
          <w:rFonts w:cs="Calibri"/>
          <w:sz w:val="28"/>
          <w:szCs w:val="28"/>
        </w:rPr>
      </w:pPr>
      <w:r w:rsidRPr="006772A7">
        <w:rPr>
          <w:rFonts w:cs="Calibri"/>
          <w:sz w:val="28"/>
          <w:szCs w:val="28"/>
        </w:rPr>
        <w:t xml:space="preserve">3.1.1 Disponibilidad y </w:t>
      </w:r>
      <w:proofErr w:type="spellStart"/>
      <w:r w:rsidRPr="006772A7">
        <w:rPr>
          <w:rFonts w:cs="Calibri"/>
          <w:sz w:val="28"/>
          <w:szCs w:val="28"/>
        </w:rPr>
        <w:t>accequibilidad</w:t>
      </w:r>
      <w:proofErr w:type="spellEnd"/>
      <w:r w:rsidRPr="006772A7">
        <w:rPr>
          <w:rFonts w:cs="Calibri"/>
          <w:sz w:val="28"/>
          <w:szCs w:val="28"/>
        </w:rPr>
        <w:t>.</w:t>
      </w:r>
    </w:p>
    <w:p w:rsidR="00497DA0" w:rsidRPr="006772A7" w:rsidRDefault="00497DA0" w:rsidP="00497DA0">
      <w:pPr>
        <w:ind w:right="-234"/>
        <w:jc w:val="both"/>
        <w:rPr>
          <w:rFonts w:cs="Calibri"/>
          <w:sz w:val="28"/>
          <w:szCs w:val="28"/>
        </w:rPr>
      </w:pPr>
      <w:r w:rsidRPr="006772A7">
        <w:rPr>
          <w:rFonts w:cs="Calibri"/>
          <w:sz w:val="28"/>
          <w:szCs w:val="28"/>
        </w:rPr>
        <w:t xml:space="preserve">En materia de disponibilidad y de condiciones mínimas para la prestación del servicio educativo, el municipio señala que a diciembre de 2011 cuenta con 412 docentes oficiales, 160 ubicados en la zona urbana y 252 en la zona rural de los cuales 108 son etnoeducadores. </w:t>
      </w:r>
    </w:p>
    <w:p w:rsidR="00497DA0" w:rsidRPr="006772A7" w:rsidRDefault="00497DA0" w:rsidP="00497DA0">
      <w:pPr>
        <w:ind w:right="-234"/>
        <w:jc w:val="both"/>
        <w:rPr>
          <w:rFonts w:cs="Calibri"/>
          <w:sz w:val="28"/>
          <w:szCs w:val="28"/>
        </w:rPr>
      </w:pPr>
      <w:r w:rsidRPr="006772A7">
        <w:rPr>
          <w:rFonts w:cs="Calibri"/>
          <w:sz w:val="28"/>
          <w:szCs w:val="28"/>
        </w:rPr>
        <w:t>Distribución por grado de escalafón y porcentaje de educadores (decreto        2277):</w:t>
      </w:r>
    </w:p>
    <w:tbl>
      <w:tblPr>
        <w:tblW w:w="0" w:type="auto"/>
        <w:jc w:val="center"/>
        <w:tblBorders>
          <w:top w:val="single" w:sz="8" w:space="0" w:color="000000"/>
          <w:bottom w:val="single" w:sz="8" w:space="0" w:color="000000"/>
        </w:tblBorders>
        <w:tblLook w:val="04A0" w:firstRow="1" w:lastRow="0" w:firstColumn="1" w:lastColumn="0" w:noHBand="0" w:noVBand="1"/>
      </w:tblPr>
      <w:tblGrid>
        <w:gridCol w:w="3131"/>
        <w:gridCol w:w="3131"/>
      </w:tblGrid>
      <w:tr w:rsidR="00497DA0" w:rsidRPr="006772A7" w:rsidTr="006919A9">
        <w:trPr>
          <w:trHeight w:val="506"/>
          <w:jc w:val="center"/>
        </w:trPr>
        <w:tc>
          <w:tcPr>
            <w:tcW w:w="3131" w:type="dxa"/>
            <w:tcBorders>
              <w:top w:val="single" w:sz="8" w:space="0" w:color="000000"/>
              <w:left w:val="nil"/>
              <w:bottom w:val="single" w:sz="8" w:space="0" w:color="000000"/>
              <w:right w:val="nil"/>
            </w:tcBorders>
          </w:tcPr>
          <w:p w:rsidR="00497DA0" w:rsidRPr="006772A7" w:rsidRDefault="00497DA0" w:rsidP="006919A9">
            <w:pPr>
              <w:ind w:right="-234"/>
              <w:jc w:val="center"/>
              <w:rPr>
                <w:rFonts w:cs="Calibri"/>
                <w:b/>
                <w:bCs/>
                <w:color w:val="000000"/>
                <w:sz w:val="28"/>
                <w:szCs w:val="28"/>
              </w:rPr>
            </w:pPr>
            <w:r w:rsidRPr="006772A7">
              <w:rPr>
                <w:rFonts w:cs="Calibri"/>
                <w:b/>
                <w:bCs/>
                <w:color w:val="000000"/>
                <w:sz w:val="28"/>
                <w:szCs w:val="28"/>
              </w:rPr>
              <w:t>Escalafón</w:t>
            </w:r>
          </w:p>
        </w:tc>
        <w:tc>
          <w:tcPr>
            <w:tcW w:w="3131" w:type="dxa"/>
            <w:tcBorders>
              <w:top w:val="single" w:sz="8" w:space="0" w:color="000000"/>
              <w:left w:val="nil"/>
              <w:bottom w:val="single" w:sz="8" w:space="0" w:color="000000"/>
              <w:right w:val="nil"/>
            </w:tcBorders>
          </w:tcPr>
          <w:p w:rsidR="00497DA0" w:rsidRPr="006772A7" w:rsidRDefault="00497DA0" w:rsidP="006919A9">
            <w:pPr>
              <w:ind w:right="-234"/>
              <w:jc w:val="center"/>
              <w:rPr>
                <w:rFonts w:cs="Calibri"/>
                <w:b/>
                <w:bCs/>
                <w:color w:val="000000"/>
                <w:sz w:val="28"/>
                <w:szCs w:val="28"/>
              </w:rPr>
            </w:pPr>
            <w:r w:rsidRPr="006772A7">
              <w:rPr>
                <w:rFonts w:cs="Calibri"/>
                <w:b/>
                <w:bCs/>
                <w:color w:val="000000"/>
                <w:sz w:val="28"/>
                <w:szCs w:val="28"/>
              </w:rPr>
              <w:t>Porcentaje de Educadores</w:t>
            </w:r>
          </w:p>
        </w:tc>
      </w:tr>
      <w:tr w:rsidR="00497DA0" w:rsidRPr="006772A7" w:rsidTr="006919A9">
        <w:trPr>
          <w:trHeight w:val="506"/>
          <w:jc w:val="center"/>
        </w:trPr>
        <w:tc>
          <w:tcPr>
            <w:tcW w:w="3131" w:type="dxa"/>
            <w:tcBorders>
              <w:left w:val="nil"/>
              <w:right w:val="nil"/>
            </w:tcBorders>
            <w:shd w:val="clear" w:color="auto" w:fill="C0C0C0"/>
          </w:tcPr>
          <w:p w:rsidR="00497DA0" w:rsidRPr="006772A7" w:rsidRDefault="00497DA0" w:rsidP="006919A9">
            <w:pPr>
              <w:ind w:right="-234"/>
              <w:jc w:val="center"/>
              <w:rPr>
                <w:rFonts w:cs="Calibri"/>
                <w:b/>
                <w:bCs/>
                <w:color w:val="000000"/>
                <w:sz w:val="28"/>
                <w:szCs w:val="28"/>
              </w:rPr>
            </w:pPr>
            <w:r w:rsidRPr="006772A7">
              <w:rPr>
                <w:rFonts w:cs="Calibri"/>
                <w:b/>
                <w:bCs/>
                <w:color w:val="000000"/>
                <w:sz w:val="28"/>
                <w:szCs w:val="28"/>
              </w:rPr>
              <w:t xml:space="preserve">1 </w:t>
            </w:r>
            <w:r>
              <w:rPr>
                <w:rFonts w:cs="Calibri"/>
                <w:b/>
                <w:bCs/>
                <w:color w:val="000000"/>
                <w:sz w:val="28"/>
                <w:szCs w:val="28"/>
              </w:rPr>
              <w:t>–</w:t>
            </w:r>
            <w:r w:rsidRPr="006772A7">
              <w:rPr>
                <w:rFonts w:cs="Calibri"/>
                <w:b/>
                <w:bCs/>
                <w:color w:val="000000"/>
                <w:sz w:val="28"/>
                <w:szCs w:val="28"/>
              </w:rPr>
              <w:t xml:space="preserve"> 5</w:t>
            </w:r>
          </w:p>
        </w:tc>
        <w:tc>
          <w:tcPr>
            <w:tcW w:w="3131" w:type="dxa"/>
            <w:tcBorders>
              <w:left w:val="nil"/>
              <w:right w:val="nil"/>
            </w:tcBorders>
            <w:shd w:val="clear" w:color="auto" w:fill="C0C0C0"/>
          </w:tcPr>
          <w:p w:rsidR="00497DA0" w:rsidRPr="006772A7" w:rsidRDefault="00497DA0" w:rsidP="006919A9">
            <w:pPr>
              <w:ind w:right="-234"/>
              <w:jc w:val="center"/>
              <w:rPr>
                <w:rFonts w:cs="Calibri"/>
                <w:color w:val="000000"/>
                <w:sz w:val="28"/>
                <w:szCs w:val="28"/>
              </w:rPr>
            </w:pPr>
            <w:r w:rsidRPr="006772A7">
              <w:rPr>
                <w:rFonts w:cs="Calibri"/>
                <w:color w:val="000000"/>
                <w:sz w:val="28"/>
                <w:szCs w:val="28"/>
              </w:rPr>
              <w:t>2.67%</w:t>
            </w:r>
          </w:p>
        </w:tc>
      </w:tr>
      <w:tr w:rsidR="00497DA0" w:rsidRPr="006772A7" w:rsidTr="006919A9">
        <w:trPr>
          <w:trHeight w:val="494"/>
          <w:jc w:val="center"/>
        </w:trPr>
        <w:tc>
          <w:tcPr>
            <w:tcW w:w="3131" w:type="dxa"/>
          </w:tcPr>
          <w:p w:rsidR="00497DA0" w:rsidRPr="006772A7" w:rsidRDefault="00497DA0" w:rsidP="006919A9">
            <w:pPr>
              <w:ind w:right="-234"/>
              <w:jc w:val="center"/>
              <w:rPr>
                <w:rFonts w:cs="Calibri"/>
                <w:b/>
                <w:bCs/>
                <w:color w:val="000000"/>
                <w:sz w:val="28"/>
                <w:szCs w:val="28"/>
              </w:rPr>
            </w:pPr>
            <w:r w:rsidRPr="006772A7">
              <w:rPr>
                <w:rFonts w:cs="Calibri"/>
                <w:b/>
                <w:bCs/>
                <w:color w:val="000000"/>
                <w:sz w:val="28"/>
                <w:szCs w:val="28"/>
              </w:rPr>
              <w:t xml:space="preserve">6 </w:t>
            </w:r>
            <w:r>
              <w:rPr>
                <w:rFonts w:cs="Calibri"/>
                <w:b/>
                <w:bCs/>
                <w:color w:val="000000"/>
                <w:sz w:val="28"/>
                <w:szCs w:val="28"/>
              </w:rPr>
              <w:t>–</w:t>
            </w:r>
            <w:r w:rsidRPr="006772A7">
              <w:rPr>
                <w:rFonts w:cs="Calibri"/>
                <w:b/>
                <w:bCs/>
                <w:color w:val="000000"/>
                <w:sz w:val="28"/>
                <w:szCs w:val="28"/>
              </w:rPr>
              <w:t xml:space="preserve"> 10</w:t>
            </w:r>
          </w:p>
        </w:tc>
        <w:tc>
          <w:tcPr>
            <w:tcW w:w="3131" w:type="dxa"/>
          </w:tcPr>
          <w:p w:rsidR="00497DA0" w:rsidRPr="006772A7" w:rsidRDefault="00497DA0" w:rsidP="006919A9">
            <w:pPr>
              <w:ind w:right="-234"/>
              <w:jc w:val="center"/>
              <w:rPr>
                <w:rFonts w:cs="Calibri"/>
                <w:color w:val="000000"/>
                <w:sz w:val="28"/>
                <w:szCs w:val="28"/>
              </w:rPr>
            </w:pPr>
            <w:r w:rsidRPr="006772A7">
              <w:rPr>
                <w:rFonts w:cs="Calibri"/>
                <w:color w:val="000000"/>
                <w:sz w:val="28"/>
                <w:szCs w:val="28"/>
              </w:rPr>
              <w:t>8.25 %</w:t>
            </w:r>
          </w:p>
        </w:tc>
      </w:tr>
      <w:tr w:rsidR="00497DA0" w:rsidRPr="006772A7" w:rsidTr="006919A9">
        <w:trPr>
          <w:trHeight w:val="519"/>
          <w:jc w:val="center"/>
        </w:trPr>
        <w:tc>
          <w:tcPr>
            <w:tcW w:w="3131" w:type="dxa"/>
            <w:tcBorders>
              <w:left w:val="nil"/>
              <w:right w:val="nil"/>
            </w:tcBorders>
            <w:shd w:val="clear" w:color="auto" w:fill="C0C0C0"/>
          </w:tcPr>
          <w:p w:rsidR="00497DA0" w:rsidRPr="006772A7" w:rsidRDefault="00497DA0" w:rsidP="006919A9">
            <w:pPr>
              <w:ind w:right="-234"/>
              <w:jc w:val="center"/>
              <w:rPr>
                <w:rFonts w:cs="Calibri"/>
                <w:b/>
                <w:bCs/>
                <w:color w:val="000000"/>
                <w:sz w:val="28"/>
                <w:szCs w:val="28"/>
              </w:rPr>
            </w:pPr>
            <w:r w:rsidRPr="006772A7">
              <w:rPr>
                <w:rFonts w:cs="Calibri"/>
                <w:b/>
                <w:bCs/>
                <w:color w:val="000000"/>
                <w:sz w:val="28"/>
                <w:szCs w:val="28"/>
              </w:rPr>
              <w:t xml:space="preserve">11 </w:t>
            </w:r>
            <w:r>
              <w:rPr>
                <w:rFonts w:cs="Calibri"/>
                <w:b/>
                <w:bCs/>
                <w:color w:val="000000"/>
                <w:sz w:val="28"/>
                <w:szCs w:val="28"/>
              </w:rPr>
              <w:t>–</w:t>
            </w:r>
            <w:r w:rsidRPr="006772A7">
              <w:rPr>
                <w:rFonts w:cs="Calibri"/>
                <w:b/>
                <w:bCs/>
                <w:color w:val="000000"/>
                <w:sz w:val="28"/>
                <w:szCs w:val="28"/>
              </w:rPr>
              <w:t xml:space="preserve"> 14</w:t>
            </w:r>
          </w:p>
        </w:tc>
        <w:tc>
          <w:tcPr>
            <w:tcW w:w="3131" w:type="dxa"/>
            <w:tcBorders>
              <w:left w:val="nil"/>
              <w:right w:val="nil"/>
            </w:tcBorders>
            <w:shd w:val="clear" w:color="auto" w:fill="C0C0C0"/>
          </w:tcPr>
          <w:p w:rsidR="00497DA0" w:rsidRPr="006772A7" w:rsidRDefault="00497DA0" w:rsidP="006919A9">
            <w:pPr>
              <w:ind w:right="-234"/>
              <w:jc w:val="center"/>
              <w:rPr>
                <w:rFonts w:cs="Calibri"/>
                <w:color w:val="000000"/>
                <w:sz w:val="28"/>
                <w:szCs w:val="28"/>
              </w:rPr>
            </w:pPr>
            <w:r w:rsidRPr="006772A7">
              <w:rPr>
                <w:rFonts w:cs="Calibri"/>
                <w:color w:val="000000"/>
                <w:sz w:val="28"/>
                <w:szCs w:val="28"/>
              </w:rPr>
              <w:t>14.42%</w:t>
            </w:r>
          </w:p>
        </w:tc>
      </w:tr>
    </w:tbl>
    <w:p w:rsidR="00497DA0" w:rsidRPr="006772A7" w:rsidRDefault="00497DA0" w:rsidP="00497DA0">
      <w:pPr>
        <w:tabs>
          <w:tab w:val="left" w:pos="1764"/>
        </w:tabs>
        <w:ind w:left="360" w:right="-234"/>
        <w:jc w:val="both"/>
        <w:rPr>
          <w:rFonts w:cs="Calibri"/>
          <w:sz w:val="28"/>
          <w:szCs w:val="28"/>
        </w:rPr>
      </w:pPr>
      <w:r w:rsidRPr="006772A7">
        <w:rPr>
          <w:rFonts w:cs="Calibri"/>
          <w:sz w:val="28"/>
          <w:szCs w:val="28"/>
        </w:rPr>
        <w:tab/>
      </w:r>
    </w:p>
    <w:p w:rsidR="00497DA0" w:rsidRPr="006772A7" w:rsidRDefault="00497DA0" w:rsidP="00497DA0">
      <w:pPr>
        <w:tabs>
          <w:tab w:val="left" w:pos="1764"/>
        </w:tabs>
        <w:ind w:right="-234"/>
        <w:jc w:val="both"/>
        <w:rPr>
          <w:rFonts w:cs="Calibri"/>
          <w:sz w:val="28"/>
          <w:szCs w:val="28"/>
        </w:rPr>
      </w:pPr>
      <w:r w:rsidRPr="006772A7">
        <w:rPr>
          <w:rFonts w:cs="Calibri"/>
          <w:sz w:val="28"/>
          <w:szCs w:val="28"/>
        </w:rPr>
        <w:t xml:space="preserve">De igual manera, el municipio cuenta con 17 establecimientos educativos y 95 sedes educativas adscritas, de los cuales tres están ubicados en la zona urbana, cuenta también con  11 sedes educativas (6151 estudiantes matriculados). En la zona rural hay en la actualidad   14 establecimientos educativos con 85 sedes educativas y 4467 estudiantes matriculados. </w:t>
      </w:r>
    </w:p>
    <w:p w:rsidR="00497DA0" w:rsidRPr="006772A7" w:rsidRDefault="00497DA0" w:rsidP="00497DA0">
      <w:pPr>
        <w:tabs>
          <w:tab w:val="left" w:pos="1764"/>
        </w:tabs>
        <w:ind w:right="-234"/>
        <w:jc w:val="both"/>
        <w:rPr>
          <w:rFonts w:cs="Calibri"/>
          <w:sz w:val="28"/>
          <w:szCs w:val="28"/>
        </w:rPr>
      </w:pPr>
      <w:r w:rsidRPr="006772A7">
        <w:rPr>
          <w:rFonts w:cs="Calibri"/>
          <w:sz w:val="28"/>
          <w:szCs w:val="28"/>
        </w:rPr>
        <w:t>De acuerdo con datos del municipio, la distribución anual de población escolar por rangos de edad es la siguiente:</w:t>
      </w:r>
    </w:p>
    <w:p w:rsidR="00497DA0" w:rsidRPr="006772A7" w:rsidRDefault="00497DA0" w:rsidP="00497DA0">
      <w:pPr>
        <w:tabs>
          <w:tab w:val="left" w:pos="1764"/>
        </w:tabs>
        <w:ind w:right="-234"/>
        <w:jc w:val="both"/>
        <w:rPr>
          <w:rFonts w:cs="Calibri"/>
          <w:sz w:val="28"/>
          <w:szCs w:val="28"/>
        </w:rPr>
      </w:pPr>
    </w:p>
    <w:p w:rsidR="00497DA0" w:rsidRPr="006772A7" w:rsidRDefault="00497DA0" w:rsidP="00497DA0">
      <w:pPr>
        <w:tabs>
          <w:tab w:val="left" w:pos="1764"/>
        </w:tabs>
        <w:ind w:right="-234"/>
        <w:jc w:val="both"/>
        <w:rPr>
          <w:rFonts w:cs="Calibri"/>
          <w:sz w:val="28"/>
          <w:szCs w:val="28"/>
        </w:rPr>
      </w:pPr>
    </w:p>
    <w:p w:rsidR="00497DA0" w:rsidRPr="006772A7" w:rsidRDefault="00497DA0" w:rsidP="00497DA0">
      <w:pPr>
        <w:tabs>
          <w:tab w:val="left" w:pos="1764"/>
        </w:tabs>
        <w:ind w:right="-234"/>
        <w:jc w:val="both"/>
        <w:rPr>
          <w:rFonts w:cs="Calibri"/>
          <w:sz w:val="28"/>
          <w:szCs w:val="28"/>
        </w:rPr>
      </w:pPr>
    </w:p>
    <w:p w:rsidR="00497DA0" w:rsidRPr="006772A7" w:rsidRDefault="00497DA0" w:rsidP="00497DA0">
      <w:pPr>
        <w:tabs>
          <w:tab w:val="left" w:pos="3529"/>
          <w:tab w:val="left" w:pos="6357"/>
        </w:tabs>
        <w:ind w:right="-234"/>
        <w:rPr>
          <w:rFonts w:cs="Calibri"/>
          <w:sz w:val="28"/>
          <w:szCs w:val="28"/>
        </w:rPr>
      </w:pPr>
      <w:r w:rsidRPr="006772A7">
        <w:rPr>
          <w:rFonts w:cs="Calibri"/>
          <w:sz w:val="28"/>
          <w:szCs w:val="28"/>
        </w:rPr>
        <w:t>Año 2008</w:t>
      </w:r>
      <w:r w:rsidRPr="006772A7">
        <w:rPr>
          <w:rFonts w:cs="Calibri"/>
          <w:sz w:val="28"/>
          <w:szCs w:val="28"/>
        </w:rPr>
        <w:tab/>
        <w:t>Año 2009</w:t>
      </w:r>
      <w:r w:rsidRPr="006772A7">
        <w:rPr>
          <w:rFonts w:cs="Calibri"/>
          <w:sz w:val="28"/>
          <w:szCs w:val="28"/>
        </w:rPr>
        <w:tab/>
        <w:t>Año 2010</w:t>
      </w:r>
    </w:p>
    <w:tbl>
      <w:tblPr>
        <w:tblpPr w:leftFromText="141" w:rightFromText="141" w:vertAnchor="text" w:tblpY="1"/>
        <w:tblW w:w="0" w:type="auto"/>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463"/>
        <w:gridCol w:w="1463"/>
      </w:tblGrid>
      <w:tr w:rsidR="00497DA0" w:rsidRPr="006772A7" w:rsidTr="006919A9">
        <w:trPr>
          <w:trHeight w:val="535"/>
        </w:trPr>
        <w:tc>
          <w:tcPr>
            <w:tcW w:w="1463" w:type="dxa"/>
            <w:tcBorders>
              <w:top w:val="single" w:sz="8" w:space="0" w:color="78C0D4"/>
              <w:left w:val="single" w:sz="8" w:space="0" w:color="78C0D4"/>
              <w:bottom w:val="single" w:sz="8" w:space="0" w:color="78C0D4"/>
              <w:right w:val="nil"/>
            </w:tcBorders>
            <w:shd w:val="clear" w:color="auto" w:fill="4BACC6"/>
          </w:tcPr>
          <w:p w:rsidR="00497DA0" w:rsidRPr="006772A7" w:rsidRDefault="00497DA0" w:rsidP="006919A9">
            <w:pPr>
              <w:tabs>
                <w:tab w:val="left" w:pos="1764"/>
              </w:tabs>
              <w:ind w:right="-234"/>
              <w:jc w:val="center"/>
              <w:rPr>
                <w:rFonts w:cs="Calibri"/>
                <w:b/>
                <w:bCs/>
                <w:color w:val="FFFFFF"/>
                <w:sz w:val="28"/>
                <w:szCs w:val="28"/>
              </w:rPr>
            </w:pPr>
            <w:r w:rsidRPr="006772A7">
              <w:rPr>
                <w:rFonts w:cs="Calibri"/>
                <w:b/>
                <w:bCs/>
                <w:color w:val="FFFFFF"/>
                <w:sz w:val="28"/>
                <w:szCs w:val="28"/>
              </w:rPr>
              <w:t>Rango de edad</w:t>
            </w:r>
          </w:p>
        </w:tc>
        <w:tc>
          <w:tcPr>
            <w:tcW w:w="1463" w:type="dxa"/>
            <w:tcBorders>
              <w:top w:val="single" w:sz="8" w:space="0" w:color="78C0D4"/>
              <w:left w:val="nil"/>
              <w:bottom w:val="single" w:sz="8" w:space="0" w:color="78C0D4"/>
              <w:right w:val="single" w:sz="8" w:space="0" w:color="78C0D4"/>
            </w:tcBorders>
            <w:shd w:val="clear" w:color="auto" w:fill="4BACC6"/>
          </w:tcPr>
          <w:p w:rsidR="00497DA0" w:rsidRPr="006772A7" w:rsidRDefault="00497DA0" w:rsidP="006919A9">
            <w:pPr>
              <w:tabs>
                <w:tab w:val="left" w:pos="1764"/>
              </w:tabs>
              <w:ind w:right="-234"/>
              <w:jc w:val="center"/>
              <w:rPr>
                <w:rFonts w:cs="Calibri"/>
                <w:b/>
                <w:bCs/>
                <w:color w:val="FFFFFF"/>
                <w:sz w:val="28"/>
                <w:szCs w:val="28"/>
              </w:rPr>
            </w:pPr>
            <w:r w:rsidRPr="006772A7">
              <w:rPr>
                <w:rFonts w:cs="Calibri"/>
                <w:b/>
                <w:bCs/>
                <w:color w:val="FFFFFF"/>
                <w:sz w:val="28"/>
                <w:szCs w:val="28"/>
              </w:rPr>
              <w:t>Población Escolar</w:t>
            </w:r>
          </w:p>
        </w:tc>
      </w:tr>
      <w:tr w:rsidR="00497DA0" w:rsidRPr="006772A7" w:rsidTr="006919A9">
        <w:trPr>
          <w:trHeight w:val="535"/>
        </w:trPr>
        <w:tc>
          <w:tcPr>
            <w:tcW w:w="1463" w:type="dxa"/>
            <w:tcBorders>
              <w:right w:val="nil"/>
            </w:tcBorders>
            <w:shd w:val="clear" w:color="auto" w:fill="D2EAF1"/>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6 -10</w:t>
            </w:r>
          </w:p>
        </w:tc>
        <w:tc>
          <w:tcPr>
            <w:tcW w:w="1463" w:type="dxa"/>
            <w:tcBorders>
              <w:left w:val="nil"/>
            </w:tcBorders>
            <w:shd w:val="clear" w:color="auto" w:fill="D2EAF1"/>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5078</w:t>
            </w:r>
          </w:p>
        </w:tc>
      </w:tr>
      <w:tr w:rsidR="00497DA0" w:rsidRPr="006772A7" w:rsidTr="006919A9">
        <w:trPr>
          <w:trHeight w:val="535"/>
        </w:trPr>
        <w:tc>
          <w:tcPr>
            <w:tcW w:w="1463" w:type="dxa"/>
            <w:tcBorders>
              <w:right w:val="nil"/>
            </w:tcBorders>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11 -14</w:t>
            </w:r>
          </w:p>
        </w:tc>
        <w:tc>
          <w:tcPr>
            <w:tcW w:w="1463" w:type="dxa"/>
            <w:tcBorders>
              <w:left w:val="nil"/>
            </w:tcBorders>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4149</w:t>
            </w:r>
          </w:p>
        </w:tc>
      </w:tr>
      <w:tr w:rsidR="00497DA0" w:rsidRPr="006772A7" w:rsidTr="006919A9">
        <w:trPr>
          <w:trHeight w:val="535"/>
        </w:trPr>
        <w:tc>
          <w:tcPr>
            <w:tcW w:w="1463" w:type="dxa"/>
            <w:tcBorders>
              <w:right w:val="nil"/>
            </w:tcBorders>
            <w:shd w:val="clear" w:color="auto" w:fill="D2EAF1"/>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15 - 16</w:t>
            </w:r>
          </w:p>
        </w:tc>
        <w:tc>
          <w:tcPr>
            <w:tcW w:w="1463" w:type="dxa"/>
            <w:tcBorders>
              <w:left w:val="nil"/>
            </w:tcBorders>
            <w:shd w:val="clear" w:color="auto" w:fill="D2EAF1"/>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2159</w:t>
            </w:r>
          </w:p>
        </w:tc>
      </w:tr>
    </w:tbl>
    <w:p w:rsidR="00497DA0" w:rsidRPr="006772A7" w:rsidRDefault="00497DA0" w:rsidP="00497DA0">
      <w:pPr>
        <w:spacing w:after="0"/>
        <w:rPr>
          <w:rFonts w:cs="Calibri"/>
          <w:vanish/>
          <w:sz w:val="28"/>
          <w:szCs w:val="28"/>
        </w:rPr>
      </w:pPr>
    </w:p>
    <w:tbl>
      <w:tblPr>
        <w:tblpPr w:leftFromText="141" w:rightFromText="141" w:vertAnchor="text" w:horzAnchor="margin" w:tblpXSpec="center" w:tblpY="43"/>
        <w:tblW w:w="0" w:type="auto"/>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384"/>
        <w:gridCol w:w="1384"/>
      </w:tblGrid>
      <w:tr w:rsidR="00497DA0" w:rsidRPr="006772A7" w:rsidTr="006919A9">
        <w:trPr>
          <w:trHeight w:val="510"/>
        </w:trPr>
        <w:tc>
          <w:tcPr>
            <w:tcW w:w="1384" w:type="dxa"/>
            <w:tcBorders>
              <w:top w:val="single" w:sz="8" w:space="0" w:color="78C0D4"/>
              <w:left w:val="single" w:sz="8" w:space="0" w:color="78C0D4"/>
              <w:bottom w:val="single" w:sz="8" w:space="0" w:color="78C0D4"/>
              <w:right w:val="nil"/>
            </w:tcBorders>
            <w:shd w:val="clear" w:color="auto" w:fill="4BACC6"/>
          </w:tcPr>
          <w:p w:rsidR="00497DA0" w:rsidRPr="006772A7" w:rsidRDefault="00497DA0" w:rsidP="006919A9">
            <w:pPr>
              <w:tabs>
                <w:tab w:val="left" w:pos="1764"/>
              </w:tabs>
              <w:ind w:right="-234"/>
              <w:jc w:val="center"/>
              <w:rPr>
                <w:rFonts w:cs="Calibri"/>
                <w:b/>
                <w:bCs/>
                <w:color w:val="FFFFFF"/>
                <w:sz w:val="28"/>
                <w:szCs w:val="28"/>
              </w:rPr>
            </w:pPr>
            <w:r w:rsidRPr="006772A7">
              <w:rPr>
                <w:rFonts w:cs="Calibri"/>
                <w:b/>
                <w:bCs/>
                <w:color w:val="FFFFFF"/>
                <w:sz w:val="28"/>
                <w:szCs w:val="28"/>
              </w:rPr>
              <w:t>Rango de edad</w:t>
            </w:r>
          </w:p>
        </w:tc>
        <w:tc>
          <w:tcPr>
            <w:tcW w:w="1384" w:type="dxa"/>
            <w:tcBorders>
              <w:top w:val="single" w:sz="8" w:space="0" w:color="78C0D4"/>
              <w:left w:val="nil"/>
              <w:bottom w:val="single" w:sz="8" w:space="0" w:color="78C0D4"/>
              <w:right w:val="single" w:sz="8" w:space="0" w:color="78C0D4"/>
            </w:tcBorders>
            <w:shd w:val="clear" w:color="auto" w:fill="4BACC6"/>
          </w:tcPr>
          <w:p w:rsidR="00497DA0" w:rsidRPr="006772A7" w:rsidRDefault="00497DA0" w:rsidP="006919A9">
            <w:pPr>
              <w:tabs>
                <w:tab w:val="left" w:pos="1764"/>
              </w:tabs>
              <w:ind w:right="-234"/>
              <w:jc w:val="center"/>
              <w:rPr>
                <w:rFonts w:cs="Calibri"/>
                <w:b/>
                <w:bCs/>
                <w:color w:val="FFFFFF"/>
                <w:sz w:val="28"/>
                <w:szCs w:val="28"/>
              </w:rPr>
            </w:pPr>
            <w:r w:rsidRPr="006772A7">
              <w:rPr>
                <w:rFonts w:cs="Calibri"/>
                <w:b/>
                <w:bCs/>
                <w:color w:val="FFFFFF"/>
                <w:sz w:val="28"/>
                <w:szCs w:val="28"/>
              </w:rPr>
              <w:t>Población Escolar</w:t>
            </w:r>
          </w:p>
        </w:tc>
      </w:tr>
      <w:tr w:rsidR="00497DA0" w:rsidRPr="006772A7" w:rsidTr="006919A9">
        <w:trPr>
          <w:trHeight w:val="510"/>
        </w:trPr>
        <w:tc>
          <w:tcPr>
            <w:tcW w:w="1384" w:type="dxa"/>
            <w:tcBorders>
              <w:right w:val="nil"/>
            </w:tcBorders>
            <w:shd w:val="clear" w:color="auto" w:fill="D2EAF1"/>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6 -10</w:t>
            </w:r>
          </w:p>
        </w:tc>
        <w:tc>
          <w:tcPr>
            <w:tcW w:w="1384" w:type="dxa"/>
            <w:tcBorders>
              <w:left w:val="nil"/>
            </w:tcBorders>
            <w:shd w:val="clear" w:color="auto" w:fill="D2EAF1"/>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5053</w:t>
            </w:r>
          </w:p>
        </w:tc>
      </w:tr>
      <w:tr w:rsidR="00497DA0" w:rsidRPr="006772A7" w:rsidTr="006919A9">
        <w:trPr>
          <w:trHeight w:val="510"/>
        </w:trPr>
        <w:tc>
          <w:tcPr>
            <w:tcW w:w="1384" w:type="dxa"/>
            <w:tcBorders>
              <w:right w:val="nil"/>
            </w:tcBorders>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11 -14</w:t>
            </w:r>
          </w:p>
        </w:tc>
        <w:tc>
          <w:tcPr>
            <w:tcW w:w="1384" w:type="dxa"/>
            <w:tcBorders>
              <w:left w:val="nil"/>
            </w:tcBorders>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4093</w:t>
            </w:r>
          </w:p>
        </w:tc>
      </w:tr>
      <w:tr w:rsidR="00497DA0" w:rsidRPr="006772A7" w:rsidTr="006919A9">
        <w:trPr>
          <w:trHeight w:val="510"/>
        </w:trPr>
        <w:tc>
          <w:tcPr>
            <w:tcW w:w="1384" w:type="dxa"/>
            <w:tcBorders>
              <w:right w:val="nil"/>
            </w:tcBorders>
            <w:shd w:val="clear" w:color="auto" w:fill="D2EAF1"/>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15 - 16</w:t>
            </w:r>
          </w:p>
        </w:tc>
        <w:tc>
          <w:tcPr>
            <w:tcW w:w="1384" w:type="dxa"/>
            <w:tcBorders>
              <w:left w:val="nil"/>
            </w:tcBorders>
            <w:shd w:val="clear" w:color="auto" w:fill="D2EAF1"/>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2019</w:t>
            </w:r>
          </w:p>
        </w:tc>
      </w:tr>
    </w:tbl>
    <w:p w:rsidR="00497DA0" w:rsidRPr="006772A7" w:rsidRDefault="00497DA0" w:rsidP="00497DA0">
      <w:pPr>
        <w:spacing w:after="0"/>
        <w:rPr>
          <w:rFonts w:cs="Calibri"/>
          <w:vanish/>
          <w:sz w:val="28"/>
          <w:szCs w:val="28"/>
        </w:rPr>
      </w:pPr>
    </w:p>
    <w:tbl>
      <w:tblPr>
        <w:tblpPr w:leftFromText="141" w:rightFromText="141" w:vertAnchor="text" w:horzAnchor="margin" w:tblpXSpec="right" w:tblpY="56"/>
        <w:tblW w:w="0" w:type="auto"/>
        <w:tblBorders>
          <w:top w:val="single" w:sz="8" w:space="0" w:color="78C0D4"/>
          <w:left w:val="single" w:sz="8" w:space="0" w:color="78C0D4"/>
          <w:bottom w:val="single" w:sz="8" w:space="0" w:color="78C0D4"/>
          <w:right w:val="single" w:sz="8" w:space="0" w:color="78C0D4"/>
          <w:insideH w:val="single" w:sz="8" w:space="0" w:color="78C0D4"/>
        </w:tblBorders>
        <w:tblLook w:val="04A0" w:firstRow="1" w:lastRow="0" w:firstColumn="1" w:lastColumn="0" w:noHBand="0" w:noVBand="1"/>
      </w:tblPr>
      <w:tblGrid>
        <w:gridCol w:w="1384"/>
        <w:gridCol w:w="1384"/>
      </w:tblGrid>
      <w:tr w:rsidR="00497DA0" w:rsidRPr="006772A7" w:rsidTr="006919A9">
        <w:trPr>
          <w:trHeight w:val="510"/>
        </w:trPr>
        <w:tc>
          <w:tcPr>
            <w:tcW w:w="1384" w:type="dxa"/>
            <w:tcBorders>
              <w:top w:val="single" w:sz="8" w:space="0" w:color="78C0D4"/>
              <w:left w:val="single" w:sz="8" w:space="0" w:color="78C0D4"/>
              <w:bottom w:val="single" w:sz="8" w:space="0" w:color="78C0D4"/>
              <w:right w:val="nil"/>
            </w:tcBorders>
            <w:shd w:val="clear" w:color="auto" w:fill="4BACC6"/>
          </w:tcPr>
          <w:p w:rsidR="00497DA0" w:rsidRPr="006772A7" w:rsidRDefault="00497DA0" w:rsidP="006919A9">
            <w:pPr>
              <w:tabs>
                <w:tab w:val="left" w:pos="1764"/>
              </w:tabs>
              <w:ind w:right="-234"/>
              <w:jc w:val="center"/>
              <w:rPr>
                <w:rFonts w:cs="Calibri"/>
                <w:b/>
                <w:bCs/>
                <w:color w:val="FFFFFF"/>
                <w:sz w:val="28"/>
                <w:szCs w:val="28"/>
              </w:rPr>
            </w:pPr>
            <w:r w:rsidRPr="006772A7">
              <w:rPr>
                <w:rFonts w:cs="Calibri"/>
                <w:b/>
                <w:bCs/>
                <w:color w:val="FFFFFF"/>
                <w:sz w:val="28"/>
                <w:szCs w:val="28"/>
              </w:rPr>
              <w:t>Rango de edad</w:t>
            </w:r>
          </w:p>
        </w:tc>
        <w:tc>
          <w:tcPr>
            <w:tcW w:w="1384" w:type="dxa"/>
            <w:tcBorders>
              <w:top w:val="single" w:sz="8" w:space="0" w:color="78C0D4"/>
              <w:left w:val="nil"/>
              <w:bottom w:val="single" w:sz="8" w:space="0" w:color="78C0D4"/>
              <w:right w:val="single" w:sz="8" w:space="0" w:color="78C0D4"/>
            </w:tcBorders>
            <w:shd w:val="clear" w:color="auto" w:fill="4BACC6"/>
          </w:tcPr>
          <w:p w:rsidR="00497DA0" w:rsidRPr="006772A7" w:rsidRDefault="00497DA0" w:rsidP="006919A9">
            <w:pPr>
              <w:tabs>
                <w:tab w:val="left" w:pos="1764"/>
              </w:tabs>
              <w:ind w:right="-234"/>
              <w:jc w:val="center"/>
              <w:rPr>
                <w:rFonts w:cs="Calibri"/>
                <w:b/>
                <w:bCs/>
                <w:color w:val="FFFFFF"/>
                <w:sz w:val="28"/>
                <w:szCs w:val="28"/>
              </w:rPr>
            </w:pPr>
            <w:r w:rsidRPr="006772A7">
              <w:rPr>
                <w:rFonts w:cs="Calibri"/>
                <w:b/>
                <w:bCs/>
                <w:color w:val="FFFFFF"/>
                <w:sz w:val="28"/>
                <w:szCs w:val="28"/>
              </w:rPr>
              <w:t>Población Escolar</w:t>
            </w:r>
          </w:p>
        </w:tc>
      </w:tr>
      <w:tr w:rsidR="00497DA0" w:rsidRPr="006772A7" w:rsidTr="006919A9">
        <w:trPr>
          <w:trHeight w:val="510"/>
        </w:trPr>
        <w:tc>
          <w:tcPr>
            <w:tcW w:w="1384" w:type="dxa"/>
            <w:tcBorders>
              <w:right w:val="nil"/>
            </w:tcBorders>
            <w:shd w:val="clear" w:color="auto" w:fill="D2EAF1"/>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6 -10</w:t>
            </w:r>
          </w:p>
        </w:tc>
        <w:tc>
          <w:tcPr>
            <w:tcW w:w="1384" w:type="dxa"/>
            <w:tcBorders>
              <w:left w:val="nil"/>
            </w:tcBorders>
            <w:shd w:val="clear" w:color="auto" w:fill="D2EAF1"/>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5053</w:t>
            </w:r>
          </w:p>
        </w:tc>
      </w:tr>
      <w:tr w:rsidR="00497DA0" w:rsidRPr="006772A7" w:rsidTr="006919A9">
        <w:trPr>
          <w:trHeight w:val="510"/>
        </w:trPr>
        <w:tc>
          <w:tcPr>
            <w:tcW w:w="1384" w:type="dxa"/>
            <w:tcBorders>
              <w:right w:val="nil"/>
            </w:tcBorders>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11 -14</w:t>
            </w:r>
          </w:p>
        </w:tc>
        <w:tc>
          <w:tcPr>
            <w:tcW w:w="1384" w:type="dxa"/>
            <w:tcBorders>
              <w:left w:val="nil"/>
            </w:tcBorders>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4093</w:t>
            </w:r>
          </w:p>
        </w:tc>
      </w:tr>
      <w:tr w:rsidR="00497DA0" w:rsidRPr="006772A7" w:rsidTr="006919A9">
        <w:trPr>
          <w:trHeight w:val="510"/>
        </w:trPr>
        <w:tc>
          <w:tcPr>
            <w:tcW w:w="1384" w:type="dxa"/>
            <w:tcBorders>
              <w:right w:val="nil"/>
            </w:tcBorders>
            <w:shd w:val="clear" w:color="auto" w:fill="D2EAF1"/>
          </w:tcPr>
          <w:p w:rsidR="00497DA0" w:rsidRPr="006772A7" w:rsidRDefault="00497DA0" w:rsidP="006919A9">
            <w:pPr>
              <w:tabs>
                <w:tab w:val="left" w:pos="1764"/>
              </w:tabs>
              <w:ind w:right="-234"/>
              <w:jc w:val="both"/>
              <w:rPr>
                <w:rFonts w:cs="Calibri"/>
                <w:b/>
                <w:bCs/>
                <w:sz w:val="28"/>
                <w:szCs w:val="28"/>
              </w:rPr>
            </w:pPr>
            <w:r w:rsidRPr="006772A7">
              <w:rPr>
                <w:rFonts w:cs="Calibri"/>
                <w:b/>
                <w:bCs/>
                <w:sz w:val="28"/>
                <w:szCs w:val="28"/>
              </w:rPr>
              <w:t>15 – 16</w:t>
            </w:r>
          </w:p>
        </w:tc>
        <w:tc>
          <w:tcPr>
            <w:tcW w:w="1384" w:type="dxa"/>
            <w:tcBorders>
              <w:left w:val="nil"/>
            </w:tcBorders>
            <w:shd w:val="clear" w:color="auto" w:fill="D2EAF1"/>
          </w:tcPr>
          <w:p w:rsidR="00497DA0" w:rsidRPr="006772A7" w:rsidRDefault="00497DA0" w:rsidP="006919A9">
            <w:pPr>
              <w:tabs>
                <w:tab w:val="left" w:pos="1764"/>
              </w:tabs>
              <w:ind w:right="-234"/>
              <w:jc w:val="both"/>
              <w:rPr>
                <w:rFonts w:cs="Calibri"/>
                <w:sz w:val="28"/>
                <w:szCs w:val="28"/>
              </w:rPr>
            </w:pPr>
            <w:r w:rsidRPr="006772A7">
              <w:rPr>
                <w:rFonts w:cs="Calibri"/>
                <w:sz w:val="28"/>
                <w:szCs w:val="28"/>
              </w:rPr>
              <w:t>2019</w:t>
            </w:r>
          </w:p>
        </w:tc>
      </w:tr>
    </w:tbl>
    <w:p w:rsidR="00497DA0" w:rsidRPr="006772A7" w:rsidRDefault="00497DA0" w:rsidP="00497DA0">
      <w:pPr>
        <w:tabs>
          <w:tab w:val="left" w:pos="1764"/>
        </w:tabs>
        <w:ind w:right="-234"/>
        <w:jc w:val="both"/>
        <w:rPr>
          <w:rFonts w:cs="Calibri"/>
          <w:sz w:val="28"/>
          <w:szCs w:val="28"/>
        </w:rPr>
      </w:pPr>
      <w:r w:rsidRPr="006772A7">
        <w:rPr>
          <w:rFonts w:cs="Calibri"/>
          <w:sz w:val="28"/>
          <w:szCs w:val="28"/>
        </w:rPr>
        <w:t xml:space="preserve"> </w:t>
      </w:r>
    </w:p>
    <w:p w:rsidR="00497DA0" w:rsidRPr="006772A7" w:rsidRDefault="00497DA0" w:rsidP="00497DA0">
      <w:pPr>
        <w:tabs>
          <w:tab w:val="left" w:pos="1764"/>
        </w:tabs>
        <w:ind w:right="-234"/>
        <w:jc w:val="both"/>
        <w:rPr>
          <w:rFonts w:cs="Calibri"/>
          <w:sz w:val="28"/>
          <w:szCs w:val="28"/>
        </w:rPr>
      </w:pPr>
    </w:p>
    <w:p w:rsidR="00497DA0" w:rsidRPr="006772A7" w:rsidRDefault="00497DA0" w:rsidP="00497DA0">
      <w:pPr>
        <w:tabs>
          <w:tab w:val="left" w:pos="1764"/>
        </w:tabs>
        <w:ind w:left="360" w:right="-234"/>
        <w:jc w:val="both"/>
        <w:rPr>
          <w:rFonts w:cs="Calibri"/>
          <w:sz w:val="28"/>
          <w:szCs w:val="28"/>
        </w:rPr>
      </w:pPr>
      <w:r w:rsidRPr="006772A7">
        <w:rPr>
          <w:rFonts w:cs="Calibri"/>
          <w:sz w:val="28"/>
          <w:szCs w:val="28"/>
        </w:rPr>
        <w:t xml:space="preserve">Siguiendo con los datos arrojados por la administración municipal, la distribución de recursos asignados a la educación es la siguiente, con una inversión promedio por estudiante de $464.740: </w:t>
      </w:r>
    </w:p>
    <w:p w:rsidR="00497DA0" w:rsidRPr="006772A7" w:rsidRDefault="00497DA0" w:rsidP="00497DA0">
      <w:pPr>
        <w:tabs>
          <w:tab w:val="left" w:pos="1764"/>
        </w:tabs>
        <w:ind w:left="360" w:right="-234"/>
        <w:jc w:val="both"/>
        <w:rPr>
          <w:rFonts w:cs="Calibri"/>
          <w:sz w:val="28"/>
          <w:szCs w:val="28"/>
        </w:rPr>
      </w:pPr>
    </w:p>
    <w:tbl>
      <w:tblPr>
        <w:tblW w:w="0" w:type="auto"/>
        <w:jc w:val="center"/>
        <w:tblInd w:w="819"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3299"/>
        <w:gridCol w:w="1944"/>
      </w:tblGrid>
      <w:tr w:rsidR="00497DA0" w:rsidRPr="006772A7" w:rsidTr="006919A9">
        <w:trPr>
          <w:trHeight w:val="482"/>
          <w:jc w:val="center"/>
        </w:trPr>
        <w:tc>
          <w:tcPr>
            <w:tcW w:w="3299" w:type="dxa"/>
            <w:shd w:val="clear" w:color="auto" w:fill="D3DFEE"/>
          </w:tcPr>
          <w:p w:rsidR="00497DA0" w:rsidRPr="006772A7" w:rsidRDefault="00497DA0" w:rsidP="006919A9">
            <w:pPr>
              <w:tabs>
                <w:tab w:val="left" w:pos="1764"/>
              </w:tabs>
              <w:ind w:right="-234"/>
              <w:jc w:val="center"/>
              <w:rPr>
                <w:rFonts w:cs="Calibri"/>
                <w:b/>
                <w:bCs/>
                <w:sz w:val="28"/>
                <w:szCs w:val="28"/>
              </w:rPr>
            </w:pPr>
            <w:r w:rsidRPr="006772A7">
              <w:rPr>
                <w:rFonts w:cs="Calibri"/>
                <w:b/>
                <w:bCs/>
                <w:sz w:val="28"/>
                <w:szCs w:val="28"/>
              </w:rPr>
              <w:t>Concepto</w:t>
            </w:r>
          </w:p>
        </w:tc>
        <w:tc>
          <w:tcPr>
            <w:tcW w:w="1944" w:type="dxa"/>
            <w:shd w:val="clear" w:color="auto" w:fill="D3DFEE"/>
          </w:tcPr>
          <w:p w:rsidR="00497DA0" w:rsidRPr="006772A7" w:rsidRDefault="00497DA0" w:rsidP="006919A9">
            <w:pPr>
              <w:tabs>
                <w:tab w:val="left" w:pos="1764"/>
              </w:tabs>
              <w:ind w:right="-234"/>
              <w:jc w:val="center"/>
              <w:rPr>
                <w:rFonts w:cs="Calibri"/>
                <w:b/>
                <w:bCs/>
                <w:sz w:val="28"/>
                <w:szCs w:val="28"/>
              </w:rPr>
            </w:pPr>
            <w:r w:rsidRPr="006772A7">
              <w:rPr>
                <w:rFonts w:cs="Calibri"/>
                <w:b/>
                <w:bCs/>
                <w:sz w:val="28"/>
                <w:szCs w:val="28"/>
              </w:rPr>
              <w:t>Recursos</w:t>
            </w:r>
          </w:p>
        </w:tc>
      </w:tr>
      <w:tr w:rsidR="00497DA0" w:rsidRPr="006772A7" w:rsidTr="006919A9">
        <w:trPr>
          <w:trHeight w:val="470"/>
          <w:jc w:val="center"/>
        </w:trPr>
        <w:tc>
          <w:tcPr>
            <w:tcW w:w="3299" w:type="dxa"/>
            <w:shd w:val="clear" w:color="auto" w:fill="A7BFD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Transporte escolar</w:t>
            </w:r>
          </w:p>
        </w:tc>
        <w:tc>
          <w:tcPr>
            <w:tcW w:w="1944" w:type="dxa"/>
            <w:shd w:val="clear" w:color="auto" w:fill="A7BFD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$648.376.729</w:t>
            </w:r>
          </w:p>
        </w:tc>
      </w:tr>
      <w:tr w:rsidR="00497DA0" w:rsidRPr="006772A7" w:rsidTr="006919A9">
        <w:trPr>
          <w:trHeight w:val="770"/>
          <w:jc w:val="center"/>
        </w:trPr>
        <w:tc>
          <w:tcPr>
            <w:tcW w:w="3299" w:type="dxa"/>
            <w:shd w:val="clear" w:color="auto" w:fill="D3DFE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Construcción, mejora y mantenimiento</w:t>
            </w:r>
          </w:p>
        </w:tc>
        <w:tc>
          <w:tcPr>
            <w:tcW w:w="1944" w:type="dxa"/>
            <w:shd w:val="clear" w:color="auto" w:fill="D3DFE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$1.072.949.626</w:t>
            </w:r>
          </w:p>
        </w:tc>
      </w:tr>
      <w:tr w:rsidR="00497DA0" w:rsidRPr="006772A7" w:rsidTr="006919A9">
        <w:trPr>
          <w:trHeight w:val="482"/>
          <w:jc w:val="center"/>
        </w:trPr>
        <w:tc>
          <w:tcPr>
            <w:tcW w:w="3299" w:type="dxa"/>
            <w:shd w:val="clear" w:color="auto" w:fill="A7BFD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Provisión de la canasta educativa</w:t>
            </w:r>
          </w:p>
        </w:tc>
        <w:tc>
          <w:tcPr>
            <w:tcW w:w="1944" w:type="dxa"/>
            <w:shd w:val="clear" w:color="auto" w:fill="A7BFD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$371.166.946</w:t>
            </w:r>
          </w:p>
        </w:tc>
      </w:tr>
      <w:tr w:rsidR="00497DA0" w:rsidRPr="006772A7" w:rsidTr="006919A9">
        <w:trPr>
          <w:trHeight w:val="770"/>
          <w:jc w:val="center"/>
        </w:trPr>
        <w:tc>
          <w:tcPr>
            <w:tcW w:w="3299" w:type="dxa"/>
            <w:shd w:val="clear" w:color="auto" w:fill="D3DFE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Herramientas educativas para la calidad</w:t>
            </w:r>
          </w:p>
        </w:tc>
        <w:tc>
          <w:tcPr>
            <w:tcW w:w="1944" w:type="dxa"/>
            <w:shd w:val="clear" w:color="auto" w:fill="D3DFE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$259.959.902</w:t>
            </w:r>
          </w:p>
        </w:tc>
      </w:tr>
      <w:tr w:rsidR="00497DA0" w:rsidRPr="006772A7" w:rsidTr="006919A9">
        <w:trPr>
          <w:trHeight w:val="770"/>
          <w:jc w:val="center"/>
        </w:trPr>
        <w:tc>
          <w:tcPr>
            <w:tcW w:w="3299" w:type="dxa"/>
            <w:shd w:val="clear" w:color="auto" w:fill="A7BFD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lastRenderedPageBreak/>
              <w:t>Servicios públicos de establecimientos educativos</w:t>
            </w:r>
          </w:p>
        </w:tc>
        <w:tc>
          <w:tcPr>
            <w:tcW w:w="1944" w:type="dxa"/>
            <w:shd w:val="clear" w:color="auto" w:fill="A7BFD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$400.399.968</w:t>
            </w:r>
          </w:p>
        </w:tc>
      </w:tr>
      <w:tr w:rsidR="00497DA0" w:rsidRPr="006772A7" w:rsidTr="006919A9">
        <w:trPr>
          <w:trHeight w:val="770"/>
          <w:jc w:val="center"/>
        </w:trPr>
        <w:tc>
          <w:tcPr>
            <w:tcW w:w="3299" w:type="dxa"/>
            <w:shd w:val="clear" w:color="auto" w:fill="D3DFE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Dotación de establecimientos educativos</w:t>
            </w:r>
          </w:p>
        </w:tc>
        <w:tc>
          <w:tcPr>
            <w:tcW w:w="1944" w:type="dxa"/>
            <w:shd w:val="clear" w:color="auto" w:fill="D3DFE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$162.245.620</w:t>
            </w:r>
          </w:p>
        </w:tc>
      </w:tr>
      <w:tr w:rsidR="00497DA0" w:rsidRPr="006772A7" w:rsidTr="006919A9">
        <w:trPr>
          <w:trHeight w:val="470"/>
          <w:jc w:val="center"/>
        </w:trPr>
        <w:tc>
          <w:tcPr>
            <w:tcW w:w="3299" w:type="dxa"/>
            <w:shd w:val="clear" w:color="auto" w:fill="A7BFD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Otros programas educativos</w:t>
            </w:r>
          </w:p>
        </w:tc>
        <w:tc>
          <w:tcPr>
            <w:tcW w:w="1944" w:type="dxa"/>
            <w:shd w:val="clear" w:color="auto" w:fill="A7BFD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$142.652.436</w:t>
            </w:r>
          </w:p>
        </w:tc>
      </w:tr>
      <w:tr w:rsidR="00497DA0" w:rsidRPr="006772A7" w:rsidTr="006919A9">
        <w:trPr>
          <w:trHeight w:val="482"/>
          <w:jc w:val="center"/>
        </w:trPr>
        <w:tc>
          <w:tcPr>
            <w:tcW w:w="3299" w:type="dxa"/>
            <w:shd w:val="clear" w:color="auto" w:fill="D3DFE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 xml:space="preserve">Alimentación </w:t>
            </w:r>
          </w:p>
        </w:tc>
        <w:tc>
          <w:tcPr>
            <w:tcW w:w="1944" w:type="dxa"/>
            <w:shd w:val="clear" w:color="auto" w:fill="D3DFE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$368.372.585</w:t>
            </w:r>
          </w:p>
        </w:tc>
      </w:tr>
      <w:tr w:rsidR="00497DA0" w:rsidRPr="006772A7" w:rsidTr="006919A9">
        <w:trPr>
          <w:trHeight w:val="470"/>
          <w:jc w:val="center"/>
        </w:trPr>
        <w:tc>
          <w:tcPr>
            <w:tcW w:w="3299" w:type="dxa"/>
            <w:shd w:val="clear" w:color="auto" w:fill="A7BFD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Restaurantes escolares</w:t>
            </w:r>
          </w:p>
        </w:tc>
        <w:tc>
          <w:tcPr>
            <w:tcW w:w="1944" w:type="dxa"/>
            <w:shd w:val="clear" w:color="auto" w:fill="A7BFD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$14.291.125</w:t>
            </w:r>
          </w:p>
        </w:tc>
      </w:tr>
      <w:tr w:rsidR="00497DA0" w:rsidRPr="006772A7" w:rsidTr="006919A9">
        <w:trPr>
          <w:trHeight w:val="470"/>
          <w:jc w:val="center"/>
        </w:trPr>
        <w:tc>
          <w:tcPr>
            <w:tcW w:w="3299" w:type="dxa"/>
            <w:shd w:val="clear" w:color="auto" w:fill="D3DFE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Transporte escolar</w:t>
            </w:r>
          </w:p>
        </w:tc>
        <w:tc>
          <w:tcPr>
            <w:tcW w:w="1944" w:type="dxa"/>
            <w:shd w:val="clear" w:color="auto" w:fill="D3DFE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$318.533.268</w:t>
            </w:r>
          </w:p>
        </w:tc>
      </w:tr>
      <w:tr w:rsidR="00497DA0" w:rsidRPr="006772A7" w:rsidTr="006919A9">
        <w:trPr>
          <w:trHeight w:val="482"/>
          <w:jc w:val="center"/>
        </w:trPr>
        <w:tc>
          <w:tcPr>
            <w:tcW w:w="3299" w:type="dxa"/>
            <w:shd w:val="clear" w:color="auto" w:fill="A7BFDE"/>
          </w:tcPr>
          <w:p w:rsidR="00497DA0" w:rsidRPr="006772A7" w:rsidRDefault="00497DA0" w:rsidP="006919A9">
            <w:pPr>
              <w:tabs>
                <w:tab w:val="left" w:pos="1764"/>
              </w:tabs>
              <w:ind w:right="-234"/>
              <w:rPr>
                <w:rFonts w:cs="Calibri"/>
                <w:b/>
                <w:bCs/>
                <w:sz w:val="28"/>
                <w:szCs w:val="28"/>
              </w:rPr>
            </w:pPr>
            <w:r w:rsidRPr="006772A7">
              <w:rPr>
                <w:rFonts w:cs="Calibri"/>
                <w:b/>
                <w:bCs/>
                <w:sz w:val="28"/>
                <w:szCs w:val="28"/>
              </w:rPr>
              <w:t>Aportes a la gratuidad</w:t>
            </w:r>
          </w:p>
        </w:tc>
        <w:tc>
          <w:tcPr>
            <w:tcW w:w="1944" w:type="dxa"/>
            <w:shd w:val="clear" w:color="auto" w:fill="A7BFDE"/>
          </w:tcPr>
          <w:p w:rsidR="00497DA0" w:rsidRPr="006772A7" w:rsidRDefault="00497DA0" w:rsidP="006919A9">
            <w:pPr>
              <w:tabs>
                <w:tab w:val="left" w:pos="1764"/>
              </w:tabs>
              <w:ind w:right="-234"/>
              <w:jc w:val="right"/>
              <w:rPr>
                <w:rFonts w:cs="Calibri"/>
                <w:sz w:val="28"/>
                <w:szCs w:val="28"/>
              </w:rPr>
            </w:pPr>
            <w:r w:rsidRPr="006772A7">
              <w:rPr>
                <w:rFonts w:cs="Calibri"/>
                <w:sz w:val="28"/>
                <w:szCs w:val="28"/>
              </w:rPr>
              <w:t>$1203.939.000</w:t>
            </w:r>
          </w:p>
        </w:tc>
      </w:tr>
    </w:tbl>
    <w:p w:rsidR="00497DA0" w:rsidRPr="006772A7" w:rsidRDefault="00497DA0" w:rsidP="00497DA0">
      <w:pPr>
        <w:tabs>
          <w:tab w:val="left" w:pos="1764"/>
        </w:tabs>
        <w:ind w:left="360" w:right="-234"/>
        <w:jc w:val="both"/>
        <w:rPr>
          <w:rFonts w:cs="Calibri"/>
          <w:sz w:val="28"/>
          <w:szCs w:val="28"/>
        </w:rPr>
      </w:pPr>
    </w:p>
    <w:p w:rsidR="00497DA0" w:rsidRPr="006772A7" w:rsidRDefault="00497DA0" w:rsidP="00497DA0">
      <w:pPr>
        <w:tabs>
          <w:tab w:val="left" w:pos="1764"/>
        </w:tabs>
        <w:ind w:left="360" w:right="-234"/>
        <w:jc w:val="both"/>
        <w:rPr>
          <w:rFonts w:cs="Calibri"/>
          <w:sz w:val="28"/>
          <w:szCs w:val="28"/>
        </w:rPr>
      </w:pPr>
    </w:p>
    <w:p w:rsidR="00497DA0" w:rsidRPr="006772A7" w:rsidRDefault="00497DA0" w:rsidP="00497DA0">
      <w:pPr>
        <w:tabs>
          <w:tab w:val="left" w:pos="1764"/>
        </w:tabs>
        <w:ind w:left="360" w:right="-234"/>
        <w:jc w:val="both"/>
        <w:rPr>
          <w:rFonts w:cs="Calibri"/>
          <w:sz w:val="28"/>
          <w:szCs w:val="28"/>
        </w:rPr>
      </w:pPr>
    </w:p>
    <w:p w:rsidR="00497DA0" w:rsidRPr="006772A7" w:rsidRDefault="00497DA0" w:rsidP="00497DA0">
      <w:pPr>
        <w:tabs>
          <w:tab w:val="left" w:pos="1764"/>
        </w:tabs>
        <w:ind w:left="360" w:right="-234"/>
        <w:jc w:val="both"/>
        <w:rPr>
          <w:rFonts w:cs="Calibri"/>
          <w:sz w:val="28"/>
          <w:szCs w:val="28"/>
        </w:rPr>
      </w:pPr>
    </w:p>
    <w:p w:rsidR="00497DA0" w:rsidRPr="006772A7" w:rsidRDefault="00497DA0" w:rsidP="00497DA0">
      <w:pPr>
        <w:tabs>
          <w:tab w:val="left" w:pos="1764"/>
        </w:tabs>
        <w:ind w:left="360" w:right="-234"/>
        <w:jc w:val="both"/>
        <w:rPr>
          <w:rFonts w:cs="Calibri"/>
          <w:sz w:val="28"/>
          <w:szCs w:val="28"/>
        </w:rPr>
      </w:pPr>
      <w:r w:rsidRPr="006772A7">
        <w:rPr>
          <w:rFonts w:cs="Calibri"/>
          <w:sz w:val="28"/>
          <w:szCs w:val="28"/>
        </w:rPr>
        <w:t>Según cifras del DANE, la tasa de analfabetismo en el municipio es de 6,8% en niños mayores de 5 años y de 5,8 en personas mayores de 15 años.</w:t>
      </w:r>
      <w:r>
        <w:rPr>
          <w:rFonts w:cs="Calibri"/>
          <w:noProof/>
          <w:sz w:val="28"/>
          <w:szCs w:val="28"/>
          <w:lang w:eastAsia="es-CO"/>
        </w:rPr>
        <w:drawing>
          <wp:anchor distT="0" distB="0" distL="114300" distR="114300" simplePos="0" relativeHeight="251660288" behindDoc="1" locked="0" layoutInCell="1" allowOverlap="1">
            <wp:simplePos x="0" y="0"/>
            <wp:positionH relativeFrom="column">
              <wp:posOffset>229870</wp:posOffset>
            </wp:positionH>
            <wp:positionV relativeFrom="paragraph">
              <wp:posOffset>6985</wp:posOffset>
            </wp:positionV>
            <wp:extent cx="1820545" cy="1243965"/>
            <wp:effectExtent l="0" t="0" r="8255" b="0"/>
            <wp:wrapSquare wrapText="bothSides"/>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0545" cy="1243965"/>
                    </a:xfrm>
                    <a:prstGeom prst="rect">
                      <a:avLst/>
                    </a:prstGeom>
                    <a:noFill/>
                    <a:ln>
                      <a:noFill/>
                    </a:ln>
                  </pic:spPr>
                </pic:pic>
              </a:graphicData>
            </a:graphic>
          </wp:anchor>
        </w:drawing>
      </w:r>
      <w:r w:rsidRPr="006772A7">
        <w:rPr>
          <w:rFonts w:cs="Calibri"/>
          <w:sz w:val="28"/>
          <w:szCs w:val="28"/>
        </w:rPr>
        <w:t xml:space="preserve"> </w:t>
      </w: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r w:rsidRPr="006772A7">
        <w:rPr>
          <w:rFonts w:cs="Calibri"/>
          <w:sz w:val="28"/>
          <w:szCs w:val="28"/>
        </w:rPr>
        <w:t>Fuente DANE</w:t>
      </w:r>
    </w:p>
    <w:p w:rsidR="00497DA0" w:rsidRPr="006772A7" w:rsidRDefault="00497DA0" w:rsidP="00497DA0">
      <w:pPr>
        <w:ind w:right="-234"/>
        <w:rPr>
          <w:rFonts w:cs="Calibri"/>
          <w:sz w:val="28"/>
          <w:szCs w:val="28"/>
        </w:rPr>
      </w:pPr>
    </w:p>
    <w:p w:rsidR="00497DA0" w:rsidRPr="006772A7" w:rsidRDefault="00497DA0" w:rsidP="00497DA0">
      <w:pPr>
        <w:tabs>
          <w:tab w:val="left" w:pos="1764"/>
        </w:tabs>
        <w:ind w:left="360" w:right="-234"/>
        <w:jc w:val="both"/>
        <w:rPr>
          <w:rFonts w:cs="Calibri"/>
          <w:sz w:val="28"/>
          <w:szCs w:val="28"/>
        </w:rPr>
      </w:pPr>
      <w:r>
        <w:rPr>
          <w:rFonts w:cs="Calibri"/>
          <w:noProof/>
          <w:sz w:val="28"/>
          <w:szCs w:val="28"/>
          <w:lang w:eastAsia="es-CO"/>
        </w:rPr>
        <w:drawing>
          <wp:anchor distT="0" distB="0" distL="114300" distR="114300" simplePos="0" relativeHeight="251661312" behindDoc="1" locked="0" layoutInCell="1" allowOverlap="1">
            <wp:simplePos x="0" y="0"/>
            <wp:positionH relativeFrom="column">
              <wp:posOffset>229870</wp:posOffset>
            </wp:positionH>
            <wp:positionV relativeFrom="paragraph">
              <wp:posOffset>1905</wp:posOffset>
            </wp:positionV>
            <wp:extent cx="1737995" cy="1083310"/>
            <wp:effectExtent l="0" t="0" r="0" b="2540"/>
            <wp:wrapSquare wrapText="bothSides"/>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7995" cy="1083310"/>
                    </a:xfrm>
                    <a:prstGeom prst="rect">
                      <a:avLst/>
                    </a:prstGeom>
                    <a:noFill/>
                    <a:ln>
                      <a:noFill/>
                    </a:ln>
                  </pic:spPr>
                </pic:pic>
              </a:graphicData>
            </a:graphic>
          </wp:anchor>
        </w:drawing>
      </w:r>
      <w:r w:rsidRPr="006772A7">
        <w:rPr>
          <w:rFonts w:cs="Calibri"/>
          <w:sz w:val="28"/>
          <w:szCs w:val="28"/>
        </w:rPr>
        <w:t xml:space="preserve">El 60% de la población entre 3 y 24 años asiste a un establecimiento educativo formal. </w:t>
      </w:r>
    </w:p>
    <w:p w:rsidR="00497DA0" w:rsidRPr="006772A7" w:rsidRDefault="00497DA0" w:rsidP="00497DA0">
      <w:pPr>
        <w:tabs>
          <w:tab w:val="left" w:pos="934"/>
        </w:tabs>
        <w:ind w:right="-234"/>
        <w:rPr>
          <w:rFonts w:cs="Calibri"/>
          <w:sz w:val="28"/>
          <w:szCs w:val="28"/>
        </w:rPr>
      </w:pPr>
    </w:p>
    <w:p w:rsidR="00497DA0" w:rsidRPr="006772A7" w:rsidRDefault="00497DA0" w:rsidP="00497DA0">
      <w:pPr>
        <w:tabs>
          <w:tab w:val="left" w:pos="934"/>
        </w:tabs>
        <w:ind w:right="-234"/>
        <w:rPr>
          <w:rFonts w:cs="Calibri"/>
          <w:sz w:val="28"/>
          <w:szCs w:val="28"/>
        </w:rPr>
      </w:pPr>
    </w:p>
    <w:p w:rsidR="00497DA0" w:rsidRPr="006772A7" w:rsidRDefault="00497DA0" w:rsidP="00497DA0">
      <w:pPr>
        <w:tabs>
          <w:tab w:val="left" w:pos="934"/>
        </w:tabs>
        <w:ind w:right="-234"/>
        <w:rPr>
          <w:rFonts w:cs="Calibri"/>
          <w:sz w:val="28"/>
          <w:szCs w:val="28"/>
        </w:rPr>
      </w:pPr>
      <w:r>
        <w:rPr>
          <w:rFonts w:cs="Calibri"/>
          <w:noProof/>
          <w:sz w:val="28"/>
          <w:szCs w:val="28"/>
          <w:lang w:eastAsia="es-CO"/>
        </w:rPr>
        <w:drawing>
          <wp:anchor distT="0" distB="0" distL="114300" distR="114300" simplePos="0" relativeHeight="251662336" behindDoc="0" locked="0" layoutInCell="1" allowOverlap="1">
            <wp:simplePos x="0" y="0"/>
            <wp:positionH relativeFrom="margin">
              <wp:posOffset>-170180</wp:posOffset>
            </wp:positionH>
            <wp:positionV relativeFrom="margin">
              <wp:posOffset>5255895</wp:posOffset>
            </wp:positionV>
            <wp:extent cx="2023745" cy="1701165"/>
            <wp:effectExtent l="0" t="0" r="0" b="0"/>
            <wp:wrapSquare wrapText="bothSides"/>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3745" cy="1701165"/>
                    </a:xfrm>
                    <a:prstGeom prst="rect">
                      <a:avLst/>
                    </a:prstGeom>
                    <a:noFill/>
                    <a:ln>
                      <a:noFill/>
                    </a:ln>
                  </pic:spPr>
                </pic:pic>
              </a:graphicData>
            </a:graphic>
          </wp:anchor>
        </w:drawing>
      </w:r>
      <w:r w:rsidRPr="006772A7">
        <w:rPr>
          <w:rFonts w:cs="Calibri"/>
          <w:sz w:val="28"/>
          <w:szCs w:val="28"/>
        </w:rPr>
        <w:t>Fuente DANE</w:t>
      </w:r>
    </w:p>
    <w:p w:rsidR="00497DA0" w:rsidRPr="006772A7" w:rsidRDefault="00497DA0" w:rsidP="00497DA0">
      <w:pPr>
        <w:tabs>
          <w:tab w:val="left" w:pos="3516"/>
        </w:tabs>
        <w:ind w:right="-234"/>
        <w:jc w:val="both"/>
        <w:rPr>
          <w:rFonts w:cs="Calibri"/>
          <w:sz w:val="28"/>
          <w:szCs w:val="28"/>
        </w:rPr>
      </w:pPr>
      <w:r w:rsidRPr="006772A7">
        <w:rPr>
          <w:rFonts w:cs="Calibri"/>
          <w:sz w:val="28"/>
          <w:szCs w:val="28"/>
        </w:rPr>
        <w:t xml:space="preserve">El 51,9%  de la población residente en RIOSUCIO, ha alcanzado el nivel básica primaria; el 28,6%  ha alcanzado secundaria y el 4,2% el nivel superior y postgrado. La población residente sin ningún nivel educativo es el  8,6%.  </w:t>
      </w:r>
    </w:p>
    <w:p w:rsidR="00497DA0" w:rsidRPr="006772A7" w:rsidRDefault="00497DA0" w:rsidP="00497DA0">
      <w:pPr>
        <w:tabs>
          <w:tab w:val="left" w:pos="3386"/>
        </w:tabs>
        <w:ind w:right="-234"/>
        <w:jc w:val="center"/>
        <w:rPr>
          <w:rFonts w:cs="Calibri"/>
          <w:sz w:val="28"/>
          <w:szCs w:val="28"/>
        </w:rPr>
      </w:pPr>
      <w:r w:rsidRPr="006772A7">
        <w:rPr>
          <w:rFonts w:cs="Calibri"/>
          <w:sz w:val="28"/>
          <w:szCs w:val="28"/>
        </w:rPr>
        <w:t xml:space="preserve">                                                                               </w:t>
      </w:r>
    </w:p>
    <w:p w:rsidR="00497DA0" w:rsidRPr="006772A7" w:rsidRDefault="00497DA0" w:rsidP="00497DA0">
      <w:pPr>
        <w:tabs>
          <w:tab w:val="left" w:pos="3386"/>
        </w:tabs>
        <w:ind w:right="-234"/>
        <w:jc w:val="right"/>
        <w:rPr>
          <w:rFonts w:cs="Calibri"/>
          <w:sz w:val="28"/>
          <w:szCs w:val="28"/>
        </w:rPr>
      </w:pPr>
      <w:r w:rsidRPr="006772A7">
        <w:rPr>
          <w:rFonts w:cs="Calibri"/>
          <w:sz w:val="28"/>
          <w:szCs w:val="28"/>
        </w:rPr>
        <w:t>Fuente: DANE.</w:t>
      </w:r>
    </w:p>
    <w:p w:rsidR="00497DA0" w:rsidRPr="006772A7" w:rsidRDefault="00497DA0" w:rsidP="00497DA0">
      <w:pPr>
        <w:tabs>
          <w:tab w:val="left" w:pos="3386"/>
        </w:tabs>
        <w:ind w:right="-234"/>
        <w:rPr>
          <w:rFonts w:cs="Calibri"/>
          <w:sz w:val="28"/>
          <w:szCs w:val="28"/>
        </w:rPr>
      </w:pPr>
    </w:p>
    <w:p w:rsidR="00497DA0" w:rsidRPr="006772A7" w:rsidRDefault="00497DA0" w:rsidP="00497DA0">
      <w:pPr>
        <w:tabs>
          <w:tab w:val="left" w:pos="3386"/>
        </w:tabs>
        <w:ind w:right="-234"/>
        <w:rPr>
          <w:rFonts w:cs="Calibri"/>
          <w:sz w:val="28"/>
          <w:szCs w:val="28"/>
        </w:rPr>
      </w:pPr>
    </w:p>
    <w:p w:rsidR="00497DA0" w:rsidRPr="006772A7" w:rsidRDefault="00497DA0" w:rsidP="00497DA0">
      <w:pPr>
        <w:tabs>
          <w:tab w:val="left" w:pos="3386"/>
        </w:tabs>
        <w:ind w:right="-234"/>
        <w:rPr>
          <w:rFonts w:cs="Calibri"/>
          <w:sz w:val="28"/>
          <w:szCs w:val="28"/>
        </w:rPr>
      </w:pPr>
    </w:p>
    <w:p w:rsidR="00497DA0" w:rsidRPr="006772A7" w:rsidRDefault="00497DA0" w:rsidP="00497DA0">
      <w:pPr>
        <w:tabs>
          <w:tab w:val="left" w:pos="3386"/>
        </w:tabs>
        <w:ind w:right="-234"/>
        <w:rPr>
          <w:rFonts w:cs="Calibri"/>
          <w:sz w:val="28"/>
          <w:szCs w:val="28"/>
        </w:rPr>
      </w:pPr>
    </w:p>
    <w:p w:rsidR="00497DA0" w:rsidRPr="006772A7" w:rsidRDefault="00497DA0" w:rsidP="00497DA0">
      <w:pPr>
        <w:tabs>
          <w:tab w:val="left" w:pos="3386"/>
        </w:tabs>
        <w:ind w:right="-234"/>
        <w:rPr>
          <w:rFonts w:cs="Calibri"/>
          <w:sz w:val="28"/>
          <w:szCs w:val="28"/>
        </w:rPr>
      </w:pPr>
      <w:r w:rsidRPr="006772A7">
        <w:rPr>
          <w:rFonts w:cs="Calibri"/>
          <w:sz w:val="28"/>
          <w:szCs w:val="28"/>
        </w:rPr>
        <w:t>3.1.2 Cobertura:</w:t>
      </w:r>
    </w:p>
    <w:p w:rsidR="00497DA0" w:rsidRPr="006772A7" w:rsidRDefault="00497DA0" w:rsidP="00497DA0">
      <w:pPr>
        <w:tabs>
          <w:tab w:val="left" w:pos="3386"/>
        </w:tabs>
        <w:ind w:right="-234"/>
        <w:jc w:val="center"/>
        <w:rPr>
          <w:rFonts w:cs="Calibri"/>
          <w:sz w:val="28"/>
          <w:szCs w:val="28"/>
        </w:rPr>
      </w:pPr>
      <w:r w:rsidRPr="006772A7">
        <w:rPr>
          <w:rFonts w:cs="Calibri"/>
          <w:sz w:val="28"/>
          <w:szCs w:val="28"/>
        </w:rPr>
        <w:t xml:space="preserve">Con referencia a la cobertura, la administración nos arroja los siguientes datos: </w:t>
      </w:r>
    </w:p>
    <w:p w:rsidR="00497DA0" w:rsidRPr="006772A7" w:rsidRDefault="00497DA0" w:rsidP="00497DA0">
      <w:pPr>
        <w:ind w:right="-234"/>
        <w:rPr>
          <w:rFonts w:cs="Calibri"/>
          <w:sz w:val="28"/>
          <w:szCs w:val="28"/>
        </w:rPr>
      </w:pPr>
      <w:r>
        <w:rPr>
          <w:rFonts w:cs="Calibri"/>
          <w:noProof/>
          <w:sz w:val="28"/>
          <w:szCs w:val="28"/>
          <w:lang w:eastAsia="es-CO"/>
        </w:rPr>
        <w:drawing>
          <wp:anchor distT="3187" distB="0" distL="119624" distR="115964" simplePos="0" relativeHeight="251665408" behindDoc="1" locked="0" layoutInCell="1" allowOverlap="1">
            <wp:simplePos x="0" y="0"/>
            <wp:positionH relativeFrom="column">
              <wp:posOffset>3011414</wp:posOffset>
            </wp:positionH>
            <wp:positionV relativeFrom="paragraph">
              <wp:posOffset>248297</wp:posOffset>
            </wp:positionV>
            <wp:extent cx="1755140" cy="1124585"/>
            <wp:effectExtent l="0" t="0" r="16510" b="18415"/>
            <wp:wrapTight wrapText="bothSides">
              <wp:wrapPolygon edited="0">
                <wp:start x="234" y="0"/>
                <wp:lineTo x="0" y="1098"/>
                <wp:lineTo x="0" y="20490"/>
                <wp:lineTo x="234" y="21588"/>
                <wp:lineTo x="21334" y="21588"/>
                <wp:lineTo x="21569" y="20856"/>
                <wp:lineTo x="21569" y="732"/>
                <wp:lineTo x="21100" y="0"/>
                <wp:lineTo x="234" y="0"/>
              </wp:wrapPolygon>
            </wp:wrapTight>
            <wp:docPr id="26" name="Gráfico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cs="Calibri"/>
          <w:noProof/>
          <w:sz w:val="28"/>
          <w:szCs w:val="28"/>
          <w:lang w:eastAsia="es-CO"/>
        </w:rPr>
        <w:drawing>
          <wp:anchor distT="3175" distB="992" distL="119524" distR="117565" simplePos="0" relativeHeight="251664384" behindDoc="1" locked="0" layoutInCell="1" allowOverlap="1">
            <wp:simplePos x="0" y="0"/>
            <wp:positionH relativeFrom="column">
              <wp:posOffset>572279</wp:posOffset>
            </wp:positionH>
            <wp:positionV relativeFrom="paragraph">
              <wp:posOffset>248285</wp:posOffset>
            </wp:positionV>
            <wp:extent cx="1745615" cy="1123950"/>
            <wp:effectExtent l="0" t="0" r="26035" b="19050"/>
            <wp:wrapTight wrapText="bothSides">
              <wp:wrapPolygon edited="0">
                <wp:start x="236" y="0"/>
                <wp:lineTo x="0" y="1098"/>
                <wp:lineTo x="0" y="20502"/>
                <wp:lineTo x="236" y="21600"/>
                <wp:lineTo x="21451" y="21600"/>
                <wp:lineTo x="21686" y="20868"/>
                <wp:lineTo x="21686" y="732"/>
                <wp:lineTo x="21215" y="0"/>
                <wp:lineTo x="236" y="0"/>
              </wp:wrapPolygon>
            </wp:wrapTight>
            <wp:docPr id="25" name="Gráfico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r>
        <w:rPr>
          <w:rFonts w:cs="Calibri"/>
          <w:noProof/>
          <w:sz w:val="28"/>
          <w:szCs w:val="28"/>
          <w:lang w:eastAsia="es-CO"/>
        </w:rPr>
        <w:drawing>
          <wp:anchor distT="3224" distB="0" distL="120298" distR="115987" simplePos="0" relativeHeight="251663360" behindDoc="0" locked="0" layoutInCell="1" allowOverlap="1">
            <wp:simplePos x="0" y="0"/>
            <wp:positionH relativeFrom="column">
              <wp:posOffset>1720498</wp:posOffset>
            </wp:positionH>
            <wp:positionV relativeFrom="paragraph">
              <wp:posOffset>-105996</wp:posOffset>
            </wp:positionV>
            <wp:extent cx="2018030" cy="1124585"/>
            <wp:effectExtent l="0" t="0" r="20320" b="18415"/>
            <wp:wrapSquare wrapText="right"/>
            <wp:docPr id="24" name="Gráfico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p>
    <w:p w:rsidR="00497DA0" w:rsidRPr="006772A7" w:rsidRDefault="00497DA0" w:rsidP="00497DA0">
      <w:pPr>
        <w:ind w:right="-234"/>
        <w:rPr>
          <w:rFonts w:cs="Calibri"/>
          <w:sz w:val="28"/>
          <w:szCs w:val="28"/>
        </w:rPr>
      </w:pPr>
      <w:r w:rsidRPr="006772A7">
        <w:rPr>
          <w:rFonts w:cs="Calibri"/>
          <w:sz w:val="28"/>
          <w:szCs w:val="28"/>
        </w:rPr>
        <w:t>3.1.3 Calidad:</w:t>
      </w:r>
    </w:p>
    <w:p w:rsidR="00497DA0" w:rsidRPr="006772A7" w:rsidRDefault="00497DA0" w:rsidP="00497DA0">
      <w:pPr>
        <w:ind w:right="-234"/>
        <w:jc w:val="both"/>
        <w:rPr>
          <w:rFonts w:cs="Calibri"/>
          <w:sz w:val="28"/>
          <w:szCs w:val="28"/>
        </w:rPr>
      </w:pPr>
      <w:r w:rsidRPr="006772A7">
        <w:rPr>
          <w:rFonts w:cs="Calibri"/>
          <w:sz w:val="28"/>
          <w:szCs w:val="28"/>
        </w:rPr>
        <w:t xml:space="preserve">El municipio de Riosucio no está certificado en materia educativa, solo hay dos instituciones educativas certificadas: la Normal Superior  en calidad y la Institución Educativa Riosucio en el modelo europeo FQM. Los niveles de repitencia han disminuido significativamente. Dado lo fluctuante de la planta docente, es difícil que los profesores se involucren de lleno con los procesos y actividades comunitarias que se originan en el sector educativo. </w:t>
      </w:r>
    </w:p>
    <w:p w:rsidR="00497DA0" w:rsidRPr="006772A7" w:rsidRDefault="00497DA0" w:rsidP="00497DA0">
      <w:pPr>
        <w:ind w:right="-234"/>
        <w:jc w:val="both"/>
        <w:rPr>
          <w:rFonts w:cs="Calibri"/>
          <w:sz w:val="28"/>
          <w:szCs w:val="28"/>
        </w:rPr>
      </w:pPr>
      <w:r w:rsidRPr="006772A7">
        <w:rPr>
          <w:rFonts w:cs="Calibri"/>
          <w:sz w:val="28"/>
          <w:szCs w:val="28"/>
        </w:rPr>
        <w:t>Pese a que la planta de docentes del municipio está calificada para el cumplimiento de sus funciones como educadores, existe una sobredemanda de profesionales calificados en las áreas de ciencias sociales y un déficit importante de profesores calificados en áreas como física, matemáticas e inglés.</w:t>
      </w:r>
    </w:p>
    <w:p w:rsidR="00497DA0" w:rsidRPr="006772A7" w:rsidRDefault="00497DA0" w:rsidP="00497DA0">
      <w:pPr>
        <w:ind w:right="-234"/>
        <w:jc w:val="both"/>
        <w:rPr>
          <w:rFonts w:cs="Calibri"/>
          <w:sz w:val="28"/>
          <w:szCs w:val="28"/>
        </w:rPr>
      </w:pPr>
      <w:r w:rsidRPr="006772A7">
        <w:rPr>
          <w:rFonts w:cs="Calibri"/>
          <w:sz w:val="28"/>
          <w:szCs w:val="28"/>
        </w:rPr>
        <w:t>Por otro lado, los procesos de profesionalización en los jóvenes riosuceños aún es débil dada la ausencia de planificación y concertación. La respuesta  a la educación profesional que se brinda a través de los  CERES es muy limitada y no obedece las necesidades formativas de la población de bajos recursos económicos.</w:t>
      </w:r>
    </w:p>
    <w:p w:rsidR="00497DA0" w:rsidRPr="006772A7" w:rsidRDefault="00497DA0" w:rsidP="00497DA0">
      <w:pPr>
        <w:ind w:right="-234"/>
        <w:jc w:val="both"/>
        <w:rPr>
          <w:rFonts w:cs="Calibri"/>
          <w:sz w:val="28"/>
          <w:szCs w:val="28"/>
        </w:rPr>
      </w:pPr>
      <w:r w:rsidRPr="006772A7">
        <w:rPr>
          <w:rFonts w:cs="Calibri"/>
          <w:sz w:val="28"/>
          <w:szCs w:val="28"/>
        </w:rPr>
        <w:t xml:space="preserve">Con referencia a las comunidades indígenas del municipio, es preciso señalar que aunque en estas se adelantan procesos propios de educación y </w:t>
      </w:r>
      <w:proofErr w:type="spellStart"/>
      <w:r w:rsidRPr="006772A7">
        <w:rPr>
          <w:rFonts w:cs="Calibri"/>
          <w:sz w:val="28"/>
          <w:szCs w:val="28"/>
        </w:rPr>
        <w:t>etnoeducación</w:t>
      </w:r>
      <w:proofErr w:type="spellEnd"/>
      <w:r w:rsidRPr="006772A7">
        <w:rPr>
          <w:rFonts w:cs="Calibri"/>
          <w:sz w:val="28"/>
          <w:szCs w:val="28"/>
        </w:rPr>
        <w:t xml:space="preserve">, no existen políticas públicas que fortalezcan e integren estos procesos a la educación clásica. </w:t>
      </w:r>
    </w:p>
    <w:p w:rsidR="00497DA0" w:rsidRPr="006772A7" w:rsidRDefault="00497DA0" w:rsidP="00497DA0">
      <w:pPr>
        <w:ind w:right="-234"/>
        <w:jc w:val="both"/>
        <w:rPr>
          <w:rFonts w:cs="Calibri"/>
          <w:sz w:val="28"/>
          <w:szCs w:val="28"/>
        </w:rPr>
      </w:pPr>
      <w:r w:rsidRPr="006772A7">
        <w:rPr>
          <w:rFonts w:cs="Calibri"/>
          <w:sz w:val="28"/>
          <w:szCs w:val="28"/>
        </w:rPr>
        <w:t xml:space="preserve">La participación de los padres en los procesos de aprendizaje de los niños en edad escolar es muy limitada, lo que impide procesos de formación complementaria en el hogar. No se han generado estrategias que permitan involucrar a los padres de familia como sujetos activos dentro del proceso de </w:t>
      </w:r>
      <w:proofErr w:type="gramStart"/>
      <w:r w:rsidRPr="006772A7">
        <w:rPr>
          <w:rFonts w:cs="Calibri"/>
          <w:sz w:val="28"/>
          <w:szCs w:val="28"/>
        </w:rPr>
        <w:t>aprendizaje de los niños, niñas y adolecentes</w:t>
      </w:r>
      <w:proofErr w:type="gramEnd"/>
      <w:r w:rsidRPr="006772A7">
        <w:rPr>
          <w:rFonts w:cs="Calibri"/>
          <w:sz w:val="28"/>
          <w:szCs w:val="28"/>
        </w:rPr>
        <w:t>.</w:t>
      </w:r>
    </w:p>
    <w:p w:rsidR="00497DA0" w:rsidRPr="006772A7" w:rsidRDefault="00497DA0" w:rsidP="00497DA0">
      <w:pPr>
        <w:ind w:right="-234"/>
        <w:jc w:val="both"/>
        <w:rPr>
          <w:rFonts w:cs="Calibri"/>
          <w:sz w:val="28"/>
          <w:szCs w:val="28"/>
        </w:rPr>
      </w:pPr>
      <w:r w:rsidRPr="006772A7">
        <w:rPr>
          <w:rFonts w:cs="Calibri"/>
          <w:sz w:val="28"/>
          <w:szCs w:val="28"/>
        </w:rPr>
        <w:lastRenderedPageBreak/>
        <w:t>3.1.4 Infraestructura.</w:t>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 xml:space="preserve">El municipio cuenta con   un total de 367 aulas de las cuales 123  pertenecen a la zona urbana y miden 4.978 </w:t>
      </w:r>
      <w:proofErr w:type="spellStart"/>
      <w:r w:rsidRPr="006772A7">
        <w:rPr>
          <w:rFonts w:eastAsia="Times New Roman" w:cs="Calibri"/>
          <w:color w:val="000000"/>
          <w:sz w:val="28"/>
          <w:szCs w:val="28"/>
          <w:lang w:eastAsia="es-CO"/>
        </w:rPr>
        <w:t>mts</w:t>
      </w:r>
      <w:proofErr w:type="spellEnd"/>
      <w:r w:rsidRPr="006772A7">
        <w:rPr>
          <w:rFonts w:eastAsia="Times New Roman" w:cs="Calibri"/>
          <w:color w:val="000000"/>
          <w:sz w:val="28"/>
          <w:szCs w:val="28"/>
          <w:lang w:eastAsia="es-CO"/>
        </w:rPr>
        <w:t xml:space="preserve"> 2 lo que equivale a 1.11 mts2 por estudiante. En la zona rural existen  244  aulas y corresponden a 8035  mts2, lo que equivale a  1.30 mts2 por estudiante,  Riosucio se encuentra por debajo del nivel mínimo que según  lo establecido por el MEN es de 1.5% por estudiante. Son evidentes las condiciones de hacinamiento al interior de las aulas educativas del municipio, especialmente en la zona urbana.</w:t>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Las prioridades establecidas por el municipio para la intervención de la infraestructura educativa son : adecuación restaurante escolar: 5 sedes (5.2%), baterías sanitarias: 14.7%, pintura: 14.7%,  espacios administrativos:  7,3%,  estudio de sismicidad: 100%,  cerramiento: 9.4%,  cielo raso y techos: 19 %, reubicación de sedes: 4.2%, construcción laboratorio: 2,1%, construcción aulas de clase: 18,9%, estabilización del terreno y reforzamiento: 5,2%, reparación alcantarillado: 2,1%, impermeabilización de paredes: 2%, canaletas de aguas lluvias: 2,1%, puertas metálicas: 4%, reparación de redes eléctricas: 4,2%, escenarios deportivos: 10%,  material didáctico: 14.7%, material audiovisual: 46,3%, muebles y enseres: 64,2%, dotación de textos bibliotecas centrales 100%, dotación de laboratorio: 10,5%, dotación de restaurante escolar: 11.5%, implementos deportivos 10,5%, computadores: 24,2%, acceso a internet (conectividad):11,5%.</w:t>
      </w:r>
    </w:p>
    <w:p w:rsidR="00497DA0" w:rsidRPr="006772A7" w:rsidRDefault="00497DA0" w:rsidP="00497DA0">
      <w:pPr>
        <w:numPr>
          <w:ilvl w:val="1"/>
          <w:numId w:val="1"/>
        </w:num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Debilidades.</w:t>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Como se estableció en párrafos precedentes  el municipio de Riosucio carece de docentes formados profesionalmente en áreas relacionadas con ciencias puras, la oferta de docentes se concentra en áreas relacionadas con ciencias sociales, por tal razón, las instituciones educativas disminuyen su nivel de competitividad frente a otros municipios y con relación al departamento de Caldas en general, así lo muestra el resultado de las pruebas saber 2011:</w:t>
      </w:r>
    </w:p>
    <w:p w:rsidR="00497DA0" w:rsidRPr="006772A7" w:rsidRDefault="00497DA0" w:rsidP="00497DA0">
      <w:pPr>
        <w:ind w:right="-234"/>
        <w:jc w:val="center"/>
        <w:rPr>
          <w:rFonts w:eastAsia="Times New Roman" w:cs="Calibri"/>
          <w:color w:val="000000"/>
          <w:sz w:val="28"/>
          <w:szCs w:val="28"/>
          <w:lang w:eastAsia="es-CO"/>
        </w:rPr>
      </w:pPr>
      <w:r>
        <w:rPr>
          <w:rFonts w:eastAsia="Times New Roman" w:cs="Calibri"/>
          <w:noProof/>
          <w:color w:val="000000"/>
          <w:sz w:val="28"/>
          <w:szCs w:val="28"/>
          <w:lang w:eastAsia="es-CO"/>
        </w:rPr>
        <w:lastRenderedPageBreak/>
        <w:drawing>
          <wp:inline distT="0" distB="0" distL="0" distR="0">
            <wp:extent cx="2117090" cy="1255395"/>
            <wp:effectExtent l="0" t="0" r="16510" b="20955"/>
            <wp:docPr id="12" name="Gráfico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El año 2011 presentó una reducción en el número de alumnos matriculados con respecto a 2009 y 2010, este hecho evidencia falencias en materia de acceso a la educación, las cuales tienen que ver principalmente con: falta de recursos económicos para cubrir gastos paralelos al costo de la matricula (trasportes, uniformes, etc.).</w:t>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La administración municipal y las instituciones educativas no se han preocupado por promover y apoyar la investigación en el municipio. No se han generado los recursos suficientes para financiar proyectos de investigación, ni para dotar laboratorios, sin duda esta es una debilidad importante para el municipio, ya que la investigación determina la posibilidad de desarrollo de cualquier entidad territorial.</w:t>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El municipio no conoce a ciencia cierta la demanda en materia de educación para población en condición de discapacidad, este hecho limita la posibilidad de generar políticas públicas que puedan favorecer el acceso a educación de calidad por parte de esta población.</w:t>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 xml:space="preserve">La ausencia de una oferta en materia de educación superior dentro del municipio es una gran debilidad, los jóvenes riosuceños deben salir a formarse profesionalmente en otros lugares, donde terminan por establecerse. La fuga de cerebros en el municipio, está dejando a Riosucio sin mano de obra calificada que ejerza a favor del desarrollo local. </w:t>
      </w:r>
    </w:p>
    <w:p w:rsidR="00497DA0" w:rsidRPr="006772A7" w:rsidRDefault="00497DA0" w:rsidP="00497DA0">
      <w:pPr>
        <w:ind w:right="-234"/>
        <w:jc w:val="both"/>
        <w:rPr>
          <w:rFonts w:eastAsia="Times New Roman" w:cs="Calibri"/>
          <w:color w:val="000000"/>
          <w:sz w:val="28"/>
          <w:szCs w:val="28"/>
          <w:highlight w:val="yellow"/>
          <w:lang w:eastAsia="es-CO"/>
        </w:rPr>
      </w:pPr>
      <w:r>
        <w:rPr>
          <w:rFonts w:eastAsia="Times New Roman" w:cs="Calibri"/>
          <w:color w:val="000000"/>
          <w:sz w:val="28"/>
          <w:szCs w:val="28"/>
          <w:lang w:eastAsia="es-CO"/>
        </w:rPr>
        <w:t>La falta de</w:t>
      </w:r>
      <w:r w:rsidRPr="006772A7">
        <w:rPr>
          <w:rFonts w:eastAsia="Times New Roman" w:cs="Calibri"/>
          <w:color w:val="000000"/>
          <w:sz w:val="28"/>
          <w:szCs w:val="28"/>
          <w:lang w:eastAsia="es-CO"/>
        </w:rPr>
        <w:t xml:space="preserve"> herramientas necesarias en materia de pedagogía, ha incidido en la deserción escolar dentro del municipio. </w:t>
      </w:r>
      <w:r>
        <w:rPr>
          <w:rFonts w:eastAsia="Times New Roman" w:cs="Calibri"/>
          <w:color w:val="000000"/>
          <w:sz w:val="28"/>
          <w:szCs w:val="28"/>
          <w:lang w:eastAsia="es-CO"/>
        </w:rPr>
        <w:t xml:space="preserve">Es </w:t>
      </w:r>
      <w:r w:rsidRPr="006772A7">
        <w:rPr>
          <w:rFonts w:eastAsia="Times New Roman" w:cs="Calibri"/>
          <w:color w:val="000000"/>
          <w:sz w:val="28"/>
          <w:szCs w:val="28"/>
          <w:lang w:eastAsia="es-CO"/>
        </w:rPr>
        <w:t xml:space="preserve">necesario señalar que los procesos de </w:t>
      </w:r>
      <w:proofErr w:type="spellStart"/>
      <w:r w:rsidRPr="006772A7">
        <w:rPr>
          <w:rFonts w:eastAsia="Times New Roman" w:cs="Calibri"/>
          <w:color w:val="000000"/>
          <w:sz w:val="28"/>
          <w:szCs w:val="28"/>
          <w:lang w:eastAsia="es-CO"/>
        </w:rPr>
        <w:t>etnoeducación</w:t>
      </w:r>
      <w:proofErr w:type="spellEnd"/>
      <w:r w:rsidRPr="006772A7">
        <w:rPr>
          <w:rFonts w:eastAsia="Times New Roman" w:cs="Calibri"/>
          <w:color w:val="000000"/>
          <w:sz w:val="28"/>
          <w:szCs w:val="28"/>
          <w:lang w:eastAsia="es-CO"/>
        </w:rPr>
        <w:t xml:space="preserve"> en el municipio, como en el resto del país son aún muy débiles y necesitan de un mayor apoyo estatal para su fortalecimiento.</w:t>
      </w:r>
    </w:p>
    <w:p w:rsidR="00497DA0" w:rsidRPr="006772A7" w:rsidRDefault="00497DA0" w:rsidP="00497DA0">
      <w:pPr>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lastRenderedPageBreak/>
        <w:t>3.3 Potencialidades:</w:t>
      </w:r>
    </w:p>
    <w:p w:rsidR="00497DA0" w:rsidRPr="006772A7" w:rsidRDefault="00497DA0" w:rsidP="00497DA0">
      <w:pPr>
        <w:ind w:right="-234"/>
        <w:jc w:val="both"/>
        <w:rPr>
          <w:rFonts w:cs="Calibri"/>
          <w:sz w:val="28"/>
          <w:szCs w:val="28"/>
        </w:rPr>
      </w:pPr>
      <w:r w:rsidRPr="006772A7">
        <w:rPr>
          <w:rFonts w:cs="Calibri"/>
          <w:sz w:val="28"/>
          <w:szCs w:val="28"/>
        </w:rPr>
        <w:t>En el año 2012 se inaugura en el Riosucio una nueva institución educativa de carácter privado, que aunque por el momento solo tiene oferta en nivel preescolar, en el futuro contribuirá a fortalecer e incremen</w:t>
      </w:r>
      <w:r>
        <w:rPr>
          <w:rFonts w:cs="Calibri"/>
          <w:sz w:val="28"/>
          <w:szCs w:val="28"/>
        </w:rPr>
        <w:t xml:space="preserve">tar </w:t>
      </w:r>
      <w:proofErr w:type="gramStart"/>
      <w:r>
        <w:rPr>
          <w:rFonts w:cs="Calibri"/>
          <w:sz w:val="28"/>
          <w:szCs w:val="28"/>
        </w:rPr>
        <w:t xml:space="preserve">la oferta educativa para </w:t>
      </w:r>
      <w:r w:rsidRPr="006772A7">
        <w:rPr>
          <w:rFonts w:cs="Calibri"/>
          <w:sz w:val="28"/>
          <w:szCs w:val="28"/>
        </w:rPr>
        <w:t xml:space="preserve"> niños, niñas y adolecentes</w:t>
      </w:r>
      <w:proofErr w:type="gramEnd"/>
      <w:r w:rsidRPr="006772A7">
        <w:rPr>
          <w:rFonts w:cs="Calibri"/>
          <w:sz w:val="28"/>
          <w:szCs w:val="28"/>
        </w:rPr>
        <w:t xml:space="preserve"> del municipio.</w:t>
      </w:r>
    </w:p>
    <w:p w:rsidR="00497DA0" w:rsidRPr="006772A7" w:rsidRDefault="00497DA0" w:rsidP="00497DA0">
      <w:pPr>
        <w:ind w:right="-234"/>
        <w:jc w:val="both"/>
        <w:rPr>
          <w:rFonts w:cs="Calibri"/>
          <w:sz w:val="28"/>
          <w:szCs w:val="28"/>
        </w:rPr>
      </w:pPr>
      <w:r>
        <w:rPr>
          <w:rFonts w:cs="Calibri"/>
          <w:sz w:val="28"/>
          <w:szCs w:val="28"/>
        </w:rPr>
        <w:t xml:space="preserve">La Política </w:t>
      </w:r>
      <w:r w:rsidRPr="006772A7">
        <w:rPr>
          <w:rFonts w:cs="Calibri"/>
          <w:sz w:val="28"/>
          <w:szCs w:val="28"/>
        </w:rPr>
        <w:t>de</w:t>
      </w:r>
      <w:r>
        <w:rPr>
          <w:rFonts w:cs="Calibri"/>
          <w:sz w:val="28"/>
          <w:szCs w:val="28"/>
        </w:rPr>
        <w:t xml:space="preserve"> gratuidad educativa</w:t>
      </w:r>
      <w:r w:rsidRPr="006772A7">
        <w:rPr>
          <w:rFonts w:cs="Calibri"/>
          <w:sz w:val="28"/>
          <w:szCs w:val="28"/>
        </w:rPr>
        <w:t xml:space="preserve"> ha permitido entre otras cosas</w:t>
      </w:r>
      <w:r>
        <w:rPr>
          <w:rFonts w:cs="Calibri"/>
          <w:sz w:val="28"/>
          <w:szCs w:val="28"/>
        </w:rPr>
        <w:t>,</w:t>
      </w:r>
      <w:r w:rsidRPr="006772A7">
        <w:rPr>
          <w:rFonts w:cs="Calibri"/>
          <w:sz w:val="28"/>
          <w:szCs w:val="28"/>
        </w:rPr>
        <w:t xml:space="preserve"> el mejoramiento de la infraestructura educativa y el fortalecimiento de sistemas pedagógicos. Esta inversión es una gran apuesta por parte del municipio, la cual debe mantenerse e incrementarse dado lo que representa en materia de accesibilidad y disponibilidad educativa. </w:t>
      </w:r>
    </w:p>
    <w:p w:rsidR="00497DA0" w:rsidRPr="006772A7" w:rsidRDefault="00497DA0" w:rsidP="00497DA0">
      <w:pPr>
        <w:ind w:right="-234"/>
        <w:jc w:val="both"/>
        <w:rPr>
          <w:rFonts w:cs="Calibri"/>
          <w:sz w:val="28"/>
          <w:szCs w:val="28"/>
        </w:rPr>
      </w:pPr>
      <w:r w:rsidRPr="006772A7">
        <w:rPr>
          <w:rFonts w:cs="Calibri"/>
          <w:sz w:val="28"/>
          <w:szCs w:val="28"/>
        </w:rPr>
        <w:t>La administración municipal ha emprendido diferentes programas que buscan combatir la deserción escolar. Programas como: bachillerato sabatino, alfabetización para adultos, validación de la primaria; deben mantenerse y fortalecerse como estrategia para incrementar la cobertura académica en el municipio. El programa de Familias en Acción de la Presidencia de la República es un incentivo complementario para luchar en contra de la deserción escolar.</w:t>
      </w:r>
    </w:p>
    <w:p w:rsidR="00497DA0" w:rsidRPr="006772A7" w:rsidRDefault="00497DA0" w:rsidP="00497DA0">
      <w:pPr>
        <w:ind w:right="-234"/>
        <w:jc w:val="both"/>
        <w:rPr>
          <w:rFonts w:cs="Calibri"/>
          <w:sz w:val="28"/>
          <w:szCs w:val="28"/>
        </w:rPr>
      </w:pPr>
      <w:r w:rsidRPr="006772A7">
        <w:rPr>
          <w:rFonts w:cs="Calibri"/>
          <w:sz w:val="28"/>
          <w:szCs w:val="28"/>
        </w:rPr>
        <w:t xml:space="preserve">Pese a las oportunidades que brinda el programa CERES, es necesario que se revalore su pertinencia con relación a la vocación de desarrollo humano del municipio. De igual manera, es necesario que la administración municipal incentive al sector privado y público del municipio para que entre todos  generen estrategias y espacios para el desempeño laboral de los jóvenes que acceden a este programa.  </w:t>
      </w:r>
    </w:p>
    <w:p w:rsidR="00497DA0" w:rsidRPr="006772A7" w:rsidRDefault="00497DA0" w:rsidP="00497DA0">
      <w:pPr>
        <w:ind w:right="-234"/>
        <w:jc w:val="both"/>
        <w:rPr>
          <w:rFonts w:cs="Calibri"/>
          <w:sz w:val="28"/>
          <w:szCs w:val="28"/>
        </w:rPr>
      </w:pPr>
      <w:r w:rsidRPr="006772A7">
        <w:rPr>
          <w:rFonts w:cs="Calibri"/>
          <w:bCs/>
          <w:sz w:val="28"/>
          <w:szCs w:val="28"/>
        </w:rPr>
        <w:t>La apuesta por  la certificación de la educación en el municipio es un gran reto que</w:t>
      </w:r>
      <w:r w:rsidRPr="006772A7">
        <w:rPr>
          <w:rFonts w:cs="Calibri"/>
          <w:b/>
          <w:bCs/>
          <w:sz w:val="28"/>
          <w:szCs w:val="28"/>
        </w:rPr>
        <w:t xml:space="preserve"> </w:t>
      </w:r>
      <w:r w:rsidRPr="006772A7">
        <w:rPr>
          <w:rFonts w:cs="Calibri"/>
          <w:sz w:val="28"/>
          <w:szCs w:val="28"/>
        </w:rPr>
        <w:t>exige una enorme responsabilidad y capacidad institucional de doble vía. El departamento debe poner al servicio del municipio  su experiencia y conocimientos frente al tema, mientras el municipio debe asumir la responsabilidad de alcanzar un nivel gerencial que en términos técnicos, administrativos y financieros le permita asumir adecuadamente la administración del servicio educativo.</w:t>
      </w:r>
    </w:p>
    <w:p w:rsidR="00497DA0" w:rsidRPr="006772A7" w:rsidRDefault="00497DA0" w:rsidP="00497DA0">
      <w:pPr>
        <w:ind w:right="-234"/>
        <w:jc w:val="both"/>
        <w:rPr>
          <w:rFonts w:cs="Calibri"/>
          <w:sz w:val="28"/>
          <w:szCs w:val="28"/>
          <w:lang w:val="es-ES_tradnl"/>
        </w:rPr>
      </w:pPr>
      <w:r w:rsidRPr="006772A7">
        <w:rPr>
          <w:rFonts w:cs="Calibri"/>
          <w:bCs/>
          <w:sz w:val="28"/>
          <w:szCs w:val="28"/>
        </w:rPr>
        <w:lastRenderedPageBreak/>
        <w:t>El municipio debe prepararse</w:t>
      </w:r>
      <w:r w:rsidRPr="006772A7">
        <w:rPr>
          <w:rFonts w:cs="Calibri"/>
          <w:sz w:val="28"/>
          <w:szCs w:val="28"/>
          <w:lang w:val="es-ES_tradnl"/>
        </w:rPr>
        <w:t xml:space="preserve"> adecuadamente para la gran responsabilidad de administrar la prestación del servicio educativo la cual debe ser asumida con la mayor rigurosidad, pertinencia técnica, organización y oportunidad, </w:t>
      </w:r>
      <w:r w:rsidRPr="006772A7">
        <w:rPr>
          <w:rFonts w:cs="Calibri"/>
          <w:bCs/>
          <w:sz w:val="28"/>
          <w:szCs w:val="28"/>
        </w:rPr>
        <w:t xml:space="preserve">dar este gran salto </w:t>
      </w:r>
      <w:r w:rsidRPr="006772A7">
        <w:rPr>
          <w:rFonts w:cs="Calibri"/>
          <w:sz w:val="28"/>
          <w:szCs w:val="28"/>
          <w:lang w:val="es-ES_tradnl"/>
        </w:rPr>
        <w:t>implica un cambio en la gestión municipal, que contempla entre otros aspectos, la administración de los recursos para la prestación del servicio. La capacidad institucional para gerenciar el sector es una condición esencial para  que Riosucio a largo plazo pueda ofrecer una educación con cobertura, calidad y equidad.</w:t>
      </w:r>
    </w:p>
    <w:p w:rsidR="00497DA0" w:rsidRPr="006772A7" w:rsidRDefault="00497DA0" w:rsidP="00497DA0">
      <w:pPr>
        <w:ind w:right="-234"/>
        <w:jc w:val="both"/>
        <w:rPr>
          <w:rFonts w:cs="Calibri"/>
          <w:sz w:val="28"/>
          <w:szCs w:val="28"/>
          <w:lang w:val="es-ES_tradnl"/>
        </w:rPr>
      </w:pPr>
    </w:p>
    <w:p w:rsidR="00497DA0" w:rsidRPr="006772A7" w:rsidRDefault="00497DA0" w:rsidP="00497DA0">
      <w:pPr>
        <w:numPr>
          <w:ilvl w:val="0"/>
          <w:numId w:val="1"/>
        </w:numPr>
        <w:ind w:right="-234"/>
        <w:jc w:val="both"/>
        <w:rPr>
          <w:rFonts w:cs="Calibri"/>
          <w:b/>
          <w:sz w:val="28"/>
          <w:szCs w:val="28"/>
        </w:rPr>
      </w:pPr>
      <w:r w:rsidRPr="006772A7">
        <w:rPr>
          <w:rFonts w:cs="Calibri"/>
          <w:b/>
          <w:sz w:val="28"/>
          <w:szCs w:val="28"/>
        </w:rPr>
        <w:t>Salud</w:t>
      </w:r>
    </w:p>
    <w:p w:rsidR="00497DA0" w:rsidRPr="006772A7" w:rsidRDefault="00497DA0" w:rsidP="00497DA0">
      <w:pPr>
        <w:ind w:right="-234"/>
        <w:jc w:val="both"/>
        <w:rPr>
          <w:rFonts w:cs="Calibri"/>
          <w:sz w:val="28"/>
          <w:szCs w:val="28"/>
          <w:u w:val="single"/>
        </w:rPr>
      </w:pPr>
      <w:r w:rsidRPr="006772A7">
        <w:rPr>
          <w:rFonts w:cs="Calibri"/>
          <w:sz w:val="28"/>
          <w:szCs w:val="28"/>
          <w:u w:val="single"/>
        </w:rPr>
        <w:t>4.1. Características:</w:t>
      </w:r>
    </w:p>
    <w:p w:rsidR="00497DA0" w:rsidRPr="006772A7" w:rsidRDefault="00497DA0" w:rsidP="00497DA0">
      <w:pPr>
        <w:ind w:right="-234"/>
        <w:jc w:val="both"/>
        <w:rPr>
          <w:rFonts w:cs="Calibri"/>
          <w:sz w:val="28"/>
          <w:szCs w:val="28"/>
        </w:rPr>
      </w:pPr>
      <w:r w:rsidRPr="006772A7">
        <w:rPr>
          <w:rFonts w:cs="Calibri"/>
          <w:sz w:val="28"/>
          <w:szCs w:val="28"/>
        </w:rPr>
        <w:t>4.1.1 Condiciones  para la prestación del servicio de salud.</w:t>
      </w:r>
    </w:p>
    <w:p w:rsidR="00497DA0" w:rsidRPr="006772A7" w:rsidRDefault="00497DA0" w:rsidP="00497DA0">
      <w:pPr>
        <w:ind w:right="-234"/>
        <w:jc w:val="both"/>
        <w:rPr>
          <w:rFonts w:cs="Calibri"/>
          <w:sz w:val="28"/>
          <w:szCs w:val="28"/>
        </w:rPr>
      </w:pPr>
      <w:r w:rsidRPr="006772A7">
        <w:rPr>
          <w:rFonts w:cs="Calibri"/>
          <w:sz w:val="28"/>
          <w:szCs w:val="28"/>
        </w:rPr>
        <w:t>La relación de población afiliada en el municipio de Riosucio a SGSS es la siguiente:</w:t>
      </w:r>
    </w:p>
    <w:tbl>
      <w:tblPr>
        <w:tblW w:w="0" w:type="auto"/>
        <w:tblBorders>
          <w:top w:val="single" w:sz="8" w:space="0" w:color="4BACC6"/>
          <w:bottom w:val="single" w:sz="8" w:space="0" w:color="4BACC6"/>
        </w:tblBorders>
        <w:tblLook w:val="04A0" w:firstRow="1" w:lastRow="0" w:firstColumn="1" w:lastColumn="0" w:noHBand="0" w:noVBand="1"/>
      </w:tblPr>
      <w:tblGrid>
        <w:gridCol w:w="4489"/>
        <w:gridCol w:w="4489"/>
      </w:tblGrid>
      <w:tr w:rsidR="00497DA0" w:rsidRPr="006772A7" w:rsidTr="006919A9">
        <w:tc>
          <w:tcPr>
            <w:tcW w:w="4489" w:type="dxa"/>
            <w:tcBorders>
              <w:top w:val="single" w:sz="8" w:space="0" w:color="4BACC6"/>
              <w:left w:val="nil"/>
              <w:bottom w:val="single" w:sz="8" w:space="0" w:color="4BACC6"/>
              <w:right w:val="nil"/>
            </w:tcBorders>
          </w:tcPr>
          <w:p w:rsidR="00497DA0" w:rsidRPr="006772A7" w:rsidRDefault="00497DA0" w:rsidP="006919A9">
            <w:pPr>
              <w:ind w:right="-234"/>
              <w:jc w:val="both"/>
              <w:rPr>
                <w:rFonts w:cs="Calibri"/>
                <w:b/>
                <w:bCs/>
                <w:color w:val="31849B"/>
                <w:sz w:val="28"/>
                <w:szCs w:val="28"/>
              </w:rPr>
            </w:pPr>
            <w:r w:rsidRPr="006772A7">
              <w:rPr>
                <w:rFonts w:cs="Calibri"/>
                <w:b/>
                <w:bCs/>
                <w:color w:val="31849B"/>
                <w:sz w:val="28"/>
                <w:szCs w:val="28"/>
              </w:rPr>
              <w:t>Régimen subsidiado</w:t>
            </w:r>
          </w:p>
        </w:tc>
        <w:tc>
          <w:tcPr>
            <w:tcW w:w="4489" w:type="dxa"/>
            <w:tcBorders>
              <w:top w:val="single" w:sz="8" w:space="0" w:color="4BACC6"/>
              <w:left w:val="nil"/>
              <w:bottom w:val="single" w:sz="8" w:space="0" w:color="4BACC6"/>
              <w:right w:val="nil"/>
            </w:tcBorders>
          </w:tcPr>
          <w:p w:rsidR="00497DA0" w:rsidRPr="006772A7" w:rsidRDefault="00497DA0" w:rsidP="006919A9">
            <w:pPr>
              <w:ind w:right="-234"/>
              <w:jc w:val="right"/>
              <w:rPr>
                <w:rFonts w:cs="Calibri"/>
                <w:b/>
                <w:bCs/>
                <w:color w:val="31849B"/>
                <w:sz w:val="28"/>
                <w:szCs w:val="28"/>
              </w:rPr>
            </w:pPr>
            <w:r w:rsidRPr="006772A7">
              <w:rPr>
                <w:rFonts w:cs="Calibri"/>
                <w:b/>
                <w:bCs/>
                <w:color w:val="31849B"/>
                <w:sz w:val="28"/>
                <w:szCs w:val="28"/>
              </w:rPr>
              <w:t>41.995</w:t>
            </w:r>
          </w:p>
        </w:tc>
      </w:tr>
      <w:tr w:rsidR="00497DA0" w:rsidRPr="006772A7" w:rsidTr="006919A9">
        <w:tc>
          <w:tcPr>
            <w:tcW w:w="4489" w:type="dxa"/>
            <w:tcBorders>
              <w:left w:val="nil"/>
              <w:right w:val="nil"/>
            </w:tcBorders>
            <w:shd w:val="clear" w:color="auto" w:fill="D2EAF1"/>
          </w:tcPr>
          <w:p w:rsidR="00497DA0" w:rsidRPr="006772A7" w:rsidRDefault="00497DA0" w:rsidP="006919A9">
            <w:pPr>
              <w:ind w:right="-234"/>
              <w:jc w:val="both"/>
              <w:rPr>
                <w:rFonts w:cs="Calibri"/>
                <w:b/>
                <w:bCs/>
                <w:color w:val="31849B"/>
                <w:sz w:val="28"/>
                <w:szCs w:val="28"/>
              </w:rPr>
            </w:pPr>
            <w:r w:rsidRPr="006772A7">
              <w:rPr>
                <w:rFonts w:cs="Calibri"/>
                <w:b/>
                <w:bCs/>
                <w:color w:val="31849B"/>
                <w:sz w:val="28"/>
                <w:szCs w:val="28"/>
              </w:rPr>
              <w:t>Régimen contributivo</w:t>
            </w:r>
          </w:p>
        </w:tc>
        <w:tc>
          <w:tcPr>
            <w:tcW w:w="4489" w:type="dxa"/>
            <w:tcBorders>
              <w:left w:val="nil"/>
              <w:right w:val="nil"/>
            </w:tcBorders>
            <w:shd w:val="clear" w:color="auto" w:fill="D2EAF1"/>
          </w:tcPr>
          <w:p w:rsidR="00497DA0" w:rsidRPr="006772A7" w:rsidRDefault="00497DA0" w:rsidP="006919A9">
            <w:pPr>
              <w:ind w:right="-234"/>
              <w:jc w:val="right"/>
              <w:rPr>
                <w:rFonts w:cs="Calibri"/>
                <w:color w:val="31849B"/>
                <w:sz w:val="28"/>
                <w:szCs w:val="28"/>
              </w:rPr>
            </w:pPr>
            <w:r w:rsidRPr="006772A7">
              <w:rPr>
                <w:rFonts w:cs="Calibri"/>
                <w:color w:val="31849B"/>
                <w:sz w:val="28"/>
                <w:szCs w:val="28"/>
              </w:rPr>
              <w:t>7.648</w:t>
            </w:r>
          </w:p>
        </w:tc>
      </w:tr>
      <w:tr w:rsidR="00497DA0" w:rsidRPr="006772A7" w:rsidTr="006919A9">
        <w:tc>
          <w:tcPr>
            <w:tcW w:w="4489" w:type="dxa"/>
          </w:tcPr>
          <w:p w:rsidR="00497DA0" w:rsidRPr="006772A7" w:rsidRDefault="00497DA0" w:rsidP="006919A9">
            <w:pPr>
              <w:ind w:right="-234"/>
              <w:jc w:val="both"/>
              <w:rPr>
                <w:rFonts w:cs="Calibri"/>
                <w:b/>
                <w:bCs/>
                <w:color w:val="31849B"/>
                <w:sz w:val="28"/>
                <w:szCs w:val="28"/>
              </w:rPr>
            </w:pPr>
            <w:r w:rsidRPr="006772A7">
              <w:rPr>
                <w:rFonts w:cs="Calibri"/>
                <w:b/>
                <w:bCs/>
                <w:color w:val="31849B"/>
                <w:sz w:val="28"/>
                <w:szCs w:val="28"/>
              </w:rPr>
              <w:t>Pobre no afiliada</w:t>
            </w:r>
          </w:p>
        </w:tc>
        <w:tc>
          <w:tcPr>
            <w:tcW w:w="4489" w:type="dxa"/>
          </w:tcPr>
          <w:p w:rsidR="00497DA0" w:rsidRPr="006772A7" w:rsidRDefault="00497DA0" w:rsidP="006919A9">
            <w:pPr>
              <w:ind w:right="-234"/>
              <w:jc w:val="right"/>
              <w:rPr>
                <w:rFonts w:cs="Calibri"/>
                <w:color w:val="31849B"/>
                <w:sz w:val="28"/>
                <w:szCs w:val="28"/>
              </w:rPr>
            </w:pPr>
            <w:r w:rsidRPr="006772A7">
              <w:rPr>
                <w:rFonts w:cs="Calibri"/>
                <w:color w:val="31849B"/>
                <w:sz w:val="28"/>
                <w:szCs w:val="28"/>
              </w:rPr>
              <w:t>1.020</w:t>
            </w:r>
          </w:p>
        </w:tc>
      </w:tr>
    </w:tbl>
    <w:p w:rsidR="00497DA0" w:rsidRPr="006772A7" w:rsidRDefault="00497DA0" w:rsidP="00497DA0">
      <w:pPr>
        <w:ind w:right="-234"/>
        <w:jc w:val="both"/>
        <w:rPr>
          <w:rFonts w:cs="Calibri"/>
          <w:sz w:val="28"/>
          <w:szCs w:val="28"/>
        </w:rPr>
      </w:pPr>
    </w:p>
    <w:p w:rsidR="00497DA0" w:rsidRPr="006772A7" w:rsidRDefault="00497DA0" w:rsidP="00497DA0">
      <w:pPr>
        <w:ind w:right="-234"/>
        <w:jc w:val="both"/>
        <w:rPr>
          <w:rFonts w:cs="Calibri"/>
          <w:sz w:val="28"/>
          <w:szCs w:val="28"/>
        </w:rPr>
      </w:pPr>
      <w:r w:rsidRPr="006772A7">
        <w:rPr>
          <w:rFonts w:cs="Calibri"/>
          <w:sz w:val="28"/>
          <w:szCs w:val="28"/>
        </w:rPr>
        <w:t xml:space="preserve">En la actualidad y de acuerdo con las disposiciones de un fallo emitido por un juez, la población indígena se encuentra asegurada en la EPSI Asociación indígena del Cauca, y los no indígenas en Salud Cóndor y </w:t>
      </w:r>
      <w:proofErr w:type="spellStart"/>
      <w:r w:rsidRPr="006772A7">
        <w:rPr>
          <w:rFonts w:cs="Calibri"/>
          <w:sz w:val="28"/>
          <w:szCs w:val="28"/>
        </w:rPr>
        <w:t>Cafesalud</w:t>
      </w:r>
      <w:proofErr w:type="spellEnd"/>
      <w:r w:rsidRPr="006772A7">
        <w:rPr>
          <w:rFonts w:cs="Calibri"/>
          <w:sz w:val="28"/>
          <w:szCs w:val="28"/>
        </w:rPr>
        <w:t xml:space="preserve">. Además, el municipio cuenta con 5 IPS habilitadas y prestando servicios de salud de primer nivel de complejidad, de las cuales Ingrumá Salud IPS y </w:t>
      </w:r>
      <w:proofErr w:type="spellStart"/>
      <w:r w:rsidRPr="006772A7">
        <w:rPr>
          <w:rFonts w:cs="Calibri"/>
          <w:sz w:val="28"/>
          <w:szCs w:val="28"/>
        </w:rPr>
        <w:t>Cosmitet</w:t>
      </w:r>
      <w:proofErr w:type="spellEnd"/>
      <w:r w:rsidRPr="006772A7">
        <w:rPr>
          <w:rFonts w:cs="Calibri"/>
          <w:sz w:val="28"/>
          <w:szCs w:val="28"/>
        </w:rPr>
        <w:t xml:space="preserve"> </w:t>
      </w:r>
      <w:proofErr w:type="spellStart"/>
      <w:r w:rsidRPr="006772A7">
        <w:rPr>
          <w:rFonts w:cs="Calibri"/>
          <w:sz w:val="28"/>
          <w:szCs w:val="28"/>
        </w:rPr>
        <w:t>Ltda</w:t>
      </w:r>
      <w:proofErr w:type="spellEnd"/>
      <w:r w:rsidRPr="006772A7">
        <w:rPr>
          <w:rFonts w:cs="Calibri"/>
          <w:sz w:val="28"/>
          <w:szCs w:val="28"/>
        </w:rPr>
        <w:t xml:space="preserve">, prestan sus servicios a los afiliados del régimen contributivo y del magisterio respectivamente. Existen dos consultorios médicos que atienden a la población particular, los usuarios del seguro social son atendidos en la IPS Clínica Dr. </w:t>
      </w:r>
      <w:r w:rsidRPr="006772A7">
        <w:rPr>
          <w:rFonts w:cs="Calibri"/>
          <w:sz w:val="28"/>
          <w:szCs w:val="28"/>
        </w:rPr>
        <w:lastRenderedPageBreak/>
        <w:t>Roque Armando López S.O.S  y los del régimen subsidiado son atendidos por la ESE Hospital Departamental San Juan de Dios (HDSJD).</w:t>
      </w:r>
    </w:p>
    <w:p w:rsidR="00497DA0" w:rsidRPr="006772A7" w:rsidRDefault="00497DA0" w:rsidP="00497DA0">
      <w:pPr>
        <w:ind w:right="-234"/>
        <w:jc w:val="both"/>
        <w:rPr>
          <w:rFonts w:cs="Calibri"/>
          <w:sz w:val="28"/>
          <w:szCs w:val="28"/>
        </w:rPr>
      </w:pPr>
      <w:r w:rsidRPr="006772A7">
        <w:rPr>
          <w:rFonts w:cs="Calibri"/>
          <w:sz w:val="28"/>
          <w:szCs w:val="28"/>
        </w:rPr>
        <w:t>La población afiliada al SISBEN de acuerdo con grupos de edad y grupos etarios es la siguiente:</w:t>
      </w:r>
    </w:p>
    <w:tbl>
      <w:tblPr>
        <w:tblW w:w="8894" w:type="dxa"/>
        <w:tblBorders>
          <w:top w:val="single" w:sz="8" w:space="0" w:color="8064A2"/>
          <w:bottom w:val="single" w:sz="8" w:space="0" w:color="8064A2"/>
        </w:tblBorders>
        <w:tblLook w:val="04A0" w:firstRow="1" w:lastRow="0" w:firstColumn="1" w:lastColumn="0" w:noHBand="0" w:noVBand="1"/>
      </w:tblPr>
      <w:tblGrid>
        <w:gridCol w:w="7882"/>
        <w:gridCol w:w="1012"/>
      </w:tblGrid>
      <w:tr w:rsidR="00497DA0" w:rsidRPr="006772A7" w:rsidTr="006919A9">
        <w:trPr>
          <w:trHeight w:val="285"/>
        </w:trPr>
        <w:tc>
          <w:tcPr>
            <w:tcW w:w="7882" w:type="dxa"/>
            <w:tcBorders>
              <w:top w:val="single" w:sz="8" w:space="0" w:color="8064A2"/>
              <w:left w:val="nil"/>
              <w:bottom w:val="single" w:sz="8" w:space="0" w:color="8064A2"/>
              <w:right w:val="nil"/>
            </w:tcBorders>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POBLACION</w:t>
            </w:r>
          </w:p>
        </w:tc>
        <w:tc>
          <w:tcPr>
            <w:tcW w:w="1012" w:type="dxa"/>
            <w:tcBorders>
              <w:top w:val="single" w:sz="8" w:space="0" w:color="8064A2"/>
              <w:left w:val="nil"/>
              <w:bottom w:val="single" w:sz="8" w:space="0" w:color="8064A2"/>
              <w:right w:val="nil"/>
            </w:tcBorders>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TOTAL</w:t>
            </w:r>
          </w:p>
        </w:tc>
      </w:tr>
      <w:tr w:rsidR="00497DA0" w:rsidRPr="006772A7" w:rsidTr="006919A9">
        <w:trPr>
          <w:trHeight w:val="259"/>
        </w:trPr>
        <w:tc>
          <w:tcPr>
            <w:tcW w:w="788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MENORES DE 5 AÑOS NIVELES 1 Y 2</w:t>
            </w:r>
          </w:p>
        </w:tc>
        <w:tc>
          <w:tcPr>
            <w:tcW w:w="101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695</w:t>
            </w:r>
          </w:p>
        </w:tc>
      </w:tr>
      <w:tr w:rsidR="00497DA0" w:rsidRPr="006772A7" w:rsidTr="006919A9">
        <w:trPr>
          <w:trHeight w:val="259"/>
        </w:trPr>
        <w:tc>
          <w:tcPr>
            <w:tcW w:w="7882" w:type="dxa"/>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NIÑOS ENTRE 5 Y 17 AÑOS NIVELES 1 Y 2</w:t>
            </w:r>
          </w:p>
        </w:tc>
        <w:tc>
          <w:tcPr>
            <w:tcW w:w="1012" w:type="dxa"/>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843</w:t>
            </w:r>
          </w:p>
        </w:tc>
      </w:tr>
      <w:tr w:rsidR="00497DA0" w:rsidRPr="006772A7" w:rsidTr="006919A9">
        <w:trPr>
          <w:trHeight w:val="259"/>
        </w:trPr>
        <w:tc>
          <w:tcPr>
            <w:tcW w:w="788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JOVENES ENTRE 18 Y 28 AÑOS NIVELES 1 Y 2</w:t>
            </w:r>
          </w:p>
        </w:tc>
        <w:tc>
          <w:tcPr>
            <w:tcW w:w="101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409</w:t>
            </w:r>
          </w:p>
        </w:tc>
      </w:tr>
      <w:tr w:rsidR="00497DA0" w:rsidRPr="006772A7" w:rsidTr="006919A9">
        <w:trPr>
          <w:trHeight w:val="259"/>
        </w:trPr>
        <w:tc>
          <w:tcPr>
            <w:tcW w:w="7882" w:type="dxa"/>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 xml:space="preserve">DISCAPACIDAD NIVELES 1 Y 2 </w:t>
            </w:r>
          </w:p>
        </w:tc>
        <w:tc>
          <w:tcPr>
            <w:tcW w:w="1012" w:type="dxa"/>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164</w:t>
            </w:r>
          </w:p>
        </w:tc>
      </w:tr>
      <w:tr w:rsidR="00497DA0" w:rsidRPr="006772A7" w:rsidTr="006919A9">
        <w:trPr>
          <w:trHeight w:val="259"/>
        </w:trPr>
        <w:tc>
          <w:tcPr>
            <w:tcW w:w="788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TERCERA EDAD NIVELES 1 Y 2</w:t>
            </w:r>
          </w:p>
        </w:tc>
        <w:tc>
          <w:tcPr>
            <w:tcW w:w="101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608</w:t>
            </w:r>
          </w:p>
        </w:tc>
      </w:tr>
      <w:tr w:rsidR="00497DA0" w:rsidRPr="006772A7" w:rsidTr="006919A9">
        <w:trPr>
          <w:trHeight w:val="259"/>
        </w:trPr>
        <w:tc>
          <w:tcPr>
            <w:tcW w:w="7882" w:type="dxa"/>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NUMERO DE HOGARES NIVELES 1 Y 2</w:t>
            </w:r>
          </w:p>
        </w:tc>
        <w:tc>
          <w:tcPr>
            <w:tcW w:w="1012" w:type="dxa"/>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1066</w:t>
            </w:r>
          </w:p>
        </w:tc>
      </w:tr>
      <w:tr w:rsidR="00497DA0" w:rsidRPr="006772A7" w:rsidTr="006919A9">
        <w:trPr>
          <w:trHeight w:val="259"/>
        </w:trPr>
        <w:tc>
          <w:tcPr>
            <w:tcW w:w="788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AFILIACIONES REGIMEN CONTRIBUTIVO NIVELES 1 Y 2</w:t>
            </w:r>
          </w:p>
        </w:tc>
        <w:tc>
          <w:tcPr>
            <w:tcW w:w="101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409</w:t>
            </w:r>
          </w:p>
        </w:tc>
      </w:tr>
      <w:tr w:rsidR="00497DA0" w:rsidRPr="006772A7" w:rsidTr="006919A9">
        <w:trPr>
          <w:trHeight w:val="259"/>
        </w:trPr>
        <w:tc>
          <w:tcPr>
            <w:tcW w:w="7882" w:type="dxa"/>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AFILIACIONES REGIMEN SUBSIDIADO NIVELES 1 Y 2</w:t>
            </w:r>
          </w:p>
        </w:tc>
        <w:tc>
          <w:tcPr>
            <w:tcW w:w="1012" w:type="dxa"/>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2461</w:t>
            </w:r>
          </w:p>
        </w:tc>
      </w:tr>
      <w:tr w:rsidR="00497DA0" w:rsidRPr="006772A7" w:rsidTr="006919A9">
        <w:trPr>
          <w:trHeight w:val="259"/>
        </w:trPr>
        <w:tc>
          <w:tcPr>
            <w:tcW w:w="788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b/>
                <w:bCs/>
                <w:color w:val="000000"/>
                <w:sz w:val="28"/>
                <w:szCs w:val="28"/>
                <w:lang w:eastAsia="es-CO"/>
              </w:rPr>
            </w:pPr>
            <w:r w:rsidRPr="006772A7">
              <w:rPr>
                <w:rFonts w:eastAsia="Times New Roman" w:cs="Calibri"/>
                <w:b/>
                <w:bCs/>
                <w:color w:val="000000"/>
                <w:sz w:val="28"/>
                <w:szCs w:val="28"/>
                <w:lang w:eastAsia="es-CO"/>
              </w:rPr>
              <w:t xml:space="preserve">TOTAL NIVELES 1 Y2 </w:t>
            </w:r>
          </w:p>
        </w:tc>
        <w:tc>
          <w:tcPr>
            <w:tcW w:w="1012" w:type="dxa"/>
            <w:tcBorders>
              <w:left w:val="nil"/>
              <w:right w:val="nil"/>
            </w:tcBorders>
            <w:shd w:val="clear" w:color="auto" w:fill="DFD8E8"/>
            <w:noWrap/>
            <w:hideMark/>
          </w:tcPr>
          <w:p w:rsidR="00497DA0" w:rsidRPr="006772A7" w:rsidRDefault="00497DA0" w:rsidP="006919A9">
            <w:pPr>
              <w:spacing w:after="0"/>
              <w:ind w:right="-234"/>
              <w:jc w:val="both"/>
              <w:rPr>
                <w:rFonts w:eastAsia="Times New Roman" w:cs="Calibri"/>
                <w:color w:val="000000"/>
                <w:sz w:val="28"/>
                <w:szCs w:val="28"/>
                <w:lang w:eastAsia="es-CO"/>
              </w:rPr>
            </w:pPr>
            <w:r w:rsidRPr="006772A7">
              <w:rPr>
                <w:rFonts w:eastAsia="Times New Roman" w:cs="Calibri"/>
                <w:color w:val="000000"/>
                <w:sz w:val="28"/>
                <w:szCs w:val="28"/>
                <w:lang w:eastAsia="es-CO"/>
              </w:rPr>
              <w:t>6655</w:t>
            </w:r>
          </w:p>
        </w:tc>
      </w:tr>
    </w:tbl>
    <w:p w:rsidR="00497DA0" w:rsidRPr="006772A7" w:rsidRDefault="00497DA0" w:rsidP="00497DA0">
      <w:pPr>
        <w:ind w:right="-234"/>
        <w:jc w:val="both"/>
        <w:rPr>
          <w:rFonts w:cs="Calibri"/>
          <w:sz w:val="28"/>
          <w:szCs w:val="28"/>
        </w:rPr>
      </w:pPr>
    </w:p>
    <w:p w:rsidR="00497DA0" w:rsidRPr="006772A7" w:rsidRDefault="00497DA0" w:rsidP="00497DA0">
      <w:pPr>
        <w:ind w:right="-234"/>
        <w:jc w:val="both"/>
        <w:rPr>
          <w:rFonts w:cs="Calibri"/>
          <w:sz w:val="28"/>
          <w:szCs w:val="28"/>
        </w:rPr>
      </w:pPr>
      <w:r w:rsidRPr="006772A7">
        <w:rPr>
          <w:rFonts w:cs="Calibri"/>
          <w:sz w:val="28"/>
          <w:szCs w:val="28"/>
        </w:rPr>
        <w:t>La E.S.E municipal, Hospital San Juan de Dios es la entidad hospitalaria del municipio que tiene la mayor oferta en servicios de salud  seguida por el centro de salud BONAFONT y SAN LORENZO, en el municipio existen otros puestos de salud que son relacionados en los anexos del presente documento:</w:t>
      </w:r>
    </w:p>
    <w:tbl>
      <w:tblPr>
        <w:tblW w:w="10310" w:type="dxa"/>
        <w:tblInd w:w="-283"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Look w:val="01E0" w:firstRow="1" w:lastRow="1" w:firstColumn="1" w:lastColumn="1" w:noHBand="0" w:noVBand="0"/>
      </w:tblPr>
      <w:tblGrid>
        <w:gridCol w:w="3490"/>
        <w:gridCol w:w="3053"/>
        <w:gridCol w:w="3767"/>
      </w:tblGrid>
      <w:tr w:rsidR="00497DA0" w:rsidRPr="006772A7" w:rsidTr="006919A9">
        <w:trPr>
          <w:trHeight w:val="774"/>
        </w:trPr>
        <w:tc>
          <w:tcPr>
            <w:tcW w:w="3490" w:type="dxa"/>
            <w:shd w:val="clear" w:color="auto" w:fill="EFD3D2"/>
          </w:tcPr>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r w:rsidRPr="006772A7">
              <w:rPr>
                <w:rFonts w:cs="Calibri"/>
                <w:b/>
                <w:bCs/>
                <w:sz w:val="28"/>
                <w:szCs w:val="28"/>
              </w:rPr>
              <w:t>INSTITUCION</w:t>
            </w:r>
          </w:p>
        </w:tc>
        <w:tc>
          <w:tcPr>
            <w:tcW w:w="3053" w:type="dxa"/>
            <w:shd w:val="clear" w:color="auto" w:fill="DFA7A6"/>
          </w:tcPr>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r w:rsidRPr="006772A7">
              <w:rPr>
                <w:rFonts w:cs="Calibri"/>
                <w:b/>
                <w:bCs/>
                <w:sz w:val="28"/>
                <w:szCs w:val="28"/>
              </w:rPr>
              <w:t>Personal Asistencial.</w:t>
            </w: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SERVICIOS PRESTADOS</w:t>
            </w:r>
          </w:p>
        </w:tc>
      </w:tr>
      <w:tr w:rsidR="00497DA0" w:rsidRPr="006772A7" w:rsidTr="006919A9">
        <w:trPr>
          <w:trHeight w:val="382"/>
        </w:trPr>
        <w:tc>
          <w:tcPr>
            <w:tcW w:w="3490" w:type="dxa"/>
            <w:vMerge w:val="restart"/>
            <w:shd w:val="clear" w:color="auto" w:fill="DFA7A6"/>
          </w:tcPr>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r w:rsidRPr="006772A7">
              <w:rPr>
                <w:rFonts w:cs="Calibri"/>
                <w:b/>
                <w:bCs/>
                <w:sz w:val="28"/>
                <w:szCs w:val="28"/>
              </w:rPr>
              <w:t xml:space="preserve">ESE HOSPITAL </w:t>
            </w:r>
            <w:r w:rsidRPr="006772A7">
              <w:rPr>
                <w:rFonts w:cs="Calibri"/>
                <w:b/>
                <w:bCs/>
                <w:sz w:val="28"/>
                <w:szCs w:val="28"/>
              </w:rPr>
              <w:lastRenderedPageBreak/>
              <w:t>DEPARTAMENTAL SAN JUAN DE DIOS</w:t>
            </w:r>
          </w:p>
        </w:tc>
        <w:tc>
          <w:tcPr>
            <w:tcW w:w="3053" w:type="dxa"/>
            <w:vMerge w:val="restart"/>
            <w:shd w:val="clear" w:color="auto" w:fill="DFA7A6"/>
          </w:tcPr>
          <w:p w:rsidR="00497DA0" w:rsidRPr="006772A7" w:rsidRDefault="00497DA0" w:rsidP="006919A9">
            <w:pPr>
              <w:ind w:right="-234"/>
              <w:jc w:val="both"/>
              <w:rPr>
                <w:rFonts w:cs="Calibri"/>
                <w:sz w:val="28"/>
                <w:szCs w:val="28"/>
              </w:rPr>
            </w:pPr>
            <w:r w:rsidRPr="006772A7">
              <w:rPr>
                <w:rFonts w:cs="Calibri"/>
                <w:sz w:val="28"/>
                <w:szCs w:val="28"/>
              </w:rPr>
              <w:lastRenderedPageBreak/>
              <w:t>Médicos generales: 16</w:t>
            </w:r>
          </w:p>
          <w:p w:rsidR="00497DA0" w:rsidRPr="006772A7" w:rsidRDefault="00497DA0" w:rsidP="006919A9">
            <w:pPr>
              <w:ind w:right="-234"/>
              <w:jc w:val="both"/>
              <w:rPr>
                <w:rFonts w:cs="Calibri"/>
                <w:sz w:val="28"/>
                <w:szCs w:val="28"/>
              </w:rPr>
            </w:pPr>
          </w:p>
          <w:p w:rsidR="00497DA0" w:rsidRPr="006772A7" w:rsidRDefault="00497DA0" w:rsidP="006919A9">
            <w:pPr>
              <w:ind w:right="-234"/>
              <w:jc w:val="both"/>
              <w:rPr>
                <w:rFonts w:cs="Calibri"/>
                <w:sz w:val="28"/>
                <w:szCs w:val="28"/>
              </w:rPr>
            </w:pPr>
            <w:r w:rsidRPr="006772A7">
              <w:rPr>
                <w:rFonts w:cs="Calibri"/>
                <w:sz w:val="28"/>
                <w:szCs w:val="28"/>
              </w:rPr>
              <w:t>Médicos especialistas: 14</w:t>
            </w:r>
          </w:p>
          <w:p w:rsidR="00497DA0" w:rsidRPr="006772A7" w:rsidRDefault="00497DA0" w:rsidP="006919A9">
            <w:pPr>
              <w:ind w:right="-234"/>
              <w:jc w:val="both"/>
              <w:rPr>
                <w:rFonts w:cs="Calibri"/>
                <w:sz w:val="28"/>
                <w:szCs w:val="28"/>
              </w:rPr>
            </w:pPr>
          </w:p>
          <w:p w:rsidR="00497DA0" w:rsidRPr="006772A7" w:rsidRDefault="00497DA0" w:rsidP="006919A9">
            <w:pPr>
              <w:ind w:right="-234"/>
              <w:jc w:val="both"/>
              <w:rPr>
                <w:rFonts w:cs="Calibri"/>
                <w:sz w:val="28"/>
                <w:szCs w:val="28"/>
              </w:rPr>
            </w:pPr>
            <w:r w:rsidRPr="006772A7">
              <w:rPr>
                <w:rFonts w:cs="Calibri"/>
                <w:sz w:val="28"/>
                <w:szCs w:val="28"/>
              </w:rPr>
              <w:lastRenderedPageBreak/>
              <w:t>Odontólogos: 8</w:t>
            </w:r>
          </w:p>
          <w:p w:rsidR="00497DA0" w:rsidRPr="006772A7" w:rsidRDefault="00497DA0" w:rsidP="006919A9">
            <w:pPr>
              <w:ind w:right="-234"/>
              <w:jc w:val="both"/>
              <w:rPr>
                <w:rFonts w:cs="Calibri"/>
                <w:sz w:val="28"/>
                <w:szCs w:val="28"/>
              </w:rPr>
            </w:pPr>
          </w:p>
          <w:p w:rsidR="00497DA0" w:rsidRPr="006772A7" w:rsidRDefault="00497DA0" w:rsidP="006919A9">
            <w:pPr>
              <w:ind w:right="-234"/>
              <w:jc w:val="both"/>
              <w:rPr>
                <w:rFonts w:cs="Calibri"/>
                <w:sz w:val="28"/>
                <w:szCs w:val="28"/>
              </w:rPr>
            </w:pPr>
            <w:r w:rsidRPr="006772A7">
              <w:rPr>
                <w:rFonts w:cs="Calibri"/>
                <w:sz w:val="28"/>
                <w:szCs w:val="28"/>
              </w:rPr>
              <w:t>Enfermeros profesionales: 7</w:t>
            </w:r>
          </w:p>
          <w:p w:rsidR="00497DA0" w:rsidRPr="006772A7" w:rsidRDefault="00497DA0" w:rsidP="006919A9">
            <w:pPr>
              <w:ind w:right="-234"/>
              <w:jc w:val="both"/>
              <w:rPr>
                <w:rFonts w:cs="Calibri"/>
                <w:sz w:val="28"/>
                <w:szCs w:val="28"/>
              </w:rPr>
            </w:pPr>
          </w:p>
          <w:p w:rsidR="00497DA0" w:rsidRPr="006772A7" w:rsidRDefault="00497DA0" w:rsidP="006919A9">
            <w:pPr>
              <w:ind w:right="-234"/>
              <w:jc w:val="both"/>
              <w:rPr>
                <w:rFonts w:cs="Calibri"/>
                <w:sz w:val="28"/>
                <w:szCs w:val="28"/>
              </w:rPr>
            </w:pPr>
            <w:r w:rsidRPr="006772A7">
              <w:rPr>
                <w:rFonts w:cs="Calibri"/>
                <w:sz w:val="28"/>
                <w:szCs w:val="28"/>
              </w:rPr>
              <w:t>Auxiliares de Enfermería; 95 de planta</w:t>
            </w:r>
          </w:p>
          <w:p w:rsidR="00497DA0" w:rsidRPr="006772A7" w:rsidRDefault="00497DA0" w:rsidP="006919A9">
            <w:pPr>
              <w:ind w:right="-234"/>
              <w:jc w:val="both"/>
              <w:rPr>
                <w:rFonts w:cs="Calibri"/>
                <w:sz w:val="28"/>
                <w:szCs w:val="28"/>
              </w:rPr>
            </w:pPr>
          </w:p>
          <w:p w:rsidR="00497DA0" w:rsidRPr="006772A7" w:rsidRDefault="00497DA0" w:rsidP="006919A9">
            <w:pPr>
              <w:ind w:right="-234"/>
              <w:jc w:val="both"/>
              <w:rPr>
                <w:rFonts w:cs="Calibri"/>
                <w:sz w:val="28"/>
                <w:szCs w:val="28"/>
              </w:rPr>
            </w:pPr>
            <w:r w:rsidRPr="006772A7">
              <w:rPr>
                <w:rFonts w:cs="Calibri"/>
                <w:sz w:val="28"/>
                <w:szCs w:val="28"/>
              </w:rPr>
              <w:t>Bacteriólogas: 4</w:t>
            </w:r>
          </w:p>
          <w:p w:rsidR="00497DA0" w:rsidRPr="006772A7" w:rsidRDefault="00497DA0" w:rsidP="006919A9">
            <w:pPr>
              <w:ind w:right="-234"/>
              <w:jc w:val="both"/>
              <w:rPr>
                <w:rFonts w:cs="Calibri"/>
                <w:sz w:val="28"/>
                <w:szCs w:val="28"/>
              </w:rPr>
            </w:pPr>
          </w:p>
          <w:p w:rsidR="00497DA0" w:rsidRPr="006772A7" w:rsidRDefault="00497DA0" w:rsidP="006919A9">
            <w:pPr>
              <w:ind w:right="-234"/>
              <w:jc w:val="both"/>
              <w:rPr>
                <w:rFonts w:cs="Calibri"/>
                <w:sz w:val="28"/>
                <w:szCs w:val="28"/>
              </w:rPr>
            </w:pPr>
            <w:r w:rsidRPr="006772A7">
              <w:rPr>
                <w:rFonts w:cs="Calibri"/>
                <w:sz w:val="28"/>
                <w:szCs w:val="28"/>
              </w:rPr>
              <w:t>Técnicos de saneamiento: 2</w:t>
            </w: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lastRenderedPageBreak/>
              <w:t>Consulta médica general</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Consulta de Urgencias y atención de Partos</w:t>
            </w:r>
          </w:p>
        </w:tc>
      </w:tr>
      <w:tr w:rsidR="00497DA0" w:rsidRPr="006772A7" w:rsidTr="006919A9">
        <w:trPr>
          <w:trHeight w:val="115"/>
        </w:trPr>
        <w:tc>
          <w:tcPr>
            <w:tcW w:w="3490" w:type="dxa"/>
            <w:vMerge/>
            <w:shd w:val="clear" w:color="auto" w:fill="DFA7A6"/>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Promoción y Prevención</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Consulta Odontológica</w:t>
            </w:r>
          </w:p>
        </w:tc>
      </w:tr>
      <w:tr w:rsidR="00497DA0" w:rsidRPr="006772A7" w:rsidTr="006919A9">
        <w:trPr>
          <w:trHeight w:val="115"/>
        </w:trPr>
        <w:tc>
          <w:tcPr>
            <w:tcW w:w="3490" w:type="dxa"/>
            <w:vMerge/>
            <w:shd w:val="clear" w:color="auto" w:fill="DFA7A6"/>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 xml:space="preserve">Consulta </w:t>
            </w:r>
            <w:proofErr w:type="spellStart"/>
            <w:r w:rsidRPr="006772A7">
              <w:rPr>
                <w:rFonts w:cs="Calibri"/>
                <w:b/>
                <w:bCs/>
                <w:sz w:val="28"/>
                <w:szCs w:val="28"/>
              </w:rPr>
              <w:t>Preanestésica</w:t>
            </w:r>
            <w:proofErr w:type="spellEnd"/>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 xml:space="preserve">Consulta </w:t>
            </w:r>
            <w:proofErr w:type="spellStart"/>
            <w:r w:rsidRPr="006772A7">
              <w:rPr>
                <w:rFonts w:cs="Calibri"/>
                <w:b/>
                <w:bCs/>
                <w:sz w:val="28"/>
                <w:szCs w:val="28"/>
              </w:rPr>
              <w:t>Prequirúrgica</w:t>
            </w:r>
            <w:proofErr w:type="spellEnd"/>
          </w:p>
        </w:tc>
      </w:tr>
      <w:tr w:rsidR="00497DA0" w:rsidRPr="006772A7" w:rsidTr="006919A9">
        <w:trPr>
          <w:trHeight w:val="115"/>
        </w:trPr>
        <w:tc>
          <w:tcPr>
            <w:tcW w:w="3490" w:type="dxa"/>
            <w:vMerge/>
            <w:shd w:val="clear" w:color="auto" w:fill="DFA7A6"/>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Consulta Ambulatoria de Medicina Especializada</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Laboratorio Clínico</w:t>
            </w:r>
          </w:p>
        </w:tc>
      </w:tr>
      <w:tr w:rsidR="00497DA0" w:rsidRPr="006772A7" w:rsidTr="006919A9">
        <w:trPr>
          <w:trHeight w:val="115"/>
        </w:trPr>
        <w:tc>
          <w:tcPr>
            <w:tcW w:w="3490" w:type="dxa"/>
            <w:vMerge/>
            <w:shd w:val="clear" w:color="auto" w:fill="DFA7A6"/>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Sala de Rayos X</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Atención 2 Nivel</w:t>
            </w:r>
          </w:p>
        </w:tc>
      </w:tr>
      <w:tr w:rsidR="00497DA0" w:rsidRPr="006772A7" w:rsidTr="006919A9">
        <w:trPr>
          <w:trHeight w:val="382"/>
        </w:trPr>
        <w:tc>
          <w:tcPr>
            <w:tcW w:w="3490" w:type="dxa"/>
            <w:vMerge w:val="restart"/>
            <w:shd w:val="clear" w:color="auto" w:fill="DFA7A6"/>
          </w:tcPr>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r w:rsidRPr="006772A7">
              <w:rPr>
                <w:rFonts w:cs="Calibri"/>
                <w:b/>
                <w:bCs/>
                <w:sz w:val="28"/>
                <w:szCs w:val="28"/>
              </w:rPr>
              <w:t>CENTRO DE SALUD SAN LORENZO</w:t>
            </w: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Promoción y Prevención</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Consulta médica general</w:t>
            </w:r>
          </w:p>
        </w:tc>
      </w:tr>
      <w:tr w:rsidR="00497DA0" w:rsidRPr="006772A7" w:rsidTr="006919A9">
        <w:trPr>
          <w:trHeight w:val="115"/>
        </w:trPr>
        <w:tc>
          <w:tcPr>
            <w:tcW w:w="3490" w:type="dxa"/>
            <w:vMerge/>
            <w:shd w:val="clear" w:color="auto" w:fill="DFA7A6"/>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Consulta de Urgencias y atención de Partos</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Consulta Odontológica</w:t>
            </w:r>
          </w:p>
        </w:tc>
      </w:tr>
      <w:tr w:rsidR="00497DA0" w:rsidRPr="006772A7" w:rsidTr="006919A9">
        <w:trPr>
          <w:trHeight w:val="393"/>
        </w:trPr>
        <w:tc>
          <w:tcPr>
            <w:tcW w:w="3490" w:type="dxa"/>
            <w:vMerge w:val="restart"/>
            <w:shd w:val="clear" w:color="auto" w:fill="DFA7A6"/>
          </w:tcPr>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p>
          <w:p w:rsidR="00497DA0" w:rsidRPr="006772A7" w:rsidRDefault="00497DA0" w:rsidP="006919A9">
            <w:pPr>
              <w:ind w:right="-234"/>
              <w:jc w:val="both"/>
              <w:rPr>
                <w:rFonts w:cs="Calibri"/>
                <w:b/>
                <w:bCs/>
                <w:sz w:val="28"/>
                <w:szCs w:val="28"/>
              </w:rPr>
            </w:pPr>
            <w:r w:rsidRPr="006772A7">
              <w:rPr>
                <w:rFonts w:cs="Calibri"/>
                <w:b/>
                <w:bCs/>
                <w:sz w:val="28"/>
                <w:szCs w:val="28"/>
              </w:rPr>
              <w:t>CENTRO DE SALUD BONAFONT</w:t>
            </w: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Promoción y Prevención</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Consulta médica general</w:t>
            </w:r>
          </w:p>
        </w:tc>
      </w:tr>
      <w:tr w:rsidR="00497DA0" w:rsidRPr="006772A7" w:rsidTr="006919A9">
        <w:trPr>
          <w:trHeight w:val="115"/>
        </w:trPr>
        <w:tc>
          <w:tcPr>
            <w:tcW w:w="3490" w:type="dxa"/>
            <w:vMerge/>
            <w:shd w:val="clear" w:color="auto" w:fill="DFA7A6"/>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Consulta de Urgencias y atención de Partos</w:t>
            </w:r>
          </w:p>
        </w:tc>
      </w:tr>
      <w:tr w:rsidR="00497DA0" w:rsidRPr="006772A7" w:rsidTr="006919A9">
        <w:trPr>
          <w:trHeight w:val="115"/>
        </w:trPr>
        <w:tc>
          <w:tcPr>
            <w:tcW w:w="3490" w:type="dxa"/>
            <w:vMerge/>
            <w:shd w:val="clear" w:color="auto" w:fill="EFD3D2"/>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Consulta Odontológica</w:t>
            </w:r>
          </w:p>
        </w:tc>
      </w:tr>
      <w:tr w:rsidR="00497DA0" w:rsidRPr="006772A7" w:rsidTr="006919A9">
        <w:trPr>
          <w:trHeight w:val="115"/>
        </w:trPr>
        <w:tc>
          <w:tcPr>
            <w:tcW w:w="3490" w:type="dxa"/>
            <w:vMerge/>
            <w:shd w:val="clear" w:color="auto" w:fill="DFA7A6"/>
          </w:tcPr>
          <w:p w:rsidR="00497DA0" w:rsidRPr="006772A7" w:rsidRDefault="00497DA0" w:rsidP="006919A9">
            <w:pPr>
              <w:ind w:right="-234"/>
              <w:jc w:val="both"/>
              <w:rPr>
                <w:rFonts w:cs="Calibri"/>
                <w:b/>
                <w:bCs/>
                <w:sz w:val="28"/>
                <w:szCs w:val="28"/>
              </w:rPr>
            </w:pPr>
          </w:p>
        </w:tc>
        <w:tc>
          <w:tcPr>
            <w:tcW w:w="3053" w:type="dxa"/>
            <w:vMerge/>
            <w:shd w:val="clear" w:color="auto" w:fill="DFA7A6"/>
          </w:tcPr>
          <w:p w:rsidR="00497DA0" w:rsidRPr="006772A7" w:rsidRDefault="00497DA0" w:rsidP="006919A9">
            <w:pPr>
              <w:ind w:right="-234"/>
              <w:jc w:val="both"/>
              <w:rPr>
                <w:rFonts w:cs="Calibri"/>
                <w:sz w:val="28"/>
                <w:szCs w:val="28"/>
              </w:rPr>
            </w:pPr>
          </w:p>
        </w:tc>
        <w:tc>
          <w:tcPr>
            <w:tcW w:w="3767" w:type="dxa"/>
            <w:shd w:val="clear" w:color="auto" w:fill="DFA7A6"/>
          </w:tcPr>
          <w:p w:rsidR="00497DA0" w:rsidRPr="006772A7" w:rsidRDefault="00497DA0" w:rsidP="006919A9">
            <w:pPr>
              <w:ind w:right="-234"/>
              <w:jc w:val="both"/>
              <w:rPr>
                <w:rFonts w:cs="Calibri"/>
                <w:b/>
                <w:bCs/>
                <w:sz w:val="28"/>
                <w:szCs w:val="28"/>
              </w:rPr>
            </w:pPr>
            <w:r w:rsidRPr="006772A7">
              <w:rPr>
                <w:rFonts w:cs="Calibri"/>
                <w:b/>
                <w:bCs/>
                <w:sz w:val="28"/>
                <w:szCs w:val="28"/>
              </w:rPr>
              <w:t>Laboratorio Clínico</w:t>
            </w:r>
          </w:p>
        </w:tc>
      </w:tr>
      <w:tr w:rsidR="00497DA0" w:rsidRPr="006772A7" w:rsidTr="006919A9">
        <w:trPr>
          <w:trHeight w:val="115"/>
        </w:trPr>
        <w:tc>
          <w:tcPr>
            <w:tcW w:w="3490" w:type="dxa"/>
            <w:vMerge/>
            <w:tcBorders>
              <w:top w:val="single" w:sz="18" w:space="0" w:color="CF7B79"/>
            </w:tcBorders>
            <w:shd w:val="clear" w:color="auto" w:fill="EFD3D2"/>
          </w:tcPr>
          <w:p w:rsidR="00497DA0" w:rsidRPr="006772A7" w:rsidRDefault="00497DA0" w:rsidP="006919A9">
            <w:pPr>
              <w:ind w:right="-234"/>
              <w:jc w:val="both"/>
              <w:rPr>
                <w:rFonts w:cs="Calibri"/>
                <w:b/>
                <w:bCs/>
                <w:sz w:val="28"/>
                <w:szCs w:val="28"/>
              </w:rPr>
            </w:pPr>
          </w:p>
        </w:tc>
        <w:tc>
          <w:tcPr>
            <w:tcW w:w="3053" w:type="dxa"/>
            <w:vMerge/>
            <w:tcBorders>
              <w:top w:val="single" w:sz="18" w:space="0" w:color="CF7B79"/>
            </w:tcBorders>
            <w:shd w:val="clear" w:color="auto" w:fill="DFA7A6"/>
          </w:tcPr>
          <w:p w:rsidR="00497DA0" w:rsidRPr="006772A7" w:rsidRDefault="00497DA0" w:rsidP="006919A9">
            <w:pPr>
              <w:ind w:right="-234"/>
              <w:jc w:val="both"/>
              <w:rPr>
                <w:rFonts w:cs="Calibri"/>
                <w:b/>
                <w:bCs/>
                <w:sz w:val="28"/>
                <w:szCs w:val="28"/>
              </w:rPr>
            </w:pPr>
          </w:p>
        </w:tc>
        <w:tc>
          <w:tcPr>
            <w:tcW w:w="3767" w:type="dxa"/>
            <w:tcBorders>
              <w:top w:val="single" w:sz="18" w:space="0" w:color="CF7B79"/>
            </w:tcBorders>
            <w:shd w:val="clear" w:color="auto" w:fill="EFD3D2"/>
          </w:tcPr>
          <w:p w:rsidR="00497DA0" w:rsidRPr="006772A7" w:rsidRDefault="00497DA0" w:rsidP="006919A9">
            <w:pPr>
              <w:ind w:right="-234"/>
              <w:jc w:val="both"/>
              <w:rPr>
                <w:rFonts w:cs="Calibri"/>
                <w:b/>
                <w:bCs/>
                <w:sz w:val="28"/>
                <w:szCs w:val="28"/>
              </w:rPr>
            </w:pPr>
            <w:r w:rsidRPr="006772A7">
              <w:rPr>
                <w:rFonts w:cs="Calibri"/>
                <w:b/>
                <w:bCs/>
                <w:sz w:val="28"/>
                <w:szCs w:val="28"/>
              </w:rPr>
              <w:t>Sala de Rayos X</w:t>
            </w:r>
          </w:p>
        </w:tc>
      </w:tr>
    </w:tbl>
    <w:p w:rsidR="00497DA0" w:rsidRPr="006772A7" w:rsidRDefault="00497DA0" w:rsidP="00497DA0">
      <w:pPr>
        <w:ind w:right="-234"/>
        <w:jc w:val="both"/>
        <w:rPr>
          <w:rFonts w:cs="Calibri"/>
          <w:sz w:val="28"/>
          <w:szCs w:val="28"/>
        </w:rPr>
      </w:pPr>
    </w:p>
    <w:p w:rsidR="00497DA0" w:rsidRPr="006772A7" w:rsidRDefault="00497DA0" w:rsidP="00497DA0">
      <w:pPr>
        <w:ind w:right="-234"/>
        <w:jc w:val="both"/>
        <w:rPr>
          <w:rFonts w:cs="Calibri"/>
          <w:sz w:val="28"/>
          <w:szCs w:val="28"/>
        </w:rPr>
      </w:pPr>
      <w:r w:rsidRPr="006772A7">
        <w:rPr>
          <w:rFonts w:cs="Calibri"/>
          <w:sz w:val="28"/>
          <w:szCs w:val="28"/>
        </w:rPr>
        <w:t xml:space="preserve">Desafortunadamente la gestión en materia de salud en el municipio ha sido ineficaz y deficiente, por tanto el año 2010 el municipio fue desertificado en esa área, las razones para dicha certificación fueron: </w:t>
      </w:r>
    </w:p>
    <w:p w:rsidR="00497DA0" w:rsidRPr="006772A7" w:rsidRDefault="00497DA0" w:rsidP="00497DA0">
      <w:pPr>
        <w:numPr>
          <w:ilvl w:val="0"/>
          <w:numId w:val="2"/>
        </w:numPr>
        <w:ind w:right="-234"/>
        <w:jc w:val="both"/>
        <w:rPr>
          <w:rFonts w:cs="Calibri"/>
          <w:sz w:val="28"/>
          <w:szCs w:val="28"/>
        </w:rPr>
      </w:pPr>
      <w:r w:rsidRPr="006772A7">
        <w:rPr>
          <w:rFonts w:cs="Calibri"/>
          <w:sz w:val="28"/>
          <w:szCs w:val="28"/>
        </w:rPr>
        <w:lastRenderedPageBreak/>
        <w:t>El Hospital San Juan de Dios (principal entidad prestadora de salud del municipio) supero sus pasivos en un 10%.</w:t>
      </w:r>
    </w:p>
    <w:p w:rsidR="00497DA0" w:rsidRPr="006772A7" w:rsidRDefault="00497DA0" w:rsidP="00497DA0">
      <w:pPr>
        <w:numPr>
          <w:ilvl w:val="0"/>
          <w:numId w:val="2"/>
        </w:numPr>
        <w:ind w:right="-234"/>
        <w:jc w:val="both"/>
        <w:rPr>
          <w:rFonts w:cs="Calibri"/>
          <w:sz w:val="28"/>
          <w:szCs w:val="28"/>
        </w:rPr>
      </w:pPr>
      <w:r w:rsidRPr="006772A7">
        <w:rPr>
          <w:rFonts w:cs="Calibri"/>
          <w:sz w:val="28"/>
          <w:szCs w:val="28"/>
        </w:rPr>
        <w:t>La evaluación de los indicadores de calidad fue negativa para casi todos los indicadores.</w:t>
      </w:r>
    </w:p>
    <w:p w:rsidR="00497DA0" w:rsidRPr="006772A7" w:rsidRDefault="00497DA0" w:rsidP="00497DA0">
      <w:pPr>
        <w:numPr>
          <w:ilvl w:val="0"/>
          <w:numId w:val="2"/>
        </w:numPr>
        <w:ind w:right="-234"/>
        <w:jc w:val="both"/>
        <w:rPr>
          <w:rFonts w:cs="Calibri"/>
          <w:sz w:val="28"/>
          <w:szCs w:val="28"/>
        </w:rPr>
      </w:pPr>
      <w:r w:rsidRPr="006772A7">
        <w:rPr>
          <w:rFonts w:cs="Calibri"/>
          <w:sz w:val="28"/>
          <w:szCs w:val="28"/>
        </w:rPr>
        <w:t>No hubo informe de rendición de cuentas por parte del Hospital</w:t>
      </w:r>
    </w:p>
    <w:p w:rsidR="00497DA0" w:rsidRPr="006772A7" w:rsidRDefault="00497DA0" w:rsidP="00497DA0">
      <w:pPr>
        <w:numPr>
          <w:ilvl w:val="0"/>
          <w:numId w:val="2"/>
        </w:numPr>
        <w:ind w:right="-234"/>
        <w:jc w:val="both"/>
        <w:rPr>
          <w:rFonts w:cs="Calibri"/>
          <w:sz w:val="28"/>
          <w:szCs w:val="28"/>
        </w:rPr>
      </w:pPr>
      <w:r w:rsidRPr="006772A7">
        <w:rPr>
          <w:rFonts w:cs="Calibri"/>
          <w:sz w:val="28"/>
          <w:szCs w:val="28"/>
        </w:rPr>
        <w:t>No hubo reportes en el marco del SIPRO</w:t>
      </w:r>
    </w:p>
    <w:p w:rsidR="00497DA0" w:rsidRPr="006772A7" w:rsidRDefault="00497DA0" w:rsidP="00497DA0">
      <w:pPr>
        <w:numPr>
          <w:ilvl w:val="0"/>
          <w:numId w:val="2"/>
        </w:numPr>
        <w:ind w:right="-234"/>
        <w:jc w:val="both"/>
        <w:rPr>
          <w:rFonts w:cs="Calibri"/>
          <w:sz w:val="28"/>
          <w:szCs w:val="28"/>
        </w:rPr>
      </w:pPr>
      <w:r w:rsidRPr="006772A7">
        <w:rPr>
          <w:rFonts w:cs="Calibri"/>
          <w:sz w:val="28"/>
          <w:szCs w:val="28"/>
        </w:rPr>
        <w:t>La dirección local de salud no generó los informes y reportes solicitados por el PAMEC</w:t>
      </w:r>
    </w:p>
    <w:p w:rsidR="00497DA0" w:rsidRPr="006772A7" w:rsidRDefault="00497DA0" w:rsidP="00497DA0">
      <w:pPr>
        <w:numPr>
          <w:ilvl w:val="0"/>
          <w:numId w:val="2"/>
        </w:numPr>
        <w:ind w:right="-234"/>
        <w:jc w:val="both"/>
        <w:rPr>
          <w:rFonts w:cs="Calibri"/>
          <w:sz w:val="28"/>
          <w:szCs w:val="28"/>
        </w:rPr>
      </w:pPr>
      <w:r w:rsidRPr="006772A7">
        <w:rPr>
          <w:rFonts w:cs="Calibri"/>
          <w:sz w:val="28"/>
          <w:szCs w:val="28"/>
        </w:rPr>
        <w:t>No se verificó el análisis  de los registros individuales de prestación de servicios (RIPS) de la población  pobre no afiliada,  la cual debía ser  cruzada y convalidada con la base de datos del régimen contributivo, para el pago de los aportes patronales sin situación de fondos.</w:t>
      </w:r>
    </w:p>
    <w:p w:rsidR="00497DA0" w:rsidRPr="006772A7" w:rsidRDefault="00497DA0" w:rsidP="00497DA0">
      <w:pPr>
        <w:numPr>
          <w:ilvl w:val="0"/>
          <w:numId w:val="2"/>
        </w:numPr>
        <w:ind w:right="-234"/>
        <w:jc w:val="both"/>
        <w:rPr>
          <w:rFonts w:cs="Calibri"/>
          <w:sz w:val="28"/>
          <w:szCs w:val="28"/>
        </w:rPr>
      </w:pPr>
      <w:r w:rsidRPr="006772A7">
        <w:rPr>
          <w:rFonts w:cs="Calibri"/>
          <w:sz w:val="28"/>
          <w:szCs w:val="28"/>
        </w:rPr>
        <w:t>No se analizó la información de indicadores del decreto 2193.</w:t>
      </w:r>
    </w:p>
    <w:p w:rsidR="00497DA0" w:rsidRPr="006772A7" w:rsidRDefault="00497DA0" w:rsidP="00497DA0">
      <w:pPr>
        <w:ind w:right="-234"/>
        <w:jc w:val="both"/>
        <w:rPr>
          <w:rFonts w:cs="Calibri"/>
          <w:sz w:val="28"/>
          <w:szCs w:val="28"/>
        </w:rPr>
      </w:pPr>
      <w:r w:rsidRPr="006772A7">
        <w:rPr>
          <w:rFonts w:cs="Calibri"/>
          <w:sz w:val="28"/>
          <w:szCs w:val="28"/>
        </w:rPr>
        <w:t xml:space="preserve">Es importante señalar que se han generado acuerdos y estrategias de articulación con diferentes entidades e instituciones para llevar a cabo acciones preventivas y de atención en materia de salud (AIEPI). Dichas entidades y organizaciones son principalmente: Cruz roja, ICBF, CTI, policía de infancia y adolescencia, </w:t>
      </w:r>
      <w:proofErr w:type="spellStart"/>
      <w:r w:rsidRPr="006772A7">
        <w:rPr>
          <w:rFonts w:cs="Calibri"/>
          <w:sz w:val="28"/>
          <w:szCs w:val="28"/>
        </w:rPr>
        <w:t>Cobienestar</w:t>
      </w:r>
      <w:proofErr w:type="spellEnd"/>
      <w:r w:rsidRPr="006772A7">
        <w:rPr>
          <w:rFonts w:cs="Calibri"/>
          <w:sz w:val="28"/>
          <w:szCs w:val="28"/>
        </w:rPr>
        <w:t xml:space="preserve">, hogares </w:t>
      </w:r>
      <w:proofErr w:type="spellStart"/>
      <w:r w:rsidRPr="006772A7">
        <w:rPr>
          <w:rFonts w:cs="Calibri"/>
          <w:sz w:val="28"/>
          <w:szCs w:val="28"/>
        </w:rPr>
        <w:t>Fami</w:t>
      </w:r>
      <w:proofErr w:type="spellEnd"/>
      <w:r w:rsidRPr="006772A7">
        <w:rPr>
          <w:rFonts w:cs="Calibri"/>
          <w:sz w:val="28"/>
          <w:szCs w:val="28"/>
        </w:rPr>
        <w:t xml:space="preserve"> y tradicionales, comisaría de familia, secretaría de educación, secretaría de gobierno, secretaría de política social, secretaría de cultura y turismo, IPS </w:t>
      </w:r>
      <w:proofErr w:type="spellStart"/>
      <w:r w:rsidRPr="006772A7">
        <w:rPr>
          <w:rFonts w:cs="Calibri"/>
          <w:sz w:val="28"/>
          <w:szCs w:val="28"/>
        </w:rPr>
        <w:t>Cosmitet</w:t>
      </w:r>
      <w:proofErr w:type="spellEnd"/>
      <w:r w:rsidRPr="006772A7">
        <w:rPr>
          <w:rFonts w:cs="Calibri"/>
          <w:sz w:val="28"/>
          <w:szCs w:val="28"/>
        </w:rPr>
        <w:t xml:space="preserve">, Centro de Capacitación e Integración Indígena Ingruma, SENA técnicos en salud pública, cabildantes, veedores en salud, líderes juveniles, Superando Fronteras, Asociación Parabólica </w:t>
      </w:r>
      <w:proofErr w:type="spellStart"/>
      <w:r w:rsidRPr="006772A7">
        <w:rPr>
          <w:rFonts w:cs="Calibri"/>
          <w:sz w:val="28"/>
          <w:szCs w:val="28"/>
        </w:rPr>
        <w:t>Ingrumá</w:t>
      </w:r>
      <w:proofErr w:type="spellEnd"/>
      <w:r w:rsidRPr="006772A7">
        <w:rPr>
          <w:rFonts w:cs="Calibri"/>
          <w:sz w:val="28"/>
          <w:szCs w:val="28"/>
        </w:rPr>
        <w:t xml:space="preserve"> tv </w:t>
      </w:r>
      <w:proofErr w:type="spellStart"/>
      <w:r w:rsidRPr="006772A7">
        <w:rPr>
          <w:rFonts w:cs="Calibri"/>
          <w:sz w:val="28"/>
          <w:szCs w:val="28"/>
        </w:rPr>
        <w:t>y</w:t>
      </w:r>
      <w:proofErr w:type="spellEnd"/>
      <w:r w:rsidRPr="006772A7">
        <w:rPr>
          <w:rFonts w:cs="Calibri"/>
          <w:sz w:val="28"/>
          <w:szCs w:val="28"/>
        </w:rPr>
        <w:t xml:space="preserve"> instituciones educativas.</w:t>
      </w:r>
    </w:p>
    <w:p w:rsidR="00497DA0" w:rsidRPr="006772A7" w:rsidRDefault="00497DA0" w:rsidP="00497DA0">
      <w:pPr>
        <w:ind w:right="-234"/>
        <w:jc w:val="both"/>
        <w:rPr>
          <w:rFonts w:cs="Calibri"/>
          <w:sz w:val="28"/>
          <w:szCs w:val="28"/>
        </w:rPr>
      </w:pPr>
      <w:r w:rsidRPr="006772A7">
        <w:rPr>
          <w:rFonts w:cs="Calibri"/>
          <w:sz w:val="28"/>
          <w:szCs w:val="28"/>
        </w:rPr>
        <w:t xml:space="preserve">Con referencia a la cobertura y prestación del servicio al amplio margen de población indígena que hay en el municipio, es necesario señalar que se han generado estrategias que permitan la formulación de un sistema de salud intercultural que de repuesta a las necesidades de estas comunidades. El objetivo de dichas estrategias es promover la integralidad con enfoque </w:t>
      </w:r>
      <w:r w:rsidRPr="006772A7">
        <w:rPr>
          <w:rFonts w:cs="Calibri"/>
          <w:sz w:val="28"/>
          <w:szCs w:val="28"/>
        </w:rPr>
        <w:lastRenderedPageBreak/>
        <w:t xml:space="preserve">diferencial en materia de salud a partir del reconocimiento de la medicina tradicional, Chamanes, Sobanderos y Parteras son reconocidos por las comunidades como conocedores de procesos curativos y como sujetos de confianza. </w:t>
      </w:r>
    </w:p>
    <w:p w:rsidR="00497DA0" w:rsidRPr="006772A7" w:rsidRDefault="00497DA0" w:rsidP="00497DA0">
      <w:pPr>
        <w:spacing w:after="0"/>
        <w:ind w:right="-234"/>
        <w:contextualSpacing/>
        <w:jc w:val="both"/>
        <w:rPr>
          <w:rFonts w:eastAsia="Arial Unicode MS" w:cs="Calibri"/>
          <w:sz w:val="28"/>
          <w:szCs w:val="28"/>
        </w:rPr>
      </w:pPr>
      <w:r w:rsidRPr="006772A7">
        <w:rPr>
          <w:rFonts w:eastAsia="Arial Unicode MS" w:cs="Calibri"/>
          <w:sz w:val="28"/>
          <w:szCs w:val="28"/>
        </w:rPr>
        <w:t xml:space="preserve">Desde el primer  semestre del 2011 con la contratación de la Asociación Indígena del Cauca EPSI, del régimen subsidiado del municipio de Riosucio Caldas, se inicio un trabajo del fortalecimiento del Sistema indígena de salud  propio e intercultural; la metodología consiste en contratar con el Hospital Departamental San Juan de Dios ESE, el proyecto de salud indígena con enfoque de riesgo en el marco del Sistema Obligatorio de la Garantía de la calidad en la prestación del servicio de salud, el cual  se enfoca en tres objetivos: </w:t>
      </w:r>
    </w:p>
    <w:p w:rsidR="00497DA0" w:rsidRPr="006772A7" w:rsidRDefault="00497DA0" w:rsidP="00497DA0">
      <w:pPr>
        <w:spacing w:after="0"/>
        <w:ind w:right="-234"/>
        <w:contextualSpacing/>
        <w:jc w:val="both"/>
        <w:rPr>
          <w:rFonts w:eastAsia="Arial Unicode MS" w:cs="Calibri"/>
          <w:sz w:val="28"/>
          <w:szCs w:val="28"/>
        </w:rPr>
      </w:pPr>
    </w:p>
    <w:p w:rsidR="00497DA0" w:rsidRPr="006772A7" w:rsidRDefault="00497DA0" w:rsidP="00497DA0">
      <w:pPr>
        <w:numPr>
          <w:ilvl w:val="0"/>
          <w:numId w:val="3"/>
        </w:numPr>
        <w:spacing w:after="0"/>
        <w:ind w:right="-234"/>
        <w:contextualSpacing/>
        <w:jc w:val="both"/>
        <w:rPr>
          <w:rFonts w:eastAsia="Arial Unicode MS" w:cs="Calibri"/>
          <w:sz w:val="28"/>
          <w:szCs w:val="28"/>
        </w:rPr>
      </w:pPr>
      <w:r w:rsidRPr="006772A7">
        <w:rPr>
          <w:rFonts w:eastAsia="Arial Unicode MS" w:cs="Calibri"/>
          <w:sz w:val="28"/>
          <w:szCs w:val="28"/>
        </w:rPr>
        <w:t xml:space="preserve">Fortalecimiento de la prestación de los servicios de salud con la medicina tradicional, </w:t>
      </w:r>
    </w:p>
    <w:p w:rsidR="00497DA0" w:rsidRPr="006772A7" w:rsidRDefault="00497DA0" w:rsidP="00497DA0">
      <w:pPr>
        <w:numPr>
          <w:ilvl w:val="0"/>
          <w:numId w:val="3"/>
        </w:numPr>
        <w:spacing w:after="0"/>
        <w:ind w:right="-234"/>
        <w:contextualSpacing/>
        <w:jc w:val="both"/>
        <w:rPr>
          <w:rFonts w:eastAsia="Arial Unicode MS" w:cs="Calibri"/>
          <w:sz w:val="28"/>
          <w:szCs w:val="28"/>
        </w:rPr>
      </w:pPr>
      <w:r w:rsidRPr="006772A7">
        <w:rPr>
          <w:rFonts w:eastAsia="Arial Unicode MS" w:cs="Calibri"/>
          <w:sz w:val="28"/>
          <w:szCs w:val="28"/>
        </w:rPr>
        <w:t xml:space="preserve">Fortalecimiento del estado nutricional de las gestantes y los menores de 5 años </w:t>
      </w:r>
    </w:p>
    <w:p w:rsidR="00497DA0" w:rsidRPr="006772A7" w:rsidRDefault="00497DA0" w:rsidP="00497DA0">
      <w:pPr>
        <w:numPr>
          <w:ilvl w:val="0"/>
          <w:numId w:val="3"/>
        </w:numPr>
        <w:spacing w:after="0"/>
        <w:ind w:right="-234"/>
        <w:contextualSpacing/>
        <w:jc w:val="both"/>
        <w:rPr>
          <w:rFonts w:eastAsia="Arial Unicode MS" w:cs="Calibri"/>
          <w:sz w:val="28"/>
          <w:szCs w:val="28"/>
        </w:rPr>
      </w:pPr>
      <w:r w:rsidRPr="006772A7">
        <w:rPr>
          <w:rFonts w:eastAsia="Arial Unicode MS" w:cs="Calibri"/>
          <w:sz w:val="28"/>
          <w:szCs w:val="28"/>
        </w:rPr>
        <w:t xml:space="preserve">Fomento de la salud </w:t>
      </w:r>
    </w:p>
    <w:p w:rsidR="00497DA0" w:rsidRPr="006772A7" w:rsidRDefault="00497DA0" w:rsidP="00497DA0">
      <w:pPr>
        <w:spacing w:after="0"/>
        <w:ind w:right="-234"/>
        <w:contextualSpacing/>
        <w:jc w:val="both"/>
        <w:rPr>
          <w:rFonts w:eastAsia="Arial Unicode MS" w:cs="Calibri"/>
          <w:sz w:val="28"/>
          <w:szCs w:val="28"/>
        </w:rPr>
      </w:pPr>
    </w:p>
    <w:p w:rsidR="00497DA0" w:rsidRPr="006772A7" w:rsidRDefault="00497DA0" w:rsidP="00497DA0">
      <w:pPr>
        <w:spacing w:after="0"/>
        <w:ind w:right="-234"/>
        <w:contextualSpacing/>
        <w:jc w:val="both"/>
        <w:rPr>
          <w:rFonts w:eastAsia="Arial Unicode MS" w:cs="Calibri"/>
          <w:sz w:val="28"/>
          <w:szCs w:val="28"/>
        </w:rPr>
      </w:pPr>
      <w:r w:rsidRPr="006772A7">
        <w:rPr>
          <w:rFonts w:eastAsia="Arial Unicode MS" w:cs="Calibri"/>
          <w:sz w:val="28"/>
          <w:szCs w:val="28"/>
        </w:rPr>
        <w:t>Por otro lado, en acuerdo con la IPSI Minga se está fortaleciendo la medicina tradicional y la partería con un plan de acción por cada una de las seis áreas de trabajo según los mandatos de médicos tradicionales y parteras del departamento.</w:t>
      </w:r>
    </w:p>
    <w:p w:rsidR="00497DA0" w:rsidRPr="006772A7" w:rsidRDefault="00497DA0" w:rsidP="00497DA0">
      <w:pPr>
        <w:ind w:right="-234"/>
        <w:jc w:val="both"/>
        <w:rPr>
          <w:rFonts w:cs="Calibri"/>
          <w:sz w:val="28"/>
          <w:szCs w:val="28"/>
        </w:rPr>
      </w:pPr>
    </w:p>
    <w:p w:rsidR="00497DA0" w:rsidRPr="006772A7" w:rsidRDefault="00497DA0" w:rsidP="00497DA0">
      <w:pPr>
        <w:ind w:right="-234"/>
        <w:jc w:val="both"/>
        <w:rPr>
          <w:rFonts w:cs="Calibri"/>
          <w:sz w:val="28"/>
          <w:szCs w:val="28"/>
        </w:rPr>
      </w:pPr>
      <w:r w:rsidRPr="006772A7">
        <w:rPr>
          <w:rFonts w:cs="Calibri"/>
          <w:sz w:val="28"/>
          <w:szCs w:val="28"/>
        </w:rPr>
        <w:t>4.2 Situación en salud de la población del municipio:</w:t>
      </w:r>
    </w:p>
    <w:p w:rsidR="00497DA0" w:rsidRPr="006772A7" w:rsidRDefault="00497DA0" w:rsidP="00497DA0">
      <w:pPr>
        <w:rPr>
          <w:rFonts w:cs="Calibri"/>
          <w:sz w:val="28"/>
          <w:szCs w:val="28"/>
        </w:rPr>
      </w:pPr>
      <w:r w:rsidRPr="006772A7">
        <w:rPr>
          <w:rFonts w:cs="Calibri"/>
          <w:sz w:val="28"/>
          <w:szCs w:val="28"/>
        </w:rPr>
        <w:t>4.2.1 Situación de Discapacidad</w:t>
      </w:r>
    </w:p>
    <w:p w:rsidR="00497DA0" w:rsidRPr="006772A7" w:rsidRDefault="00497DA0" w:rsidP="00497DA0">
      <w:pPr>
        <w:ind w:right="-234"/>
        <w:jc w:val="both"/>
        <w:rPr>
          <w:rFonts w:cs="Calibri"/>
          <w:bCs/>
          <w:sz w:val="28"/>
          <w:szCs w:val="28"/>
        </w:rPr>
      </w:pPr>
      <w:r w:rsidRPr="006772A7">
        <w:rPr>
          <w:rFonts w:cs="Calibri"/>
          <w:bCs/>
          <w:sz w:val="28"/>
          <w:szCs w:val="28"/>
        </w:rPr>
        <w:t xml:space="preserve">De acuerdo con el censo realizado por el Hospital  Departamental San Juan de Dios, la información en materia de discapacidad es la siguiente: pacientes con  </w:t>
      </w:r>
      <w:r w:rsidRPr="006772A7">
        <w:rPr>
          <w:rFonts w:cs="Calibri"/>
          <w:bCs/>
          <w:sz w:val="28"/>
          <w:szCs w:val="28"/>
        </w:rPr>
        <w:lastRenderedPageBreak/>
        <w:t xml:space="preserve">limitaciones </w:t>
      </w:r>
      <w:r w:rsidRPr="006772A7">
        <w:rPr>
          <w:rFonts w:cs="Calibri"/>
          <w:sz w:val="28"/>
          <w:szCs w:val="28"/>
        </w:rPr>
        <w:t xml:space="preserve"> Física 649,  Mental 373,  Sensorial  373, p</w:t>
      </w:r>
      <w:r w:rsidRPr="006772A7">
        <w:rPr>
          <w:rFonts w:cs="Calibri"/>
          <w:bCs/>
          <w:sz w:val="28"/>
          <w:szCs w:val="28"/>
        </w:rPr>
        <w:t>ara un total de 1395 en todo el municipio.</w:t>
      </w:r>
      <w:r w:rsidRPr="006772A7">
        <w:rPr>
          <w:rStyle w:val="Refdenotaalpie"/>
          <w:rFonts w:cs="Calibri"/>
          <w:bCs/>
        </w:rPr>
        <w:footnoteReference w:id="6"/>
      </w:r>
      <w:r w:rsidRPr="006772A7">
        <w:rPr>
          <w:rFonts w:cs="Calibri"/>
          <w:bCs/>
          <w:sz w:val="28"/>
          <w:szCs w:val="28"/>
        </w:rPr>
        <w:t xml:space="preserve"> </w:t>
      </w:r>
    </w:p>
    <w:p w:rsidR="00497DA0" w:rsidRPr="006772A7" w:rsidRDefault="00497DA0" w:rsidP="00497DA0">
      <w:pPr>
        <w:rPr>
          <w:rFonts w:cs="Calibri"/>
          <w:bCs/>
          <w:sz w:val="28"/>
          <w:szCs w:val="28"/>
        </w:rPr>
      </w:pPr>
      <w:r w:rsidRPr="006772A7">
        <w:rPr>
          <w:rFonts w:cs="Calibri"/>
          <w:bCs/>
          <w:sz w:val="28"/>
          <w:szCs w:val="28"/>
        </w:rPr>
        <w:t>4.2.2 Problemática infantil</w:t>
      </w:r>
    </w:p>
    <w:p w:rsidR="00497DA0" w:rsidRPr="006772A7" w:rsidRDefault="00497DA0" w:rsidP="00497DA0">
      <w:pPr>
        <w:jc w:val="both"/>
        <w:rPr>
          <w:rFonts w:cs="Calibri"/>
          <w:bCs/>
          <w:sz w:val="28"/>
          <w:szCs w:val="28"/>
        </w:rPr>
      </w:pPr>
      <w:r w:rsidRPr="006772A7">
        <w:rPr>
          <w:rFonts w:cs="Calibri"/>
          <w:bCs/>
          <w:sz w:val="28"/>
          <w:szCs w:val="28"/>
        </w:rPr>
        <w:t>En el Municipio de Riosucio  hay incidencia y prevalencia en casos  de muertes perinatales y mortalidad materna e infantil por causas evitables, la salud de la población infantil en el municipio ha estado permeada por una variedad de problemas que de forma rizomática han emergido a través del tiempo en las diferentes comunidades, tanto de la zona urbana como rural del municipio.</w:t>
      </w:r>
    </w:p>
    <w:p w:rsidR="00497DA0" w:rsidRPr="006772A7" w:rsidRDefault="00497DA0" w:rsidP="00497DA0">
      <w:pPr>
        <w:jc w:val="both"/>
        <w:rPr>
          <w:rFonts w:cs="Calibri"/>
          <w:bCs/>
          <w:sz w:val="28"/>
          <w:szCs w:val="28"/>
        </w:rPr>
      </w:pPr>
      <w:r w:rsidRPr="006772A7">
        <w:rPr>
          <w:rFonts w:cs="Calibri"/>
          <w:bCs/>
          <w:sz w:val="28"/>
          <w:szCs w:val="28"/>
        </w:rPr>
        <w:t xml:space="preserve"> Las enfermedades de mayor prevalencia son: enfermedades </w:t>
      </w:r>
      <w:proofErr w:type="spellStart"/>
      <w:r w:rsidRPr="006772A7">
        <w:rPr>
          <w:rFonts w:cs="Calibri"/>
          <w:bCs/>
          <w:sz w:val="28"/>
          <w:szCs w:val="28"/>
        </w:rPr>
        <w:t>diarréicas</w:t>
      </w:r>
      <w:proofErr w:type="spellEnd"/>
      <w:r w:rsidRPr="006772A7">
        <w:rPr>
          <w:rFonts w:cs="Calibri"/>
          <w:bCs/>
          <w:sz w:val="28"/>
          <w:szCs w:val="28"/>
        </w:rPr>
        <w:t xml:space="preserve"> agudas (EDA),  Enfermedades Respiratorias (IRA), problemas de desnutrición,  maltrato infantil en todas sus variedades y derivados consecuencia de una maternidad no segura.</w:t>
      </w:r>
      <w:r w:rsidRPr="006772A7">
        <w:rPr>
          <w:rStyle w:val="Refdenotaalpie"/>
          <w:rFonts w:cs="Calibri"/>
          <w:bCs/>
        </w:rPr>
        <w:footnoteReference w:id="7"/>
      </w:r>
      <w:r w:rsidRPr="006772A7">
        <w:rPr>
          <w:rFonts w:cs="Calibri"/>
          <w:bCs/>
          <w:sz w:val="28"/>
          <w:szCs w:val="28"/>
        </w:rPr>
        <w:t xml:space="preserve"> Algunos datos relacionados son:</w:t>
      </w:r>
    </w:p>
    <w:p w:rsidR="00497DA0" w:rsidRPr="006772A7" w:rsidRDefault="00497DA0" w:rsidP="00497DA0">
      <w:pPr>
        <w:numPr>
          <w:ilvl w:val="0"/>
          <w:numId w:val="6"/>
        </w:numPr>
        <w:jc w:val="both"/>
        <w:rPr>
          <w:rFonts w:cs="Calibri"/>
          <w:bCs/>
          <w:sz w:val="28"/>
          <w:szCs w:val="28"/>
        </w:rPr>
      </w:pPr>
      <w:r w:rsidRPr="006772A7">
        <w:rPr>
          <w:rFonts w:cs="Calibri"/>
          <w:bCs/>
          <w:sz w:val="28"/>
          <w:szCs w:val="28"/>
        </w:rPr>
        <w:t>Entre 2008 y 2009 se registraron tres muertes maternas</w:t>
      </w:r>
    </w:p>
    <w:p w:rsidR="00497DA0" w:rsidRPr="006772A7" w:rsidRDefault="00497DA0" w:rsidP="00497DA0">
      <w:pPr>
        <w:numPr>
          <w:ilvl w:val="0"/>
          <w:numId w:val="6"/>
        </w:numPr>
        <w:jc w:val="both"/>
        <w:rPr>
          <w:rFonts w:cs="Calibri"/>
          <w:bCs/>
          <w:sz w:val="28"/>
          <w:szCs w:val="28"/>
        </w:rPr>
      </w:pPr>
      <w:r w:rsidRPr="006772A7">
        <w:rPr>
          <w:rFonts w:cs="Calibri"/>
          <w:bCs/>
          <w:sz w:val="28"/>
          <w:szCs w:val="28"/>
        </w:rPr>
        <w:t xml:space="preserve">En el año 2009 se registraron 11 Muertes Perinatales, 4 muertes  por IRA  en  menores de 5 años. </w:t>
      </w:r>
    </w:p>
    <w:p w:rsidR="00497DA0" w:rsidRPr="006772A7" w:rsidRDefault="00497DA0" w:rsidP="00497DA0">
      <w:pPr>
        <w:numPr>
          <w:ilvl w:val="0"/>
          <w:numId w:val="6"/>
        </w:numPr>
        <w:jc w:val="both"/>
        <w:rPr>
          <w:rFonts w:cs="Calibri"/>
          <w:bCs/>
          <w:sz w:val="28"/>
          <w:szCs w:val="28"/>
        </w:rPr>
      </w:pPr>
      <w:r w:rsidRPr="006772A7">
        <w:rPr>
          <w:rFonts w:cs="Calibri"/>
          <w:bCs/>
          <w:sz w:val="28"/>
          <w:szCs w:val="28"/>
        </w:rPr>
        <w:t xml:space="preserve">En el año 2010 2 muertes por IRA y 13 muertes perinatales. </w:t>
      </w:r>
    </w:p>
    <w:p w:rsidR="00497DA0" w:rsidRPr="006772A7" w:rsidRDefault="00497DA0" w:rsidP="00497DA0">
      <w:pPr>
        <w:numPr>
          <w:ilvl w:val="0"/>
          <w:numId w:val="6"/>
        </w:numPr>
        <w:jc w:val="both"/>
        <w:rPr>
          <w:rFonts w:cs="Calibri"/>
          <w:bCs/>
          <w:sz w:val="28"/>
          <w:szCs w:val="28"/>
        </w:rPr>
      </w:pPr>
      <w:r w:rsidRPr="006772A7">
        <w:rPr>
          <w:rFonts w:cs="Calibri"/>
          <w:bCs/>
          <w:sz w:val="28"/>
          <w:szCs w:val="28"/>
        </w:rPr>
        <w:t xml:space="preserve">En el 2009 se registraron 7 casos de muertes en menores de cinco años y 13 en el año 2010. </w:t>
      </w:r>
    </w:p>
    <w:p w:rsidR="00497DA0" w:rsidRPr="006772A7" w:rsidRDefault="00497DA0" w:rsidP="00497DA0">
      <w:pPr>
        <w:numPr>
          <w:ilvl w:val="0"/>
          <w:numId w:val="6"/>
        </w:numPr>
        <w:jc w:val="both"/>
        <w:rPr>
          <w:rFonts w:cs="Calibri"/>
          <w:bCs/>
          <w:sz w:val="28"/>
          <w:szCs w:val="28"/>
        </w:rPr>
      </w:pPr>
      <w:r w:rsidRPr="006772A7">
        <w:rPr>
          <w:rFonts w:cs="Calibri"/>
          <w:bCs/>
          <w:sz w:val="28"/>
          <w:szCs w:val="28"/>
        </w:rPr>
        <w:lastRenderedPageBreak/>
        <w:t xml:space="preserve">En el 2009 se presentaron 612 casos de diarrea y gastroenteritis de presunto origen infeccioso, 150 casos en menores de un año en el año 2010 y 436 casos en niños entre 1 y 4 años en el año 2010. Por hospitalización se presentaron 3 casos de diarrea y gastroenteritis de presunto origen infecciosos en niños menores de un año y 19 casos en niños entre 1 y 4 años en el año 2010. </w:t>
      </w:r>
    </w:p>
    <w:p w:rsidR="00497DA0" w:rsidRPr="006772A7" w:rsidRDefault="00497DA0" w:rsidP="00497DA0">
      <w:pPr>
        <w:numPr>
          <w:ilvl w:val="0"/>
          <w:numId w:val="6"/>
        </w:numPr>
        <w:jc w:val="both"/>
        <w:rPr>
          <w:rFonts w:cs="Calibri"/>
          <w:bCs/>
          <w:sz w:val="28"/>
          <w:szCs w:val="28"/>
        </w:rPr>
      </w:pPr>
      <w:r w:rsidRPr="006772A7">
        <w:rPr>
          <w:rFonts w:cs="Calibri"/>
          <w:bCs/>
          <w:sz w:val="28"/>
          <w:szCs w:val="28"/>
        </w:rPr>
        <w:t xml:space="preserve">En el 2009 se presentaron 189 casos de neumonía no especificada, en el 2010 se presentaron 217 casos de </w:t>
      </w:r>
      <w:proofErr w:type="spellStart"/>
      <w:r w:rsidRPr="006772A7">
        <w:rPr>
          <w:rFonts w:cs="Calibri"/>
          <w:bCs/>
          <w:sz w:val="28"/>
          <w:szCs w:val="28"/>
        </w:rPr>
        <w:t>rinofaringitis</w:t>
      </w:r>
      <w:proofErr w:type="spellEnd"/>
      <w:r w:rsidRPr="006772A7">
        <w:rPr>
          <w:rFonts w:cs="Calibri"/>
          <w:bCs/>
          <w:sz w:val="28"/>
          <w:szCs w:val="28"/>
        </w:rPr>
        <w:t xml:space="preserve"> aguda en menores de un año y 459 casos en niños menores entre 1 y 4 años. Por hospitalización se presentaron 55 casos de neumonía en menores de un año y 94 casos en niños entre 1 y 4 años en el año 2010. </w:t>
      </w:r>
    </w:p>
    <w:p w:rsidR="00497DA0" w:rsidRPr="006772A7" w:rsidRDefault="00497DA0" w:rsidP="00497DA0">
      <w:pPr>
        <w:rPr>
          <w:rFonts w:cs="Calibri"/>
          <w:bCs/>
          <w:sz w:val="28"/>
          <w:szCs w:val="28"/>
        </w:rPr>
      </w:pPr>
      <w:r w:rsidRPr="006772A7">
        <w:rPr>
          <w:rFonts w:cs="Calibri"/>
          <w:bCs/>
          <w:sz w:val="28"/>
          <w:szCs w:val="28"/>
        </w:rPr>
        <w:t>En materia de vacunación el municipio logró un 98% de cobertura y fue certificado  como  municipio libre de sarampión y rubeola por  MPS, OMS, OPS.</w:t>
      </w:r>
    </w:p>
    <w:p w:rsidR="00497DA0" w:rsidRPr="006772A7" w:rsidRDefault="00497DA0" w:rsidP="00497DA0">
      <w:pPr>
        <w:jc w:val="both"/>
        <w:rPr>
          <w:rFonts w:cs="Calibri"/>
          <w:b/>
          <w:bCs/>
          <w:sz w:val="28"/>
          <w:szCs w:val="28"/>
        </w:rPr>
      </w:pPr>
      <w:r w:rsidRPr="006772A7">
        <w:rPr>
          <w:rFonts w:cs="Calibri"/>
          <w:bCs/>
          <w:sz w:val="28"/>
          <w:szCs w:val="28"/>
        </w:rPr>
        <w:t>De acuerdo con los índices de natalidad en el municipio, es posible señalar que cada vez es menor el número de nacimientos, lo cual está acorde con la tendencia nacional y puede entenderse como el resultado positivo de educación en materia de control de la natalidad.</w:t>
      </w:r>
    </w:p>
    <w:tbl>
      <w:tblPr>
        <w:tblpPr w:leftFromText="141" w:rightFromText="141" w:vertAnchor="text" w:horzAnchor="margin" w:tblpXSpec="center" w:tblpY="149"/>
        <w:tblW w:w="10819" w:type="dxa"/>
        <w:tblBorders>
          <w:top w:val="single" w:sz="8" w:space="0" w:color="CF7B79"/>
          <w:left w:val="single" w:sz="8" w:space="0" w:color="CF7B79"/>
          <w:bottom w:val="single" w:sz="8" w:space="0" w:color="CF7B79"/>
          <w:right w:val="single" w:sz="8" w:space="0" w:color="CF7B79"/>
          <w:insideH w:val="single" w:sz="8" w:space="0" w:color="CF7B79"/>
        </w:tblBorders>
        <w:tblLook w:val="04A0" w:firstRow="1" w:lastRow="0" w:firstColumn="1" w:lastColumn="0" w:noHBand="0" w:noVBand="1"/>
      </w:tblPr>
      <w:tblGrid>
        <w:gridCol w:w="1844"/>
        <w:gridCol w:w="313"/>
        <w:gridCol w:w="140"/>
        <w:gridCol w:w="143"/>
        <w:gridCol w:w="361"/>
        <w:gridCol w:w="138"/>
        <w:gridCol w:w="775"/>
        <w:gridCol w:w="81"/>
        <w:gridCol w:w="561"/>
        <w:gridCol w:w="91"/>
        <w:gridCol w:w="783"/>
        <w:gridCol w:w="74"/>
        <w:gridCol w:w="568"/>
        <w:gridCol w:w="91"/>
        <w:gridCol w:w="783"/>
        <w:gridCol w:w="74"/>
        <w:gridCol w:w="568"/>
        <w:gridCol w:w="91"/>
        <w:gridCol w:w="783"/>
        <w:gridCol w:w="72"/>
        <w:gridCol w:w="453"/>
        <w:gridCol w:w="189"/>
        <w:gridCol w:w="571"/>
        <w:gridCol w:w="70"/>
        <w:gridCol w:w="572"/>
        <w:gridCol w:w="103"/>
        <w:gridCol w:w="649"/>
        <w:gridCol w:w="60"/>
        <w:gridCol w:w="569"/>
        <w:gridCol w:w="73"/>
        <w:gridCol w:w="80"/>
        <w:gridCol w:w="713"/>
        <w:gridCol w:w="64"/>
        <w:gridCol w:w="578"/>
        <w:gridCol w:w="88"/>
        <w:gridCol w:w="661"/>
      </w:tblGrid>
      <w:tr w:rsidR="00497DA0" w:rsidRPr="006772A7" w:rsidTr="006919A9">
        <w:trPr>
          <w:trHeight w:val="650"/>
        </w:trPr>
        <w:tc>
          <w:tcPr>
            <w:tcW w:w="1410" w:type="dxa"/>
            <w:vMerge w:val="restart"/>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DINAMICA POBLACIONAL</w:t>
            </w:r>
          </w:p>
        </w:tc>
        <w:tc>
          <w:tcPr>
            <w:tcW w:w="1599" w:type="dxa"/>
            <w:gridSpan w:val="6"/>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2003</w:t>
            </w:r>
          </w:p>
        </w:tc>
        <w:tc>
          <w:tcPr>
            <w:tcW w:w="1122"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2004</w:t>
            </w:r>
          </w:p>
        </w:tc>
        <w:tc>
          <w:tcPr>
            <w:tcW w:w="1122"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2005</w:t>
            </w:r>
          </w:p>
        </w:tc>
        <w:tc>
          <w:tcPr>
            <w:tcW w:w="1122"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2006</w:t>
            </w:r>
          </w:p>
        </w:tc>
        <w:tc>
          <w:tcPr>
            <w:tcW w:w="1129"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2007</w:t>
            </w:r>
          </w:p>
        </w:tc>
        <w:tc>
          <w:tcPr>
            <w:tcW w:w="1046"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2008</w:t>
            </w:r>
          </w:p>
        </w:tc>
        <w:tc>
          <w:tcPr>
            <w:tcW w:w="1164" w:type="dxa"/>
            <w:gridSpan w:val="5"/>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2009</w:t>
            </w:r>
          </w:p>
        </w:tc>
        <w:tc>
          <w:tcPr>
            <w:tcW w:w="1105"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2010</w:t>
            </w:r>
          </w:p>
        </w:tc>
      </w:tr>
      <w:tr w:rsidR="00497DA0" w:rsidRPr="006772A7" w:rsidTr="006919A9">
        <w:trPr>
          <w:trHeight w:val="650"/>
        </w:trPr>
        <w:tc>
          <w:tcPr>
            <w:tcW w:w="1410" w:type="dxa"/>
            <w:vMerge/>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p>
        </w:tc>
        <w:tc>
          <w:tcPr>
            <w:tcW w:w="904"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          N</w:t>
            </w:r>
          </w:p>
        </w:tc>
        <w:tc>
          <w:tcPr>
            <w:tcW w:w="695"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N</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N</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N</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c>
          <w:tcPr>
            <w:tcW w:w="488"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N</w:t>
            </w:r>
          </w:p>
        </w:tc>
        <w:tc>
          <w:tcPr>
            <w:tcW w:w="64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c>
          <w:tcPr>
            <w:tcW w:w="496"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N</w:t>
            </w:r>
          </w:p>
        </w:tc>
        <w:tc>
          <w:tcPr>
            <w:tcW w:w="55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c>
          <w:tcPr>
            <w:tcW w:w="49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N</w:t>
            </w:r>
          </w:p>
        </w:tc>
        <w:tc>
          <w:tcPr>
            <w:tcW w:w="673"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c>
          <w:tcPr>
            <w:tcW w:w="50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N</w:t>
            </w:r>
          </w:p>
        </w:tc>
        <w:tc>
          <w:tcPr>
            <w:tcW w:w="604"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Tasa</w:t>
            </w:r>
          </w:p>
        </w:tc>
      </w:tr>
      <w:tr w:rsidR="00497DA0" w:rsidRPr="006772A7" w:rsidTr="006919A9">
        <w:trPr>
          <w:trHeight w:val="1870"/>
        </w:trPr>
        <w:tc>
          <w:tcPr>
            <w:tcW w:w="1863" w:type="dxa"/>
            <w:gridSpan w:val="3"/>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Tasa bruta de natalidad (nacidos vivos por 1000 habitantes) </w:t>
            </w:r>
          </w:p>
        </w:tc>
        <w:tc>
          <w:tcPr>
            <w:tcW w:w="577"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653</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10.25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766</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13.14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754</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12.82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591</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10.07 </w:t>
            </w:r>
          </w:p>
        </w:tc>
        <w:tc>
          <w:tcPr>
            <w:tcW w:w="62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720</w:t>
            </w:r>
          </w:p>
        </w:tc>
        <w:tc>
          <w:tcPr>
            <w:tcW w:w="51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6.5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970</w:t>
            </w:r>
          </w:p>
        </w:tc>
        <w:tc>
          <w:tcPr>
            <w:tcW w:w="548"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17.1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731</w:t>
            </w:r>
          </w:p>
        </w:tc>
        <w:tc>
          <w:tcPr>
            <w:tcW w:w="673"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13,12</w:t>
            </w:r>
          </w:p>
        </w:tc>
        <w:tc>
          <w:tcPr>
            <w:tcW w:w="50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552</w:t>
            </w:r>
          </w:p>
        </w:tc>
        <w:tc>
          <w:tcPr>
            <w:tcW w:w="544" w:type="dxa"/>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9,5</w:t>
            </w:r>
          </w:p>
        </w:tc>
      </w:tr>
      <w:tr w:rsidR="00497DA0" w:rsidRPr="006772A7" w:rsidTr="006919A9">
        <w:trPr>
          <w:trHeight w:val="1136"/>
        </w:trPr>
        <w:tc>
          <w:tcPr>
            <w:tcW w:w="1723" w:type="dxa"/>
            <w:gridSpan w:val="2"/>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Tasa bruta de mortalidad por </w:t>
            </w:r>
            <w:r w:rsidRPr="006772A7">
              <w:rPr>
                <w:rFonts w:eastAsia="Times New Roman" w:cs="Calibri"/>
                <w:color w:val="000000"/>
                <w:sz w:val="28"/>
                <w:szCs w:val="28"/>
                <w:lang w:eastAsia="es-ES"/>
              </w:rPr>
              <w:lastRenderedPageBreak/>
              <w:t xml:space="preserve">1000 habitantes </w:t>
            </w:r>
          </w:p>
        </w:tc>
        <w:tc>
          <w:tcPr>
            <w:tcW w:w="591"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lastRenderedPageBreak/>
              <w:t>309</w:t>
            </w:r>
          </w:p>
        </w:tc>
        <w:tc>
          <w:tcPr>
            <w:tcW w:w="695"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4.8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298</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5.1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248</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4.2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284</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4.8 </w:t>
            </w:r>
          </w:p>
        </w:tc>
        <w:tc>
          <w:tcPr>
            <w:tcW w:w="683"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276</w:t>
            </w:r>
          </w:p>
        </w:tc>
        <w:tc>
          <w:tcPr>
            <w:tcW w:w="446" w:type="dxa"/>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3.1 </w:t>
            </w:r>
          </w:p>
        </w:tc>
        <w:tc>
          <w:tcPr>
            <w:tcW w:w="496"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336</w:t>
            </w:r>
          </w:p>
        </w:tc>
        <w:tc>
          <w:tcPr>
            <w:tcW w:w="55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5.9 </w:t>
            </w:r>
          </w:p>
        </w:tc>
        <w:tc>
          <w:tcPr>
            <w:tcW w:w="645" w:type="dxa"/>
            <w:gridSpan w:val="4"/>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393</w:t>
            </w:r>
          </w:p>
        </w:tc>
        <w:tc>
          <w:tcPr>
            <w:tcW w:w="519" w:type="dxa"/>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6.86 </w:t>
            </w:r>
          </w:p>
        </w:tc>
        <w:tc>
          <w:tcPr>
            <w:tcW w:w="50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274</w:t>
            </w:r>
          </w:p>
        </w:tc>
        <w:tc>
          <w:tcPr>
            <w:tcW w:w="604"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4.7 </w:t>
            </w:r>
          </w:p>
        </w:tc>
      </w:tr>
      <w:tr w:rsidR="00497DA0" w:rsidRPr="006772A7" w:rsidTr="006919A9">
        <w:trPr>
          <w:trHeight w:val="1136"/>
        </w:trPr>
        <w:tc>
          <w:tcPr>
            <w:tcW w:w="1863" w:type="dxa"/>
            <w:gridSpan w:val="3"/>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lastRenderedPageBreak/>
              <w:t xml:space="preserve">Tasa de mortalidad perinatal por 1000 nacidos vivos </w:t>
            </w:r>
          </w:p>
        </w:tc>
        <w:tc>
          <w:tcPr>
            <w:tcW w:w="45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13</w:t>
            </w:r>
          </w:p>
        </w:tc>
        <w:tc>
          <w:tcPr>
            <w:tcW w:w="695"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19.9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26</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33.9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10</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13.2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9</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15.2 </w:t>
            </w:r>
          </w:p>
        </w:tc>
        <w:tc>
          <w:tcPr>
            <w:tcW w:w="488"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7</w:t>
            </w:r>
          </w:p>
        </w:tc>
        <w:tc>
          <w:tcPr>
            <w:tcW w:w="64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10.8 </w:t>
            </w:r>
          </w:p>
        </w:tc>
        <w:tc>
          <w:tcPr>
            <w:tcW w:w="496"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5</w:t>
            </w:r>
          </w:p>
        </w:tc>
        <w:tc>
          <w:tcPr>
            <w:tcW w:w="55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8,9</w:t>
            </w:r>
          </w:p>
        </w:tc>
        <w:tc>
          <w:tcPr>
            <w:tcW w:w="49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9</w:t>
            </w:r>
          </w:p>
        </w:tc>
        <w:tc>
          <w:tcPr>
            <w:tcW w:w="673"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19,2</w:t>
            </w:r>
          </w:p>
        </w:tc>
        <w:tc>
          <w:tcPr>
            <w:tcW w:w="50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16</w:t>
            </w:r>
          </w:p>
        </w:tc>
        <w:tc>
          <w:tcPr>
            <w:tcW w:w="604"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23,6</w:t>
            </w:r>
          </w:p>
        </w:tc>
      </w:tr>
      <w:tr w:rsidR="00497DA0" w:rsidRPr="006772A7" w:rsidTr="006919A9">
        <w:trPr>
          <w:trHeight w:val="1217"/>
        </w:trPr>
        <w:tc>
          <w:tcPr>
            <w:tcW w:w="2004" w:type="dxa"/>
            <w:gridSpan w:val="4"/>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Tasa de mortalidad materna </w:t>
            </w:r>
          </w:p>
        </w:tc>
        <w:tc>
          <w:tcPr>
            <w:tcW w:w="310" w:type="dxa"/>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695"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1</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1.25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488"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64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496"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w:t>
            </w:r>
          </w:p>
        </w:tc>
        <w:tc>
          <w:tcPr>
            <w:tcW w:w="55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1.8 </w:t>
            </w:r>
          </w:p>
        </w:tc>
        <w:tc>
          <w:tcPr>
            <w:tcW w:w="49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1</w:t>
            </w:r>
          </w:p>
        </w:tc>
        <w:tc>
          <w:tcPr>
            <w:tcW w:w="673"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0.71 </w:t>
            </w:r>
          </w:p>
        </w:tc>
        <w:tc>
          <w:tcPr>
            <w:tcW w:w="50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604"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r>
      <w:tr w:rsidR="00497DA0" w:rsidRPr="006772A7" w:rsidTr="006919A9">
        <w:trPr>
          <w:trHeight w:val="1177"/>
        </w:trPr>
        <w:tc>
          <w:tcPr>
            <w:tcW w:w="2004" w:type="dxa"/>
            <w:gridSpan w:val="4"/>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Tasa de mortalidad infantil estimada por 1000 nacidos vivos </w:t>
            </w:r>
          </w:p>
        </w:tc>
        <w:tc>
          <w:tcPr>
            <w:tcW w:w="310" w:type="dxa"/>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7</w:t>
            </w:r>
          </w:p>
        </w:tc>
        <w:tc>
          <w:tcPr>
            <w:tcW w:w="695"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10.7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6</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7.8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2.6 </w:t>
            </w:r>
          </w:p>
        </w:tc>
        <w:tc>
          <w:tcPr>
            <w:tcW w:w="492"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4</w:t>
            </w:r>
          </w:p>
        </w:tc>
        <w:tc>
          <w:tcPr>
            <w:tcW w:w="63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6.7 </w:t>
            </w:r>
          </w:p>
        </w:tc>
        <w:tc>
          <w:tcPr>
            <w:tcW w:w="488"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64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0</w:t>
            </w:r>
          </w:p>
        </w:tc>
        <w:tc>
          <w:tcPr>
            <w:tcW w:w="496"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w:t>
            </w:r>
          </w:p>
        </w:tc>
        <w:tc>
          <w:tcPr>
            <w:tcW w:w="550"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2.0 </w:t>
            </w:r>
          </w:p>
        </w:tc>
        <w:tc>
          <w:tcPr>
            <w:tcW w:w="49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6</w:t>
            </w:r>
          </w:p>
        </w:tc>
        <w:tc>
          <w:tcPr>
            <w:tcW w:w="673" w:type="dxa"/>
            <w:gridSpan w:val="3"/>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 xml:space="preserve">5.3 </w:t>
            </w:r>
          </w:p>
        </w:tc>
        <w:tc>
          <w:tcPr>
            <w:tcW w:w="501"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4</w:t>
            </w:r>
          </w:p>
        </w:tc>
        <w:tc>
          <w:tcPr>
            <w:tcW w:w="604" w:type="dxa"/>
            <w:gridSpan w:val="2"/>
            <w:noWrap/>
            <w:hideMark/>
          </w:tcPr>
          <w:p w:rsidR="00497DA0" w:rsidRPr="006772A7" w:rsidRDefault="00497DA0" w:rsidP="006919A9">
            <w:pPr>
              <w:autoSpaceDE w:val="0"/>
              <w:autoSpaceDN w:val="0"/>
              <w:adjustRightInd w:val="0"/>
              <w:jc w:val="both"/>
              <w:rPr>
                <w:rFonts w:eastAsia="Times New Roman" w:cs="Calibri"/>
                <w:color w:val="000000"/>
                <w:sz w:val="28"/>
                <w:szCs w:val="28"/>
                <w:lang w:eastAsia="es-ES"/>
              </w:rPr>
            </w:pPr>
            <w:r w:rsidRPr="006772A7">
              <w:rPr>
                <w:rFonts w:eastAsia="Times New Roman" w:cs="Calibri"/>
                <w:color w:val="000000"/>
                <w:sz w:val="28"/>
                <w:szCs w:val="28"/>
                <w:lang w:eastAsia="es-ES"/>
              </w:rPr>
              <w:t>2,5</w:t>
            </w:r>
          </w:p>
        </w:tc>
      </w:tr>
    </w:tbl>
    <w:p w:rsidR="00497DA0" w:rsidRPr="006772A7" w:rsidRDefault="00497DA0" w:rsidP="00497DA0">
      <w:pPr>
        <w:jc w:val="both"/>
        <w:rPr>
          <w:rFonts w:cs="Calibri"/>
          <w:bCs/>
          <w:sz w:val="28"/>
          <w:szCs w:val="28"/>
        </w:rPr>
      </w:pPr>
      <w:r w:rsidRPr="006772A7">
        <w:rPr>
          <w:rFonts w:cs="Calibri"/>
          <w:bCs/>
          <w:sz w:val="28"/>
          <w:szCs w:val="28"/>
        </w:rPr>
        <w:t xml:space="preserve">Fuente: </w:t>
      </w:r>
    </w:p>
    <w:p w:rsidR="00497DA0" w:rsidRPr="006772A7" w:rsidRDefault="00497DA0" w:rsidP="00497DA0">
      <w:pPr>
        <w:jc w:val="both"/>
        <w:rPr>
          <w:rFonts w:cs="Calibri"/>
          <w:sz w:val="28"/>
          <w:szCs w:val="28"/>
        </w:rPr>
      </w:pPr>
      <w:r w:rsidRPr="006772A7">
        <w:rPr>
          <w:rFonts w:cs="Calibri"/>
          <w:sz w:val="28"/>
          <w:szCs w:val="28"/>
        </w:rPr>
        <w:t>Sin embargo, el municipio aún tiene un importante número de embarazos en adolescentes, lo cual debe ser atendido como un problema de salud pública que debe ser atendido de manera interdisciplinar, con acciones preventivas y de atención. Las cifras que el municipio tiene sobre embarazos en adolecentes son:</w:t>
      </w:r>
    </w:p>
    <w:p w:rsidR="00497DA0" w:rsidRPr="006772A7" w:rsidRDefault="00497DA0" w:rsidP="00497DA0">
      <w:pPr>
        <w:rPr>
          <w:rFonts w:cs="Calibri"/>
          <w:sz w:val="28"/>
          <w:szCs w:val="28"/>
        </w:rPr>
      </w:pPr>
      <w:r>
        <w:rPr>
          <w:rFonts w:cs="Calibri"/>
          <w:noProof/>
          <w:sz w:val="28"/>
          <w:szCs w:val="28"/>
          <w:lang w:eastAsia="es-CO"/>
        </w:rPr>
        <w:drawing>
          <wp:anchor distT="0" distB="0" distL="114300" distR="114300" simplePos="0" relativeHeight="251666432" behindDoc="0" locked="0" layoutInCell="1" allowOverlap="1">
            <wp:simplePos x="0" y="0"/>
            <wp:positionH relativeFrom="column">
              <wp:posOffset>1569085</wp:posOffset>
            </wp:positionH>
            <wp:positionV relativeFrom="paragraph">
              <wp:posOffset>31750</wp:posOffset>
            </wp:positionV>
            <wp:extent cx="2548890" cy="1569085"/>
            <wp:effectExtent l="0" t="0" r="381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8890" cy="1569085"/>
                    </a:xfrm>
                    <a:prstGeom prst="rect">
                      <a:avLst/>
                    </a:prstGeom>
                    <a:noFill/>
                    <a:ln>
                      <a:noFill/>
                    </a:ln>
                  </pic:spPr>
                </pic:pic>
              </a:graphicData>
            </a:graphic>
          </wp:anchor>
        </w:drawing>
      </w: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jc w:val="both"/>
        <w:rPr>
          <w:rFonts w:cs="Calibri"/>
          <w:sz w:val="28"/>
          <w:szCs w:val="28"/>
        </w:rPr>
      </w:pPr>
      <w:r w:rsidRPr="006772A7">
        <w:rPr>
          <w:rFonts w:cs="Calibri"/>
          <w:sz w:val="28"/>
          <w:szCs w:val="28"/>
        </w:rPr>
        <w:lastRenderedPageBreak/>
        <w:t>En materia de violencia intrafamiliar el municipio cuenta con cifras de 2010, en las cuales se puede identificar que la atención a estos casos se limita al aspecto médico y judicial, dejando de lado la intervención psicológica y terapéutica para los afectados.</w:t>
      </w:r>
    </w:p>
    <w:p w:rsidR="00497DA0" w:rsidRPr="006772A7" w:rsidRDefault="00497DA0" w:rsidP="00497DA0">
      <w:pPr>
        <w:jc w:val="both"/>
        <w:rPr>
          <w:rFonts w:cs="Calibri"/>
          <w:sz w:val="28"/>
          <w:szCs w:val="28"/>
        </w:rPr>
      </w:pPr>
    </w:p>
    <w:p w:rsidR="00497DA0" w:rsidRPr="006772A7" w:rsidRDefault="00497DA0" w:rsidP="00497DA0">
      <w:pPr>
        <w:jc w:val="both"/>
        <w:rPr>
          <w:rFonts w:cs="Calibri"/>
          <w:sz w:val="28"/>
          <w:szCs w:val="28"/>
        </w:rPr>
      </w:pPr>
    </w:p>
    <w:p w:rsidR="00497DA0" w:rsidRPr="006772A7" w:rsidRDefault="00497DA0" w:rsidP="00497DA0">
      <w:pPr>
        <w:rPr>
          <w:rFonts w:cs="Calibri"/>
          <w:sz w:val="28"/>
          <w:szCs w:val="28"/>
        </w:rPr>
      </w:pPr>
    </w:p>
    <w:tbl>
      <w:tblPr>
        <w:tblW w:w="4464" w:type="dxa"/>
        <w:tblInd w:w="2233" w:type="dxa"/>
        <w:tblBorders>
          <w:top w:val="single" w:sz="8" w:space="0" w:color="F79646"/>
          <w:bottom w:val="single" w:sz="8" w:space="0" w:color="F79646"/>
        </w:tblBorders>
        <w:tblLook w:val="04A0" w:firstRow="1" w:lastRow="0" w:firstColumn="1" w:lastColumn="0" w:noHBand="0" w:noVBand="1"/>
      </w:tblPr>
      <w:tblGrid>
        <w:gridCol w:w="2291"/>
        <w:gridCol w:w="699"/>
        <w:gridCol w:w="1474"/>
      </w:tblGrid>
      <w:tr w:rsidR="00497DA0" w:rsidRPr="006772A7" w:rsidTr="006919A9">
        <w:trPr>
          <w:trHeight w:val="77"/>
        </w:trPr>
        <w:tc>
          <w:tcPr>
            <w:tcW w:w="2291" w:type="dxa"/>
            <w:tcBorders>
              <w:top w:val="single" w:sz="8" w:space="0" w:color="F79646"/>
              <w:left w:val="nil"/>
              <w:bottom w:val="single" w:sz="8" w:space="0" w:color="F79646"/>
              <w:right w:val="nil"/>
            </w:tcBorders>
            <w:hideMark/>
          </w:tcPr>
          <w:p w:rsidR="00497DA0" w:rsidRPr="006772A7" w:rsidRDefault="00497DA0" w:rsidP="006919A9">
            <w:pPr>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INTERVENCIÓN REALIZADA </w:t>
            </w:r>
          </w:p>
        </w:tc>
        <w:tc>
          <w:tcPr>
            <w:tcW w:w="699" w:type="dxa"/>
            <w:tcBorders>
              <w:top w:val="single" w:sz="8" w:space="0" w:color="F79646"/>
              <w:left w:val="nil"/>
              <w:bottom w:val="single" w:sz="8" w:space="0" w:color="F79646"/>
              <w:right w:val="nil"/>
            </w:tcBorders>
            <w:hideMark/>
          </w:tcPr>
          <w:p w:rsidR="00497DA0" w:rsidRPr="006772A7" w:rsidRDefault="00497DA0" w:rsidP="006919A9">
            <w:pPr>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    No </w:t>
            </w:r>
          </w:p>
        </w:tc>
        <w:tc>
          <w:tcPr>
            <w:tcW w:w="1474" w:type="dxa"/>
            <w:tcBorders>
              <w:top w:val="single" w:sz="8" w:space="0" w:color="F79646"/>
              <w:left w:val="nil"/>
              <w:bottom w:val="single" w:sz="8" w:space="0" w:color="F79646"/>
              <w:right w:val="nil"/>
            </w:tcBorders>
            <w:hideMark/>
          </w:tcPr>
          <w:p w:rsidR="00497DA0" w:rsidRPr="006772A7" w:rsidRDefault="00497DA0" w:rsidP="006919A9">
            <w:pPr>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          % </w:t>
            </w:r>
          </w:p>
        </w:tc>
      </w:tr>
      <w:tr w:rsidR="00497DA0" w:rsidRPr="006772A7" w:rsidTr="006919A9">
        <w:trPr>
          <w:trHeight w:val="47"/>
        </w:trPr>
        <w:tc>
          <w:tcPr>
            <w:tcW w:w="2291" w:type="dxa"/>
            <w:tcBorders>
              <w:left w:val="nil"/>
              <w:right w:val="nil"/>
            </w:tcBorders>
            <w:shd w:val="clear" w:color="auto" w:fill="FDE4D0"/>
            <w:hideMark/>
          </w:tcPr>
          <w:p w:rsidR="00497DA0" w:rsidRPr="006772A7" w:rsidRDefault="00497DA0" w:rsidP="006919A9">
            <w:pPr>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MEDICA </w:t>
            </w:r>
          </w:p>
        </w:tc>
        <w:tc>
          <w:tcPr>
            <w:tcW w:w="699" w:type="dxa"/>
            <w:tcBorders>
              <w:left w:val="nil"/>
              <w:right w:val="nil"/>
            </w:tcBorders>
            <w:shd w:val="clear" w:color="auto" w:fill="FDE4D0"/>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7</w:t>
            </w:r>
          </w:p>
        </w:tc>
        <w:tc>
          <w:tcPr>
            <w:tcW w:w="1474" w:type="dxa"/>
            <w:tcBorders>
              <w:left w:val="nil"/>
              <w:right w:val="nil"/>
            </w:tcBorders>
            <w:shd w:val="clear" w:color="auto" w:fill="FDE4D0"/>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41,17%</w:t>
            </w:r>
          </w:p>
        </w:tc>
      </w:tr>
      <w:tr w:rsidR="00497DA0" w:rsidRPr="006772A7" w:rsidTr="006919A9">
        <w:trPr>
          <w:trHeight w:val="47"/>
        </w:trPr>
        <w:tc>
          <w:tcPr>
            <w:tcW w:w="2291" w:type="dxa"/>
            <w:hideMark/>
          </w:tcPr>
          <w:p w:rsidR="00497DA0" w:rsidRPr="006772A7" w:rsidRDefault="00497DA0" w:rsidP="006919A9">
            <w:pPr>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PSICOLOGICA </w:t>
            </w:r>
          </w:p>
        </w:tc>
        <w:tc>
          <w:tcPr>
            <w:tcW w:w="699" w:type="dxa"/>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1</w:t>
            </w:r>
          </w:p>
        </w:tc>
        <w:tc>
          <w:tcPr>
            <w:tcW w:w="1474" w:type="dxa"/>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5,88%</w:t>
            </w:r>
          </w:p>
        </w:tc>
      </w:tr>
      <w:tr w:rsidR="00497DA0" w:rsidRPr="006772A7" w:rsidTr="006919A9">
        <w:trPr>
          <w:trHeight w:val="47"/>
        </w:trPr>
        <w:tc>
          <w:tcPr>
            <w:tcW w:w="2291" w:type="dxa"/>
            <w:tcBorders>
              <w:left w:val="nil"/>
              <w:right w:val="nil"/>
            </w:tcBorders>
            <w:shd w:val="clear" w:color="auto" w:fill="FDE4D0"/>
            <w:hideMark/>
          </w:tcPr>
          <w:p w:rsidR="00497DA0" w:rsidRPr="006772A7" w:rsidRDefault="00497DA0" w:rsidP="006919A9">
            <w:pPr>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LEGAL </w:t>
            </w:r>
          </w:p>
        </w:tc>
        <w:tc>
          <w:tcPr>
            <w:tcW w:w="699" w:type="dxa"/>
            <w:tcBorders>
              <w:left w:val="nil"/>
              <w:right w:val="nil"/>
            </w:tcBorders>
            <w:shd w:val="clear" w:color="auto" w:fill="FDE4D0"/>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6</w:t>
            </w:r>
          </w:p>
        </w:tc>
        <w:tc>
          <w:tcPr>
            <w:tcW w:w="1474" w:type="dxa"/>
            <w:tcBorders>
              <w:left w:val="nil"/>
              <w:right w:val="nil"/>
            </w:tcBorders>
            <w:shd w:val="clear" w:color="auto" w:fill="FDE4D0"/>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35,2%</w:t>
            </w:r>
          </w:p>
        </w:tc>
      </w:tr>
      <w:tr w:rsidR="00497DA0" w:rsidRPr="006772A7" w:rsidTr="006919A9">
        <w:trPr>
          <w:trHeight w:val="35"/>
        </w:trPr>
        <w:tc>
          <w:tcPr>
            <w:tcW w:w="2291" w:type="dxa"/>
            <w:hideMark/>
          </w:tcPr>
          <w:p w:rsidR="00497DA0" w:rsidRPr="006772A7" w:rsidRDefault="00497DA0" w:rsidP="006919A9">
            <w:pPr>
              <w:jc w:val="both"/>
              <w:rPr>
                <w:rFonts w:eastAsia="Times New Roman" w:cs="Calibri"/>
                <w:b/>
                <w:bCs/>
                <w:color w:val="000000"/>
                <w:sz w:val="28"/>
                <w:szCs w:val="28"/>
                <w:lang w:eastAsia="es-ES"/>
              </w:rPr>
            </w:pPr>
            <w:r w:rsidRPr="006772A7">
              <w:rPr>
                <w:rFonts w:eastAsia="Times New Roman" w:cs="Calibri"/>
                <w:b/>
                <w:bCs/>
                <w:color w:val="000000"/>
                <w:sz w:val="28"/>
                <w:szCs w:val="28"/>
                <w:lang w:eastAsia="es-ES"/>
              </w:rPr>
              <w:t xml:space="preserve">TRABAJO SOCIAL </w:t>
            </w:r>
          </w:p>
        </w:tc>
        <w:tc>
          <w:tcPr>
            <w:tcW w:w="699" w:type="dxa"/>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3</w:t>
            </w:r>
          </w:p>
        </w:tc>
        <w:tc>
          <w:tcPr>
            <w:tcW w:w="1474" w:type="dxa"/>
            <w:hideMark/>
          </w:tcPr>
          <w:p w:rsidR="00497DA0" w:rsidRPr="006772A7" w:rsidRDefault="00497DA0" w:rsidP="006919A9">
            <w:pPr>
              <w:jc w:val="both"/>
              <w:rPr>
                <w:rFonts w:eastAsia="Times New Roman" w:cs="Calibri"/>
                <w:color w:val="000000"/>
                <w:sz w:val="28"/>
                <w:szCs w:val="28"/>
                <w:lang w:eastAsia="es-ES"/>
              </w:rPr>
            </w:pPr>
            <w:r w:rsidRPr="006772A7">
              <w:rPr>
                <w:rFonts w:eastAsia="Times New Roman" w:cs="Calibri"/>
                <w:color w:val="000000"/>
                <w:sz w:val="28"/>
                <w:szCs w:val="28"/>
                <w:lang w:eastAsia="es-ES"/>
              </w:rPr>
              <w:t>17,6%</w:t>
            </w:r>
          </w:p>
        </w:tc>
      </w:tr>
    </w:tbl>
    <w:p w:rsidR="00497DA0" w:rsidRPr="006772A7" w:rsidRDefault="00497DA0" w:rsidP="00497DA0">
      <w:pPr>
        <w:rPr>
          <w:rFonts w:cs="Calibri"/>
          <w:sz w:val="28"/>
          <w:szCs w:val="28"/>
        </w:rPr>
      </w:pPr>
    </w:p>
    <w:p w:rsidR="00497DA0" w:rsidRPr="006772A7" w:rsidRDefault="00497DA0" w:rsidP="00497DA0">
      <w:pPr>
        <w:rPr>
          <w:rFonts w:cs="Calibri"/>
          <w:sz w:val="28"/>
          <w:szCs w:val="28"/>
          <w:u w:val="single"/>
        </w:rPr>
      </w:pPr>
      <w:r w:rsidRPr="006772A7">
        <w:rPr>
          <w:rFonts w:cs="Calibri"/>
          <w:sz w:val="28"/>
          <w:szCs w:val="28"/>
          <w:u w:val="single"/>
        </w:rPr>
        <w:t>4.2 Debilidades:</w:t>
      </w:r>
    </w:p>
    <w:p w:rsidR="00497DA0" w:rsidRPr="006772A7" w:rsidRDefault="00497DA0" w:rsidP="00497DA0">
      <w:pPr>
        <w:jc w:val="both"/>
        <w:rPr>
          <w:rFonts w:cs="Calibri"/>
          <w:sz w:val="28"/>
          <w:szCs w:val="28"/>
        </w:rPr>
      </w:pPr>
      <w:r w:rsidRPr="006772A7">
        <w:rPr>
          <w:rFonts w:cs="Calibri"/>
          <w:sz w:val="28"/>
          <w:szCs w:val="28"/>
        </w:rPr>
        <w:t xml:space="preserve">Uno de los principales problemas que tiene el municipio  de Riosucio para optimizar su servicio de salud, está relacionado con la falta de sistemas de información que puedan arrojar cifras y datos para la formulación de un adecuado y certero diagnóstico con respecto a la manera  como se está administrando la salud del municipio. </w:t>
      </w:r>
    </w:p>
    <w:p w:rsidR="00497DA0" w:rsidRPr="006772A7" w:rsidRDefault="00497DA0" w:rsidP="00497DA0">
      <w:pPr>
        <w:jc w:val="both"/>
        <w:rPr>
          <w:rFonts w:cs="Calibri"/>
          <w:sz w:val="28"/>
          <w:szCs w:val="28"/>
        </w:rPr>
      </w:pPr>
      <w:r w:rsidRPr="006772A7">
        <w:rPr>
          <w:rFonts w:cs="Calibri"/>
          <w:sz w:val="28"/>
          <w:szCs w:val="28"/>
        </w:rPr>
        <w:t>El personal dispuesto para la atención en salud del municipio no está capacitado en materia de relaciones humanas, lo cual suele generar choques y desencuentros entre los prestadores de salud y la población que pretende acceder a ellos.</w:t>
      </w:r>
    </w:p>
    <w:p w:rsidR="00497DA0" w:rsidRPr="006772A7" w:rsidRDefault="00497DA0" w:rsidP="00497DA0">
      <w:pPr>
        <w:jc w:val="both"/>
        <w:rPr>
          <w:rFonts w:cs="Calibri"/>
          <w:sz w:val="28"/>
          <w:szCs w:val="28"/>
        </w:rPr>
      </w:pPr>
      <w:r w:rsidRPr="006772A7">
        <w:rPr>
          <w:rFonts w:cs="Calibri"/>
          <w:sz w:val="28"/>
          <w:szCs w:val="28"/>
        </w:rPr>
        <w:t xml:space="preserve">La problemática en materia de salud  es un problema de carácter estructural que impacta negativamente a todo el país, en el sistema mismo y en la </w:t>
      </w:r>
      <w:r w:rsidRPr="006772A7">
        <w:rPr>
          <w:rFonts w:cs="Calibri"/>
          <w:sz w:val="28"/>
          <w:szCs w:val="28"/>
        </w:rPr>
        <w:lastRenderedPageBreak/>
        <w:t>legislación que normativiza el acceso a la salud, existen vacíos administrativos y barreras de acceso permanentes. Riosucio no escapa a esta lógica, y es evidencia de los vacíos en esta materia: la falta de recursos, una oferta deficiente y una falta de concurrencia entre los diferentes niveles son características del sistema de salud en el municipio.</w:t>
      </w:r>
    </w:p>
    <w:p w:rsidR="00497DA0" w:rsidRPr="006772A7" w:rsidRDefault="00497DA0" w:rsidP="00497DA0">
      <w:pPr>
        <w:jc w:val="both"/>
        <w:rPr>
          <w:rFonts w:cs="Calibri"/>
          <w:sz w:val="28"/>
          <w:szCs w:val="28"/>
        </w:rPr>
      </w:pPr>
      <w:r w:rsidRPr="006772A7">
        <w:rPr>
          <w:rFonts w:cs="Calibri"/>
          <w:sz w:val="28"/>
          <w:szCs w:val="28"/>
        </w:rPr>
        <w:t>La distancia geográfica y el deterioro de las vías que comunican algunas veredas y corregimientos con la cabecera municipal, es una barrera de acceso evidente para el goce efectivo del derecho a la salud por parte de algunas comunidades rurales. Por otro lado, pese algunos primeros esfuerzos, no se ha establecido una estrategia definitiva para la articulación de la medicina tradicional al sistema de salud municipal.</w:t>
      </w:r>
    </w:p>
    <w:p w:rsidR="00497DA0" w:rsidRPr="006772A7" w:rsidRDefault="00497DA0" w:rsidP="00497DA0">
      <w:pPr>
        <w:jc w:val="both"/>
        <w:rPr>
          <w:rFonts w:cs="Calibri"/>
          <w:sz w:val="28"/>
          <w:szCs w:val="28"/>
        </w:rPr>
      </w:pPr>
      <w:r w:rsidRPr="006772A7">
        <w:rPr>
          <w:rFonts w:cs="Calibri"/>
          <w:sz w:val="28"/>
          <w:szCs w:val="28"/>
        </w:rPr>
        <w:t>Finalmente desde la Secretaría de Salud del municipio no se han implementado las acciones necesarias en materia de auditoría y veeduría, tanto de la ESE como de las EPS encargadas de prestar el servicio de salud en el municipio. Es necesario generar estrategias para la evaluación permanente de la prestación de los servicios de salud.</w:t>
      </w:r>
    </w:p>
    <w:p w:rsidR="00497DA0" w:rsidRPr="006772A7" w:rsidRDefault="00497DA0" w:rsidP="00497DA0">
      <w:pPr>
        <w:jc w:val="both"/>
        <w:rPr>
          <w:rFonts w:cs="Calibri"/>
          <w:sz w:val="28"/>
          <w:szCs w:val="28"/>
        </w:rPr>
      </w:pPr>
      <w:r w:rsidRPr="006772A7">
        <w:rPr>
          <w:rFonts w:cs="Calibri"/>
          <w:sz w:val="28"/>
          <w:szCs w:val="28"/>
        </w:rPr>
        <w:t>4.3 Potencialidades:</w:t>
      </w:r>
    </w:p>
    <w:p w:rsidR="00497DA0" w:rsidRPr="006772A7" w:rsidRDefault="00497DA0" w:rsidP="00497DA0">
      <w:pPr>
        <w:jc w:val="both"/>
        <w:rPr>
          <w:rFonts w:cs="Calibri"/>
          <w:sz w:val="28"/>
          <w:szCs w:val="28"/>
        </w:rPr>
      </w:pPr>
      <w:r w:rsidRPr="006772A7">
        <w:rPr>
          <w:rFonts w:cs="Calibri"/>
          <w:sz w:val="28"/>
          <w:szCs w:val="28"/>
        </w:rPr>
        <w:t>En primer lugar es necesario señalar  que la elaboración de un diagnóstico en el cual se identifiquen las principales falencias del municipio, es ya un punto de partida importante para generar estrategias de cambio. Ahora bien, entre las acciones positivas desarrolladas por el municipio en materia de salud podemos mencionar: la cobertura del 98% en vacunación, la implementación de campañas preventivas en materia de enfermedades EDA e IRA y las alianzas con Salud Ambiental y Saneamiento Básico para la generación de ambientes saludables  y libres de enfermedades.</w:t>
      </w:r>
    </w:p>
    <w:p w:rsidR="00497DA0" w:rsidRPr="006772A7" w:rsidRDefault="00497DA0" w:rsidP="00497DA0">
      <w:pPr>
        <w:jc w:val="both"/>
        <w:rPr>
          <w:rFonts w:cs="Calibri"/>
          <w:sz w:val="28"/>
          <w:szCs w:val="28"/>
        </w:rPr>
      </w:pPr>
      <w:r w:rsidRPr="006772A7">
        <w:rPr>
          <w:rFonts w:cs="Calibri"/>
          <w:sz w:val="28"/>
          <w:szCs w:val="28"/>
        </w:rPr>
        <w:t xml:space="preserve">En segundo lugar, los esfuerzos del municipio por dar reconocimiento a la medicina tradicional y por crear modelos interculturales de atención en salud, son fundamentales  para un desarrollo con enfoque diferencial. La </w:t>
      </w:r>
      <w:proofErr w:type="spellStart"/>
      <w:r w:rsidRPr="006772A7">
        <w:rPr>
          <w:rFonts w:cs="Calibri"/>
          <w:sz w:val="28"/>
          <w:szCs w:val="28"/>
        </w:rPr>
        <w:t>Acical</w:t>
      </w:r>
      <w:proofErr w:type="spellEnd"/>
      <w:r w:rsidRPr="006772A7">
        <w:rPr>
          <w:rFonts w:cs="Calibri"/>
          <w:sz w:val="28"/>
          <w:szCs w:val="28"/>
        </w:rPr>
        <w:t xml:space="preserve"> durante 12 años ha consolidado procesos importantes como: la creación de la Asociación de Médicos Tradicionales del Alto Occidente de </w:t>
      </w:r>
      <w:r w:rsidRPr="006772A7">
        <w:rPr>
          <w:rFonts w:cs="Calibri"/>
          <w:sz w:val="28"/>
          <w:szCs w:val="28"/>
        </w:rPr>
        <w:lastRenderedPageBreak/>
        <w:t xml:space="preserve">Caldas (ASOMETROC), la cual ha definido, la  ruta  sobre la cual se debe trabajar la política de medicina tradicional en las comunidades indígenas del departamento de Caldas.  Las áreas de trabajo seleccionadas son: </w:t>
      </w:r>
    </w:p>
    <w:p w:rsidR="00497DA0" w:rsidRPr="006772A7" w:rsidRDefault="00497DA0" w:rsidP="00497DA0">
      <w:pPr>
        <w:numPr>
          <w:ilvl w:val="0"/>
          <w:numId w:val="9"/>
        </w:numPr>
        <w:jc w:val="both"/>
        <w:rPr>
          <w:rFonts w:cs="Calibri"/>
          <w:sz w:val="28"/>
          <w:szCs w:val="28"/>
        </w:rPr>
      </w:pPr>
      <w:r w:rsidRPr="006772A7">
        <w:rPr>
          <w:rFonts w:cs="Calibri"/>
          <w:sz w:val="28"/>
          <w:szCs w:val="28"/>
        </w:rPr>
        <w:t xml:space="preserve"> De desarrollo y fortalecimiento de la espiritualidad</w:t>
      </w:r>
    </w:p>
    <w:p w:rsidR="00497DA0" w:rsidRPr="006772A7" w:rsidRDefault="00497DA0" w:rsidP="00497DA0">
      <w:pPr>
        <w:numPr>
          <w:ilvl w:val="0"/>
          <w:numId w:val="9"/>
        </w:numPr>
        <w:jc w:val="both"/>
        <w:rPr>
          <w:rFonts w:cs="Calibri"/>
          <w:sz w:val="28"/>
          <w:szCs w:val="28"/>
        </w:rPr>
      </w:pPr>
      <w:r w:rsidRPr="006772A7">
        <w:rPr>
          <w:rFonts w:cs="Calibri"/>
          <w:sz w:val="28"/>
          <w:szCs w:val="28"/>
        </w:rPr>
        <w:t xml:space="preserve"> De desarrollo y fortalecimiento de la identidad de las comunidades indígenas. </w:t>
      </w:r>
    </w:p>
    <w:p w:rsidR="00497DA0" w:rsidRPr="006772A7" w:rsidRDefault="00497DA0" w:rsidP="00497DA0">
      <w:pPr>
        <w:numPr>
          <w:ilvl w:val="0"/>
          <w:numId w:val="9"/>
        </w:numPr>
        <w:jc w:val="both"/>
        <w:rPr>
          <w:rFonts w:cs="Calibri"/>
          <w:sz w:val="28"/>
          <w:szCs w:val="28"/>
        </w:rPr>
      </w:pPr>
      <w:r w:rsidRPr="006772A7">
        <w:rPr>
          <w:rFonts w:cs="Calibri"/>
          <w:sz w:val="28"/>
          <w:szCs w:val="28"/>
        </w:rPr>
        <w:t xml:space="preserve"> Del mejoramiento de la calidad de vida de los habitantes en territorios indígenas. </w:t>
      </w:r>
    </w:p>
    <w:p w:rsidR="00497DA0" w:rsidRPr="006772A7" w:rsidRDefault="00497DA0" w:rsidP="00497DA0">
      <w:pPr>
        <w:numPr>
          <w:ilvl w:val="0"/>
          <w:numId w:val="9"/>
        </w:numPr>
        <w:jc w:val="both"/>
        <w:rPr>
          <w:rFonts w:cs="Calibri"/>
          <w:sz w:val="28"/>
          <w:szCs w:val="28"/>
        </w:rPr>
      </w:pPr>
      <w:r w:rsidRPr="006772A7">
        <w:rPr>
          <w:rFonts w:cs="Calibri"/>
          <w:sz w:val="28"/>
          <w:szCs w:val="28"/>
        </w:rPr>
        <w:t xml:space="preserve"> Del desarrollo y fortalecimiento del movimiento por la salud y el fortalecimiento de  sus estructuras organizativas. </w:t>
      </w:r>
    </w:p>
    <w:p w:rsidR="00497DA0" w:rsidRPr="006772A7" w:rsidRDefault="00497DA0" w:rsidP="00497DA0">
      <w:pPr>
        <w:numPr>
          <w:ilvl w:val="0"/>
          <w:numId w:val="9"/>
        </w:numPr>
        <w:jc w:val="both"/>
        <w:rPr>
          <w:rFonts w:cs="Calibri"/>
          <w:sz w:val="28"/>
          <w:szCs w:val="28"/>
        </w:rPr>
      </w:pPr>
      <w:r w:rsidRPr="006772A7">
        <w:rPr>
          <w:rFonts w:cs="Calibri"/>
          <w:sz w:val="28"/>
          <w:szCs w:val="28"/>
        </w:rPr>
        <w:t>Del desarrollo e implementación de estrategias de gestión.                                                             Área VI fortalecimiento de la partería.</w:t>
      </w:r>
    </w:p>
    <w:p w:rsidR="00497DA0" w:rsidRPr="006772A7" w:rsidRDefault="00497DA0" w:rsidP="00497DA0">
      <w:pPr>
        <w:jc w:val="both"/>
        <w:rPr>
          <w:rFonts w:cs="Calibri"/>
          <w:sz w:val="28"/>
          <w:szCs w:val="28"/>
        </w:rPr>
      </w:pPr>
      <w:r w:rsidRPr="006772A7">
        <w:rPr>
          <w:rFonts w:cs="Calibri"/>
          <w:sz w:val="28"/>
          <w:szCs w:val="28"/>
        </w:rPr>
        <w:t xml:space="preserve">Con esta orientación la ASOMETROC viene  desarrollado proyectos como: la adecuación sociocultural del Plan Obligatorio de Salud POS y la prestación de los servicios en salud para el Pueblo Embera Chamí Katio del departamento de  Caldas, fortaleciendo así la sinergia entre el saber alopático y tradicional. </w:t>
      </w:r>
    </w:p>
    <w:p w:rsidR="00497DA0" w:rsidRPr="006772A7" w:rsidRDefault="00497DA0" w:rsidP="00497DA0">
      <w:pPr>
        <w:jc w:val="both"/>
        <w:rPr>
          <w:rFonts w:cs="Calibri"/>
          <w:sz w:val="28"/>
          <w:szCs w:val="28"/>
        </w:rPr>
      </w:pPr>
      <w:r w:rsidRPr="006772A7">
        <w:rPr>
          <w:rFonts w:cs="Calibri"/>
          <w:sz w:val="28"/>
          <w:szCs w:val="28"/>
        </w:rPr>
        <w:t xml:space="preserve">El municipio ha buscado aunar esfuerzos y coordinar acciones y estrategias para combatir los problemas de salud pública de las comunidades indígenas y no indígenas del departamento, producto de ello son: los mandatos de médicos tradicionales y parteras y la clasificación de las enfermedades propias y </w:t>
      </w:r>
      <w:proofErr w:type="spellStart"/>
      <w:r w:rsidRPr="006772A7">
        <w:rPr>
          <w:rFonts w:cs="Calibri"/>
          <w:sz w:val="28"/>
          <w:szCs w:val="28"/>
        </w:rPr>
        <w:t>afueranas</w:t>
      </w:r>
      <w:proofErr w:type="spellEnd"/>
      <w:r w:rsidRPr="006772A7">
        <w:rPr>
          <w:rFonts w:cs="Calibri"/>
          <w:sz w:val="28"/>
          <w:szCs w:val="28"/>
        </w:rPr>
        <w:t>, para la construcción de los perfiles epidemiológicos con los cuales se  propone la formulación de los programas y proyectos de intervención.</w:t>
      </w:r>
    </w:p>
    <w:p w:rsidR="00497DA0" w:rsidRPr="006772A7" w:rsidRDefault="00497DA0" w:rsidP="00497DA0">
      <w:pPr>
        <w:jc w:val="both"/>
        <w:rPr>
          <w:rFonts w:cs="Calibri"/>
          <w:sz w:val="28"/>
          <w:szCs w:val="28"/>
        </w:rPr>
      </w:pPr>
      <w:r w:rsidRPr="006772A7">
        <w:rPr>
          <w:rFonts w:cs="Calibri"/>
          <w:sz w:val="28"/>
          <w:szCs w:val="28"/>
        </w:rPr>
        <w:t xml:space="preserve">La apuesta por construir un sistema de salud </w:t>
      </w:r>
      <w:proofErr w:type="spellStart"/>
      <w:r w:rsidRPr="006772A7">
        <w:rPr>
          <w:rFonts w:cs="Calibri"/>
          <w:sz w:val="28"/>
          <w:szCs w:val="28"/>
        </w:rPr>
        <w:t>pluricutural</w:t>
      </w:r>
      <w:proofErr w:type="spellEnd"/>
      <w:r w:rsidRPr="006772A7">
        <w:rPr>
          <w:rFonts w:cs="Calibri"/>
          <w:sz w:val="28"/>
          <w:szCs w:val="28"/>
        </w:rPr>
        <w:t xml:space="preserve"> que reconoce y se nutre de la diversidad en el marco del Plan Salvaguarda, será a futuro un modelo para otros municipios del país que tienen también altos porcentajes de población indígena.  </w:t>
      </w:r>
    </w:p>
    <w:p w:rsidR="00497DA0" w:rsidRPr="006772A7" w:rsidRDefault="00497DA0" w:rsidP="00497DA0">
      <w:pPr>
        <w:jc w:val="both"/>
        <w:rPr>
          <w:rFonts w:cs="Calibri"/>
          <w:sz w:val="28"/>
          <w:szCs w:val="28"/>
        </w:rPr>
      </w:pPr>
    </w:p>
    <w:p w:rsidR="00497DA0" w:rsidRDefault="00497DA0" w:rsidP="00497DA0">
      <w:pPr>
        <w:jc w:val="both"/>
        <w:rPr>
          <w:rFonts w:cs="Calibri"/>
          <w:sz w:val="28"/>
          <w:szCs w:val="28"/>
        </w:rPr>
      </w:pPr>
    </w:p>
    <w:p w:rsidR="00497DA0" w:rsidRDefault="00497DA0" w:rsidP="00497DA0">
      <w:pPr>
        <w:numPr>
          <w:ilvl w:val="0"/>
          <w:numId w:val="24"/>
        </w:numPr>
        <w:jc w:val="both"/>
        <w:rPr>
          <w:rFonts w:cs="Calibri"/>
          <w:b/>
          <w:sz w:val="28"/>
          <w:szCs w:val="28"/>
        </w:rPr>
      </w:pPr>
      <w:r>
        <w:rPr>
          <w:rFonts w:cs="Calibri"/>
          <w:b/>
          <w:sz w:val="28"/>
          <w:szCs w:val="28"/>
        </w:rPr>
        <w:t>Cultura</w:t>
      </w:r>
    </w:p>
    <w:p w:rsidR="00497DA0" w:rsidRDefault="00497DA0" w:rsidP="00497DA0">
      <w:pPr>
        <w:numPr>
          <w:ilvl w:val="1"/>
          <w:numId w:val="24"/>
        </w:numPr>
        <w:jc w:val="both"/>
        <w:rPr>
          <w:rFonts w:cs="Calibri"/>
          <w:sz w:val="28"/>
          <w:szCs w:val="28"/>
        </w:rPr>
      </w:pPr>
      <w:r>
        <w:rPr>
          <w:rFonts w:cs="Calibri"/>
          <w:sz w:val="28"/>
          <w:szCs w:val="28"/>
        </w:rPr>
        <w:t>Características:</w:t>
      </w:r>
    </w:p>
    <w:p w:rsidR="00497DA0" w:rsidRDefault="00497DA0" w:rsidP="00497DA0">
      <w:pPr>
        <w:jc w:val="both"/>
        <w:rPr>
          <w:rFonts w:cs="Calibri"/>
          <w:sz w:val="28"/>
          <w:szCs w:val="28"/>
        </w:rPr>
      </w:pPr>
      <w:r>
        <w:rPr>
          <w:rFonts w:cs="Calibri"/>
          <w:sz w:val="28"/>
          <w:szCs w:val="28"/>
        </w:rPr>
        <w:t xml:space="preserve">Las actividades y acciones relacionadas con la cultura en Riosucio están mediadas por la Secretaría Municipal de Cultura y Turismo que agrupa y articula los diferentes grupos y entidades dedicadas a la actividad cultural en el municipio, algunas de estas entidades son: </w:t>
      </w:r>
    </w:p>
    <w:p w:rsidR="00497DA0" w:rsidRDefault="00497DA0" w:rsidP="00497DA0">
      <w:pPr>
        <w:numPr>
          <w:ilvl w:val="0"/>
          <w:numId w:val="23"/>
        </w:numPr>
        <w:jc w:val="both"/>
        <w:rPr>
          <w:rFonts w:cs="Calibri"/>
          <w:sz w:val="28"/>
          <w:szCs w:val="28"/>
        </w:rPr>
      </w:pPr>
      <w:r>
        <w:rPr>
          <w:rFonts w:cs="Calibri"/>
          <w:sz w:val="28"/>
          <w:szCs w:val="28"/>
        </w:rPr>
        <w:t>El Museo.</w:t>
      </w:r>
    </w:p>
    <w:p w:rsidR="00497DA0" w:rsidRDefault="00497DA0" w:rsidP="00497DA0">
      <w:pPr>
        <w:numPr>
          <w:ilvl w:val="0"/>
          <w:numId w:val="23"/>
        </w:numPr>
        <w:jc w:val="both"/>
        <w:rPr>
          <w:rFonts w:cs="Calibri"/>
          <w:sz w:val="28"/>
          <w:szCs w:val="28"/>
        </w:rPr>
      </w:pPr>
      <w:r>
        <w:rPr>
          <w:rFonts w:cs="Calibri"/>
          <w:sz w:val="28"/>
          <w:szCs w:val="28"/>
        </w:rPr>
        <w:t>El Centro de la Música y la Artes.</w:t>
      </w:r>
    </w:p>
    <w:p w:rsidR="00497DA0" w:rsidRDefault="00497DA0" w:rsidP="00497DA0">
      <w:pPr>
        <w:numPr>
          <w:ilvl w:val="0"/>
          <w:numId w:val="23"/>
        </w:numPr>
        <w:jc w:val="both"/>
        <w:rPr>
          <w:rFonts w:cs="Calibri"/>
          <w:sz w:val="28"/>
          <w:szCs w:val="28"/>
        </w:rPr>
      </w:pPr>
      <w:r>
        <w:rPr>
          <w:rFonts w:cs="Calibri"/>
          <w:sz w:val="28"/>
          <w:szCs w:val="28"/>
        </w:rPr>
        <w:t>La biblioteca Municipal.</w:t>
      </w:r>
    </w:p>
    <w:p w:rsidR="00497DA0" w:rsidRDefault="00497DA0" w:rsidP="00497DA0">
      <w:pPr>
        <w:numPr>
          <w:ilvl w:val="0"/>
          <w:numId w:val="23"/>
        </w:numPr>
        <w:jc w:val="both"/>
        <w:rPr>
          <w:rFonts w:cs="Calibri"/>
          <w:sz w:val="28"/>
          <w:szCs w:val="28"/>
        </w:rPr>
      </w:pPr>
      <w:r>
        <w:rPr>
          <w:rFonts w:cs="Calibri"/>
          <w:sz w:val="28"/>
          <w:szCs w:val="28"/>
        </w:rPr>
        <w:t>El centro de Cultura Colombia.</w:t>
      </w:r>
    </w:p>
    <w:p w:rsidR="00497DA0" w:rsidRDefault="00497DA0" w:rsidP="00497DA0">
      <w:pPr>
        <w:numPr>
          <w:ilvl w:val="0"/>
          <w:numId w:val="23"/>
        </w:numPr>
        <w:jc w:val="both"/>
        <w:rPr>
          <w:rFonts w:cs="Calibri"/>
          <w:sz w:val="28"/>
          <w:szCs w:val="28"/>
        </w:rPr>
      </w:pPr>
      <w:r>
        <w:rPr>
          <w:rFonts w:cs="Calibri"/>
          <w:sz w:val="28"/>
          <w:szCs w:val="28"/>
        </w:rPr>
        <w:t>El Teatro Cuesta.</w:t>
      </w:r>
    </w:p>
    <w:p w:rsidR="00497DA0" w:rsidRDefault="00497DA0" w:rsidP="00497DA0">
      <w:pPr>
        <w:numPr>
          <w:ilvl w:val="0"/>
          <w:numId w:val="23"/>
        </w:numPr>
        <w:jc w:val="both"/>
        <w:rPr>
          <w:rFonts w:cs="Calibri"/>
          <w:sz w:val="28"/>
          <w:szCs w:val="28"/>
        </w:rPr>
      </w:pPr>
      <w:r>
        <w:rPr>
          <w:rFonts w:cs="Calibri"/>
          <w:sz w:val="28"/>
          <w:szCs w:val="28"/>
        </w:rPr>
        <w:t xml:space="preserve">El kiosco Municipal </w:t>
      </w:r>
    </w:p>
    <w:p w:rsidR="00497DA0" w:rsidRDefault="00497DA0" w:rsidP="00497DA0">
      <w:pPr>
        <w:jc w:val="both"/>
        <w:rPr>
          <w:rFonts w:cs="Calibri"/>
          <w:sz w:val="28"/>
          <w:szCs w:val="28"/>
        </w:rPr>
      </w:pPr>
      <w:r>
        <w:rPr>
          <w:rFonts w:cs="Calibri"/>
          <w:sz w:val="28"/>
          <w:szCs w:val="28"/>
        </w:rPr>
        <w:t>Todas las actividades culturales del municipio son desarrolladas en articulación con el plan decenal de cultura y tienen como objetivo empoderar y hacer  a la población sujeto activo de su propio entorno cultural. De igual manera, el Consejo Municipal de Cultura tiene como objetivo fundamental, la promoción y protección del quehacer cultural en el municipio.  La estrategia “vigías del patrimonio”  fue creada para proteger el patrimonio tangible e intangible del municipio.</w:t>
      </w:r>
    </w:p>
    <w:p w:rsidR="00497DA0" w:rsidRDefault="00497DA0" w:rsidP="00497DA0">
      <w:pPr>
        <w:jc w:val="both"/>
        <w:rPr>
          <w:rFonts w:cs="Calibri"/>
          <w:sz w:val="28"/>
          <w:szCs w:val="28"/>
        </w:rPr>
      </w:pPr>
      <w:r>
        <w:rPr>
          <w:rFonts w:cs="Calibri"/>
          <w:sz w:val="28"/>
          <w:szCs w:val="28"/>
        </w:rPr>
        <w:t xml:space="preserve">La administración municipal  apoya y se  vincula a iniciativas privadas que procuran por el fortalecimiento cultural en el municipio, por ejemplo, el programa etnocultural implementado por el centro de la música y las artes. Así mismo la creación mediante el acuerdo 245 del 14 de octubre de 2010, de la escuela de música Carángano, ha sido una herramienta vital para el acercamiento de la formación artística y la promoción de manifestaciones culturales en las zonas rurales del municipio. </w:t>
      </w:r>
    </w:p>
    <w:p w:rsidR="00497DA0" w:rsidRDefault="00497DA0" w:rsidP="00497DA0">
      <w:pPr>
        <w:jc w:val="both"/>
        <w:rPr>
          <w:rFonts w:cs="Calibri"/>
          <w:sz w:val="28"/>
          <w:szCs w:val="28"/>
        </w:rPr>
      </w:pPr>
      <w:r>
        <w:rPr>
          <w:rFonts w:cs="Calibri"/>
          <w:sz w:val="28"/>
          <w:szCs w:val="28"/>
        </w:rPr>
        <w:lastRenderedPageBreak/>
        <w:t>De otra parte, la escuela municipal de música y artes direcciona los siguientes programas con enfoque etnocultural: Paso a Paso en el Folclor, Chirimía con Flautas y Tambores de Paz, Taller de Pintura; El Valor de Crear, Teatro: El Arte de Vivir y Soñar y la Escuela de Música el Carángano.</w:t>
      </w:r>
    </w:p>
    <w:p w:rsidR="00497DA0" w:rsidRDefault="00497DA0" w:rsidP="00497DA0">
      <w:pPr>
        <w:jc w:val="both"/>
        <w:rPr>
          <w:rFonts w:cs="Calibri"/>
          <w:sz w:val="28"/>
          <w:szCs w:val="28"/>
        </w:rPr>
      </w:pPr>
      <w:r>
        <w:rPr>
          <w:rFonts w:cs="Calibri"/>
          <w:sz w:val="28"/>
          <w:szCs w:val="28"/>
        </w:rPr>
        <w:t>La biblioteca pública municipal  Otto Morales Benítez cuenta con gran cantidad de material bibliográfico, más de 13.000 textos producto del aporte de particulares, entidades privadas y entidades públicas. Dicho material responde en gran medida a las necesidades de conocimiento por parte de sus usuarios, también posee una sala audiovisual con amplio material educativo y recreativo moderno para diversificar el acceso al conocimiento por parte de sus usuarios. La biblioteca pública municipal se encuentra adscrita a la red departamental y nacional de bibliotecas públicas.</w:t>
      </w:r>
    </w:p>
    <w:p w:rsidR="00497DA0" w:rsidRDefault="00497DA0" w:rsidP="00497DA0">
      <w:pPr>
        <w:jc w:val="both"/>
        <w:rPr>
          <w:rFonts w:cs="Calibri"/>
          <w:sz w:val="28"/>
          <w:szCs w:val="28"/>
        </w:rPr>
      </w:pPr>
      <w:r>
        <w:rPr>
          <w:rFonts w:cs="Calibri"/>
          <w:sz w:val="28"/>
          <w:szCs w:val="28"/>
        </w:rPr>
        <w:t xml:space="preserve">La Corporación Carnaval de Riosucio es otra organización que aporta de manera significativa a la cultura del municipio, “pretende mantener vigente la autenticidad y tradición cultural de un pueblo </w:t>
      </w:r>
      <w:proofErr w:type="spellStart"/>
      <w:r>
        <w:rPr>
          <w:rFonts w:cs="Calibri"/>
          <w:sz w:val="28"/>
          <w:szCs w:val="28"/>
        </w:rPr>
        <w:t>carnavalero</w:t>
      </w:r>
      <w:proofErr w:type="spellEnd"/>
      <w:r>
        <w:rPr>
          <w:rFonts w:cs="Calibri"/>
          <w:sz w:val="28"/>
          <w:szCs w:val="28"/>
        </w:rPr>
        <w:t>, mediante la conservación de los elementos tradicionales como simbología de nuestra fiesta, tales como la danza, música (chirimías) disfraces, máscaras, de gran valor histórico y de carácter eminentemente autóctonos que requieren de su conservación y que buscan perpetuar los valores culturales para beneficio de las próximas generaciones”.</w:t>
      </w:r>
      <w:r>
        <w:rPr>
          <w:rFonts w:cs="Calibri"/>
          <w:sz w:val="28"/>
          <w:szCs w:val="28"/>
          <w:vertAlign w:val="superscript"/>
        </w:rPr>
        <w:footnoteReference w:id="8"/>
      </w:r>
      <w:r>
        <w:rPr>
          <w:rFonts w:cs="Calibri"/>
          <w:sz w:val="28"/>
          <w:szCs w:val="28"/>
        </w:rPr>
        <w:t xml:space="preserve"> Vale la pena mencionar que este carnaval ha sido declarado patrimonio cultural, oral e inmaterial de la nación.</w:t>
      </w:r>
    </w:p>
    <w:p w:rsidR="00497DA0" w:rsidRDefault="00497DA0" w:rsidP="00497DA0">
      <w:pPr>
        <w:jc w:val="both"/>
        <w:rPr>
          <w:rFonts w:cs="Calibri"/>
          <w:sz w:val="28"/>
          <w:szCs w:val="28"/>
        </w:rPr>
      </w:pPr>
      <w:r>
        <w:rPr>
          <w:rFonts w:cs="Calibri"/>
          <w:sz w:val="28"/>
          <w:szCs w:val="28"/>
        </w:rPr>
        <w:t>5.2 Debilidades:</w:t>
      </w:r>
    </w:p>
    <w:p w:rsidR="00497DA0" w:rsidRDefault="00497DA0" w:rsidP="00497DA0">
      <w:pPr>
        <w:jc w:val="both"/>
        <w:rPr>
          <w:rFonts w:cs="Calibri"/>
          <w:sz w:val="28"/>
          <w:szCs w:val="28"/>
        </w:rPr>
      </w:pPr>
      <w:r>
        <w:rPr>
          <w:rFonts w:cs="Calibri"/>
          <w:sz w:val="28"/>
          <w:szCs w:val="28"/>
        </w:rPr>
        <w:t>El mayor problema que debe enfrentar la cultura en el municipio, es la falta de recursos disponibles para invertir en ese sector. La biblioteca tiene serios problemas de humedad que afectan y deterioran el material bibliográfico, los equipos de cómputo para el acceso a internet y bases de datos son obsoletos y muchos ya no funcionan.</w:t>
      </w:r>
    </w:p>
    <w:p w:rsidR="00497DA0" w:rsidRDefault="00497DA0" w:rsidP="00497DA0">
      <w:pPr>
        <w:jc w:val="both"/>
        <w:rPr>
          <w:rFonts w:cs="Calibri"/>
          <w:sz w:val="28"/>
          <w:szCs w:val="28"/>
        </w:rPr>
      </w:pPr>
      <w:r>
        <w:rPr>
          <w:rFonts w:cs="Calibri"/>
          <w:sz w:val="28"/>
          <w:szCs w:val="28"/>
        </w:rPr>
        <w:lastRenderedPageBreak/>
        <w:t>Se necesitan con urgencia recursos para la implementación de nuevos programas, la contratación de personal y el mejoramiento de todas las infraestructuras (Centro de la Música y las Artes, Centro Cultural Colombia, Museo de Historia, Arte y Tradición), seguridad industrial para todos los escenarios</w:t>
      </w:r>
      <w:r>
        <w:rPr>
          <w:rFonts w:cs="Calibri"/>
          <w:color w:val="FF0000"/>
          <w:sz w:val="28"/>
          <w:szCs w:val="28"/>
        </w:rPr>
        <w:t xml:space="preserve"> </w:t>
      </w:r>
      <w:r>
        <w:rPr>
          <w:rFonts w:cs="Calibri"/>
          <w:sz w:val="28"/>
          <w:szCs w:val="28"/>
        </w:rPr>
        <w:t>en las que funcionan las entidades y organizaciones culturales. Pese a los esfuerzos, aún es muy difícil para la administración municipal llevar programas culturales o actividades en esa área a las zonas rurales del municipio.</w:t>
      </w:r>
    </w:p>
    <w:p w:rsidR="00497DA0" w:rsidRDefault="00497DA0" w:rsidP="00497DA0">
      <w:pPr>
        <w:jc w:val="both"/>
        <w:rPr>
          <w:rFonts w:cs="Calibri"/>
          <w:sz w:val="28"/>
          <w:szCs w:val="28"/>
        </w:rPr>
      </w:pPr>
      <w:r>
        <w:rPr>
          <w:rFonts w:cs="Calibri"/>
          <w:sz w:val="28"/>
          <w:szCs w:val="28"/>
        </w:rPr>
        <w:t>5.3 Potencialidades:</w:t>
      </w:r>
    </w:p>
    <w:p w:rsidR="00497DA0" w:rsidRDefault="00497DA0" w:rsidP="00497DA0">
      <w:pPr>
        <w:jc w:val="both"/>
        <w:rPr>
          <w:rFonts w:cs="Calibri"/>
          <w:sz w:val="28"/>
          <w:szCs w:val="28"/>
        </w:rPr>
      </w:pPr>
      <w:r>
        <w:rPr>
          <w:rFonts w:cs="Calibri"/>
          <w:sz w:val="28"/>
          <w:szCs w:val="28"/>
        </w:rPr>
        <w:t>La diversidad étnica propia de Riosucio, es en sí misma una riqueza cultural para el municipio. La posibilidad de compartir y mezclar diferentes tradiciones referentes al folclor (danza, comida, música y artesanías) son una fortaleza para el escenario cultural del municipio. Todas las acciones y estrategias que el municipio pueda emprender para favorecer la conservación de la diversidad étnica y cultural del municipio son valiosas y garantizaran el desarrollo cultural del municipio.</w:t>
      </w:r>
    </w:p>
    <w:p w:rsidR="00497DA0" w:rsidRDefault="00497DA0" w:rsidP="00497DA0">
      <w:pPr>
        <w:jc w:val="both"/>
        <w:rPr>
          <w:rFonts w:cs="Calibri"/>
          <w:sz w:val="28"/>
          <w:szCs w:val="28"/>
        </w:rPr>
      </w:pPr>
      <w:r>
        <w:rPr>
          <w:rFonts w:cs="Calibri"/>
          <w:sz w:val="28"/>
          <w:szCs w:val="28"/>
        </w:rPr>
        <w:t>El gran número de organizaciones y entidades preocupadas por la cultura del municipio son un importante punto de partida para la planeación en materia de cultura, las diferentes actividades actualmente desarrolladas en el municipio fortalecidas con una adecuada  inversión económica, podrán ser objeto de planeación dentro del Plan de Desarrollo 2012 – 2015.</w:t>
      </w:r>
    </w:p>
    <w:p w:rsidR="00497DA0" w:rsidRPr="008E0BF8" w:rsidRDefault="00497DA0" w:rsidP="00497DA0"/>
    <w:p w:rsidR="00497DA0" w:rsidRDefault="00497DA0" w:rsidP="00497DA0">
      <w:pPr>
        <w:jc w:val="both"/>
        <w:rPr>
          <w:rFonts w:cs="Calibri"/>
          <w:sz w:val="28"/>
          <w:szCs w:val="28"/>
        </w:rPr>
      </w:pPr>
    </w:p>
    <w:p w:rsidR="00497DA0" w:rsidRDefault="00497DA0" w:rsidP="00497DA0">
      <w:pPr>
        <w:jc w:val="both"/>
        <w:rPr>
          <w:rFonts w:cs="Calibri"/>
          <w:sz w:val="28"/>
          <w:szCs w:val="28"/>
        </w:rPr>
      </w:pPr>
    </w:p>
    <w:p w:rsidR="00497DA0" w:rsidRPr="006772A7" w:rsidRDefault="00497DA0" w:rsidP="00497DA0">
      <w:pPr>
        <w:jc w:val="both"/>
        <w:rPr>
          <w:rFonts w:cs="Calibri"/>
          <w:sz w:val="28"/>
          <w:szCs w:val="28"/>
        </w:rPr>
      </w:pPr>
    </w:p>
    <w:p w:rsidR="00497DA0" w:rsidRPr="006772A7" w:rsidRDefault="00497DA0" w:rsidP="00497DA0">
      <w:pPr>
        <w:ind w:left="720"/>
        <w:rPr>
          <w:rFonts w:cs="Calibri"/>
          <w:b/>
          <w:sz w:val="28"/>
          <w:szCs w:val="28"/>
        </w:rPr>
      </w:pPr>
      <w:r w:rsidRPr="006772A7">
        <w:rPr>
          <w:rFonts w:cs="Calibri"/>
          <w:b/>
          <w:sz w:val="28"/>
          <w:szCs w:val="28"/>
        </w:rPr>
        <w:t>Deportes y Recreación:</w:t>
      </w:r>
    </w:p>
    <w:p w:rsidR="00497DA0" w:rsidRPr="006772A7" w:rsidRDefault="00497DA0" w:rsidP="00497DA0">
      <w:pPr>
        <w:rPr>
          <w:rFonts w:cs="Calibri"/>
          <w:sz w:val="28"/>
          <w:szCs w:val="28"/>
        </w:rPr>
      </w:pPr>
      <w:r w:rsidRPr="006772A7">
        <w:rPr>
          <w:rFonts w:cs="Calibri"/>
          <w:sz w:val="28"/>
          <w:szCs w:val="28"/>
        </w:rPr>
        <w:t>6.1 Características:</w:t>
      </w:r>
    </w:p>
    <w:p w:rsidR="00497DA0" w:rsidRDefault="00497DA0" w:rsidP="00497DA0">
      <w:pPr>
        <w:jc w:val="both"/>
        <w:rPr>
          <w:rFonts w:cs="Calibri"/>
          <w:sz w:val="28"/>
          <w:szCs w:val="28"/>
        </w:rPr>
      </w:pPr>
      <w:r w:rsidRPr="006772A7">
        <w:rPr>
          <w:rFonts w:cs="Calibri"/>
          <w:sz w:val="28"/>
          <w:szCs w:val="28"/>
        </w:rPr>
        <w:lastRenderedPageBreak/>
        <w:t>La política en materia de recreación y deportes está en manos de la secretaria municipal de deportes, las acciones y políticas desarrolladas en este campo se concentran en el área urbana del municipio, reza</w:t>
      </w:r>
      <w:r>
        <w:rPr>
          <w:rFonts w:cs="Calibri"/>
          <w:sz w:val="28"/>
          <w:szCs w:val="28"/>
        </w:rPr>
        <w:t>gando a las comunidades rurales.</w:t>
      </w:r>
    </w:p>
    <w:p w:rsidR="00497DA0" w:rsidRPr="006772A7" w:rsidRDefault="00497DA0" w:rsidP="00497DA0">
      <w:pPr>
        <w:jc w:val="both"/>
        <w:rPr>
          <w:rFonts w:cs="Calibri"/>
          <w:sz w:val="28"/>
          <w:szCs w:val="28"/>
        </w:rPr>
      </w:pPr>
      <w:r w:rsidRPr="006772A7">
        <w:rPr>
          <w:rFonts w:cs="Calibri"/>
          <w:sz w:val="28"/>
          <w:szCs w:val="28"/>
        </w:rPr>
        <w:t>El estado crítico de la infraestructura de los escenarios deportivos ha sido un motivo determinante en el desinterés de la comunidad por los eventos que allí se desarrollan.</w:t>
      </w:r>
      <w:r>
        <w:rPr>
          <w:rFonts w:cs="Calibri"/>
          <w:sz w:val="28"/>
          <w:szCs w:val="28"/>
        </w:rPr>
        <w:t xml:space="preserve"> E</w:t>
      </w:r>
      <w:r w:rsidRPr="006772A7">
        <w:rPr>
          <w:rFonts w:cs="Calibri"/>
          <w:sz w:val="28"/>
          <w:szCs w:val="28"/>
        </w:rPr>
        <w:t>l deterioro de los escenarios deportivos del municipio también ha impactado de manera negativa la participación de atletas y deportistas  en competencias y eventos a nivel nacional y departamental, dado que no son lugares adecuados para entrenar. No se han generado estrategias para comprometer al departamento con la conservación y remodelación de estos escenarios.</w:t>
      </w:r>
    </w:p>
    <w:p w:rsidR="00497DA0" w:rsidRPr="006772A7" w:rsidRDefault="00497DA0" w:rsidP="00497DA0">
      <w:pPr>
        <w:jc w:val="both"/>
        <w:rPr>
          <w:rFonts w:cs="Calibri"/>
          <w:sz w:val="28"/>
          <w:szCs w:val="28"/>
        </w:rPr>
      </w:pPr>
      <w:r w:rsidRPr="006772A7">
        <w:rPr>
          <w:rFonts w:cs="Calibri"/>
          <w:sz w:val="28"/>
          <w:szCs w:val="28"/>
        </w:rPr>
        <w:t>6.2 Debilidades:</w:t>
      </w:r>
    </w:p>
    <w:p w:rsidR="00497DA0" w:rsidRPr="006772A7" w:rsidRDefault="00497DA0" w:rsidP="00497DA0">
      <w:pPr>
        <w:jc w:val="both"/>
        <w:rPr>
          <w:rFonts w:cs="Calibri"/>
          <w:sz w:val="28"/>
          <w:szCs w:val="28"/>
        </w:rPr>
      </w:pPr>
      <w:r w:rsidRPr="006772A7">
        <w:rPr>
          <w:rFonts w:cs="Calibri"/>
          <w:sz w:val="28"/>
          <w:szCs w:val="28"/>
        </w:rPr>
        <w:t>La re</w:t>
      </w:r>
      <w:r>
        <w:rPr>
          <w:rFonts w:cs="Calibri"/>
          <w:sz w:val="28"/>
          <w:szCs w:val="28"/>
        </w:rPr>
        <w:t xml:space="preserve">ducción </w:t>
      </w:r>
      <w:r w:rsidRPr="006772A7">
        <w:rPr>
          <w:rFonts w:cs="Calibri"/>
          <w:sz w:val="28"/>
          <w:szCs w:val="28"/>
        </w:rPr>
        <w:t xml:space="preserve"> del presupuesto para la recreación y el deporte ha impactado de manera negativa el desarrollo en materia deportiva y recreativa en el municipio. No hay recursos suficientes para el desarrollo de actividades deportivas y recreativas y para el incentivo de atletas y deportistas.</w:t>
      </w:r>
      <w:r>
        <w:rPr>
          <w:rFonts w:cs="Calibri"/>
          <w:sz w:val="28"/>
          <w:szCs w:val="28"/>
        </w:rPr>
        <w:t xml:space="preserve"> No</w:t>
      </w:r>
      <w:r w:rsidRPr="006772A7">
        <w:rPr>
          <w:rFonts w:cs="Calibri"/>
          <w:sz w:val="28"/>
          <w:szCs w:val="28"/>
        </w:rPr>
        <w:t xml:space="preserve"> se adoptan estrategias que de manera trasversal fortalezcan el tema deportivo en el municipio</w:t>
      </w:r>
      <w:r>
        <w:rPr>
          <w:rFonts w:cs="Calibri"/>
          <w:sz w:val="28"/>
          <w:szCs w:val="28"/>
        </w:rPr>
        <w:t>.</w:t>
      </w:r>
    </w:p>
    <w:p w:rsidR="00497DA0" w:rsidRDefault="00497DA0" w:rsidP="00497DA0">
      <w:pPr>
        <w:spacing w:line="240" w:lineRule="auto"/>
        <w:jc w:val="both"/>
        <w:rPr>
          <w:rFonts w:eastAsia="MS PMincho" w:cs="Calibri"/>
          <w:sz w:val="28"/>
          <w:szCs w:val="28"/>
        </w:rPr>
      </w:pPr>
      <w:r w:rsidRPr="006772A7">
        <w:rPr>
          <w:rFonts w:eastAsia="MS PMincho" w:cs="Calibri"/>
          <w:sz w:val="28"/>
          <w:szCs w:val="28"/>
        </w:rPr>
        <w:t xml:space="preserve">En el municipio se presenta morbimortalidad </w:t>
      </w:r>
      <w:r>
        <w:rPr>
          <w:rFonts w:eastAsia="MS PMincho" w:cs="Calibri"/>
          <w:sz w:val="28"/>
          <w:szCs w:val="28"/>
        </w:rPr>
        <w:t>en</w:t>
      </w:r>
      <w:r w:rsidRPr="006772A7">
        <w:rPr>
          <w:rFonts w:eastAsia="MS PMincho" w:cs="Calibri"/>
          <w:sz w:val="28"/>
          <w:szCs w:val="28"/>
        </w:rPr>
        <w:t xml:space="preserve"> personas adultas y jóvenes derivadas del sedentarismo,</w:t>
      </w:r>
      <w:r>
        <w:rPr>
          <w:rFonts w:eastAsia="MS PMincho" w:cs="Calibri"/>
          <w:sz w:val="28"/>
          <w:szCs w:val="28"/>
        </w:rPr>
        <w:t xml:space="preserve"> como </w:t>
      </w:r>
      <w:r w:rsidRPr="006772A7">
        <w:rPr>
          <w:rFonts w:eastAsia="MS PMincho" w:cs="Calibri"/>
          <w:sz w:val="28"/>
          <w:szCs w:val="28"/>
        </w:rPr>
        <w:t>diabetes, hipertensión, osteoporosis,  enfermedades cardiovasculares</w:t>
      </w:r>
      <w:r>
        <w:rPr>
          <w:rFonts w:eastAsia="MS PMincho" w:cs="Calibri"/>
          <w:sz w:val="28"/>
          <w:szCs w:val="28"/>
        </w:rPr>
        <w:t>.</w:t>
      </w:r>
    </w:p>
    <w:p w:rsidR="00497DA0" w:rsidRPr="006772A7" w:rsidRDefault="00497DA0" w:rsidP="00497DA0">
      <w:pPr>
        <w:spacing w:line="240" w:lineRule="auto"/>
        <w:jc w:val="both"/>
        <w:rPr>
          <w:rFonts w:eastAsia="MS PMincho" w:cs="Calibri"/>
          <w:sz w:val="28"/>
          <w:szCs w:val="28"/>
        </w:rPr>
      </w:pPr>
      <w:r w:rsidRPr="006772A7">
        <w:rPr>
          <w:rFonts w:eastAsia="MS PMincho" w:cs="Calibri"/>
          <w:sz w:val="28"/>
          <w:szCs w:val="28"/>
        </w:rPr>
        <w:t>Baja participación ciudadana: la carencia de momentos y espacios para la recreación el deporte y la actividad física representado en la ausencia de programas y la falta de estímulos que incentiven la integración y el compromiso de todos, no solo como deportistas sino también como dirigentes, patrocinadores o espectadores, hacen que se presente una desaceleración en el deporte, la recreación y la actividad física por falta de un portafolio de servicios u ofertas que estimulen la participación.</w:t>
      </w:r>
    </w:p>
    <w:p w:rsidR="00497DA0" w:rsidRDefault="00497DA0" w:rsidP="00497DA0">
      <w:pPr>
        <w:spacing w:line="240" w:lineRule="auto"/>
        <w:jc w:val="both"/>
        <w:rPr>
          <w:rFonts w:eastAsia="MS PMincho" w:cs="Calibri"/>
          <w:sz w:val="28"/>
          <w:szCs w:val="28"/>
        </w:rPr>
      </w:pPr>
      <w:r w:rsidRPr="006772A7">
        <w:rPr>
          <w:rFonts w:eastAsia="MS PMincho" w:cs="Calibri"/>
          <w:sz w:val="28"/>
          <w:szCs w:val="28"/>
        </w:rPr>
        <w:t>Escases de logros deportivos</w:t>
      </w:r>
      <w:r w:rsidRPr="006772A7">
        <w:rPr>
          <w:rFonts w:eastAsia="MS PMincho" w:cs="Calibri"/>
          <w:b/>
          <w:sz w:val="28"/>
          <w:szCs w:val="28"/>
          <w:u w:val="single"/>
        </w:rPr>
        <w:t>:</w:t>
      </w:r>
      <w:r w:rsidRPr="006772A7">
        <w:rPr>
          <w:rFonts w:eastAsia="MS PMincho" w:cs="Calibri"/>
          <w:sz w:val="28"/>
          <w:szCs w:val="28"/>
        </w:rPr>
        <w:t xml:space="preserve"> A partir del año 2001, se empieza a evidenciar un descenso en los procesos recreo-deportivos del municipio los cuales se </w:t>
      </w:r>
      <w:r w:rsidRPr="006772A7">
        <w:rPr>
          <w:rFonts w:eastAsia="MS PMincho" w:cs="Calibri"/>
          <w:sz w:val="28"/>
          <w:szCs w:val="28"/>
        </w:rPr>
        <w:lastRenderedPageBreak/>
        <w:t>ven reflejados en la falta de práctica por parte de la generación  de los nacidos a partir de 1990 y que para el año 2001 conformaban los niños, niñas, adolescentes y jóvenes</w:t>
      </w:r>
    </w:p>
    <w:p w:rsidR="00497DA0" w:rsidRPr="006772A7" w:rsidRDefault="00497DA0" w:rsidP="00497DA0">
      <w:pPr>
        <w:spacing w:line="240" w:lineRule="auto"/>
        <w:jc w:val="both"/>
        <w:rPr>
          <w:rFonts w:eastAsia="MS PMincho" w:cs="Calibri"/>
          <w:b/>
          <w:sz w:val="28"/>
          <w:szCs w:val="28"/>
          <w:u w:val="single"/>
        </w:rPr>
      </w:pPr>
      <w:r w:rsidRPr="006772A7">
        <w:rPr>
          <w:rFonts w:eastAsia="MS PMincho" w:cs="Calibri"/>
          <w:sz w:val="28"/>
          <w:szCs w:val="28"/>
        </w:rPr>
        <w:t xml:space="preserve">Falta de apoyo en la básica primaria: </w:t>
      </w:r>
      <w:r>
        <w:rPr>
          <w:rFonts w:eastAsia="MS PMincho" w:cs="Calibri"/>
          <w:sz w:val="28"/>
          <w:szCs w:val="28"/>
        </w:rPr>
        <w:t>Aun no se cuenta</w:t>
      </w:r>
      <w:r w:rsidRPr="006772A7">
        <w:rPr>
          <w:rFonts w:eastAsia="MS PMincho" w:cs="Calibri"/>
          <w:sz w:val="28"/>
          <w:szCs w:val="28"/>
        </w:rPr>
        <w:t xml:space="preserve"> en la básica primaria con una cátedra fundamentada y dirigida por personal idóneo en educación básica con énfasis en educación física recreación deporte y salud que sea parte fundamental del PEI como proyecto de cada institución desde donde se propenda por el desarrollo integral del ser y la formación y continuidad de la base social y deportiva del país </w:t>
      </w:r>
    </w:p>
    <w:p w:rsidR="00497DA0" w:rsidRPr="006772A7" w:rsidRDefault="00497DA0" w:rsidP="00497DA0">
      <w:pPr>
        <w:jc w:val="both"/>
        <w:rPr>
          <w:rFonts w:cs="Calibri"/>
          <w:sz w:val="28"/>
          <w:szCs w:val="28"/>
        </w:rPr>
      </w:pPr>
    </w:p>
    <w:p w:rsidR="00497DA0" w:rsidRDefault="00497DA0" w:rsidP="00497DA0">
      <w:pPr>
        <w:spacing w:line="240" w:lineRule="auto"/>
        <w:jc w:val="both"/>
        <w:rPr>
          <w:rFonts w:eastAsia="MS PMincho" w:cs="Calibri"/>
          <w:sz w:val="28"/>
          <w:szCs w:val="28"/>
        </w:rPr>
      </w:pPr>
      <w:r w:rsidRPr="006772A7">
        <w:rPr>
          <w:rFonts w:eastAsia="MS PMincho" w:cs="Calibri"/>
          <w:sz w:val="28"/>
          <w:szCs w:val="28"/>
        </w:rPr>
        <w:t>Desarticulación territorial</w:t>
      </w:r>
      <w:r w:rsidRPr="006772A7">
        <w:rPr>
          <w:rFonts w:eastAsia="MS PMincho" w:cs="Calibri"/>
          <w:b/>
          <w:sz w:val="28"/>
          <w:szCs w:val="28"/>
          <w:u w:val="single"/>
        </w:rPr>
        <w:t>:</w:t>
      </w:r>
      <w:r w:rsidRPr="006772A7">
        <w:rPr>
          <w:rFonts w:eastAsia="MS PMincho" w:cs="Calibri"/>
          <w:sz w:val="28"/>
          <w:szCs w:val="28"/>
        </w:rPr>
        <w:t xml:space="preserve"> Riosucio como municipio mayoritariamente indígena presenta una tipología única dentro del territorio nacional, por lo que s</w:t>
      </w:r>
      <w:r>
        <w:rPr>
          <w:rFonts w:eastAsia="MS PMincho" w:cs="Calibri"/>
          <w:sz w:val="28"/>
          <w:szCs w:val="28"/>
        </w:rPr>
        <w:t>e hace necesario mirarlo desde cinco</w:t>
      </w:r>
      <w:r w:rsidRPr="006772A7">
        <w:rPr>
          <w:rFonts w:eastAsia="MS PMincho" w:cs="Calibri"/>
          <w:sz w:val="28"/>
          <w:szCs w:val="28"/>
        </w:rPr>
        <w:t xml:space="preserve"> ópticas diferentes en lo referente a la administración territorial, es así como en el caso del deporte se presentan 4 coordinaciones de  deporte </w:t>
      </w:r>
      <w:r>
        <w:rPr>
          <w:rFonts w:eastAsia="MS PMincho" w:cs="Calibri"/>
          <w:sz w:val="28"/>
          <w:szCs w:val="28"/>
        </w:rPr>
        <w:t>una por</w:t>
      </w:r>
      <w:r w:rsidRPr="006772A7">
        <w:rPr>
          <w:rFonts w:eastAsia="MS PMincho" w:cs="Calibri"/>
          <w:sz w:val="28"/>
          <w:szCs w:val="28"/>
        </w:rPr>
        <w:t xml:space="preserve"> resguardo</w:t>
      </w:r>
      <w:r>
        <w:rPr>
          <w:rFonts w:eastAsia="MS PMincho" w:cs="Calibri"/>
          <w:sz w:val="28"/>
          <w:szCs w:val="28"/>
        </w:rPr>
        <w:t>,</w:t>
      </w:r>
      <w:r w:rsidRPr="006772A7">
        <w:rPr>
          <w:rFonts w:eastAsia="MS PMincho" w:cs="Calibri"/>
          <w:sz w:val="28"/>
          <w:szCs w:val="28"/>
        </w:rPr>
        <w:t xml:space="preserve"> más la </w:t>
      </w:r>
      <w:r>
        <w:rPr>
          <w:rFonts w:eastAsia="MS PMincho" w:cs="Calibri"/>
          <w:sz w:val="28"/>
          <w:szCs w:val="28"/>
        </w:rPr>
        <w:t xml:space="preserve">secretaria municipal de deporte. </w:t>
      </w:r>
    </w:p>
    <w:p w:rsidR="00497DA0" w:rsidRPr="006772A7" w:rsidRDefault="00497DA0" w:rsidP="00497DA0">
      <w:pPr>
        <w:spacing w:line="240" w:lineRule="auto"/>
        <w:jc w:val="both"/>
        <w:rPr>
          <w:rFonts w:eastAsia="MS PMincho" w:cs="Calibri"/>
          <w:b/>
          <w:sz w:val="28"/>
          <w:szCs w:val="28"/>
          <w:u w:val="single"/>
        </w:rPr>
      </w:pPr>
      <w:r>
        <w:rPr>
          <w:rFonts w:eastAsia="MS PMincho" w:cs="Calibri"/>
          <w:sz w:val="28"/>
          <w:szCs w:val="28"/>
        </w:rPr>
        <w:t>Cada coordinación desarrolla</w:t>
      </w:r>
      <w:r w:rsidRPr="006772A7">
        <w:rPr>
          <w:rFonts w:eastAsia="MS PMincho" w:cs="Calibri"/>
          <w:sz w:val="28"/>
          <w:szCs w:val="28"/>
        </w:rPr>
        <w:t xml:space="preserve"> sus programas y proyectos por separado atendiendo únicamente lo concerniente a su resguardo y sin articularse con la secretaria </w:t>
      </w:r>
      <w:proofErr w:type="gramStart"/>
      <w:r w:rsidRPr="006772A7">
        <w:rPr>
          <w:rFonts w:eastAsia="MS PMincho" w:cs="Calibri"/>
          <w:sz w:val="28"/>
          <w:szCs w:val="28"/>
        </w:rPr>
        <w:t xml:space="preserve">municipal </w:t>
      </w:r>
      <w:r>
        <w:rPr>
          <w:rFonts w:eastAsia="MS PMincho" w:cs="Calibri"/>
          <w:sz w:val="28"/>
          <w:szCs w:val="28"/>
        </w:rPr>
        <w:t>,</w:t>
      </w:r>
      <w:proofErr w:type="gramEnd"/>
      <w:r>
        <w:rPr>
          <w:rFonts w:eastAsia="MS PMincho" w:cs="Calibri"/>
          <w:sz w:val="28"/>
          <w:szCs w:val="28"/>
        </w:rPr>
        <w:t xml:space="preserve"> </w:t>
      </w:r>
      <w:r w:rsidRPr="006772A7">
        <w:rPr>
          <w:rFonts w:eastAsia="MS PMincho" w:cs="Calibri"/>
          <w:sz w:val="28"/>
          <w:szCs w:val="28"/>
        </w:rPr>
        <w:t>que debe atender las necesidades no solo de cada uno de los resguardos sino también del área urbana</w:t>
      </w:r>
      <w:r>
        <w:rPr>
          <w:rFonts w:eastAsia="MS PMincho" w:cs="Calibri"/>
          <w:sz w:val="28"/>
          <w:szCs w:val="28"/>
        </w:rPr>
        <w:t>. Lo anterior</w:t>
      </w:r>
      <w:r w:rsidRPr="006772A7">
        <w:rPr>
          <w:rFonts w:eastAsia="MS PMincho" w:cs="Calibri"/>
          <w:sz w:val="28"/>
          <w:szCs w:val="28"/>
        </w:rPr>
        <w:t xml:space="preserve"> dificulta la optimización de los recursos, la priorización de las necesidades y aplicación de políticas que involucren todo el municipio en un solo proyecto recreo-deportivo con miras a al </w:t>
      </w:r>
      <w:r>
        <w:rPr>
          <w:rFonts w:eastAsia="MS PMincho" w:cs="Calibri"/>
          <w:sz w:val="28"/>
          <w:szCs w:val="28"/>
        </w:rPr>
        <w:t>desarrollo social de todos los r</w:t>
      </w:r>
      <w:r w:rsidRPr="006772A7">
        <w:rPr>
          <w:rFonts w:eastAsia="MS PMincho" w:cs="Calibri"/>
          <w:sz w:val="28"/>
          <w:szCs w:val="28"/>
        </w:rPr>
        <w:t>iosuceños.</w:t>
      </w:r>
    </w:p>
    <w:p w:rsidR="00497DA0" w:rsidRPr="006772A7" w:rsidRDefault="00497DA0" w:rsidP="00497DA0">
      <w:pPr>
        <w:spacing w:line="240" w:lineRule="auto"/>
        <w:jc w:val="both"/>
        <w:rPr>
          <w:rFonts w:eastAsia="MS PMincho" w:cs="Calibri"/>
          <w:sz w:val="28"/>
          <w:szCs w:val="28"/>
        </w:rPr>
      </w:pPr>
      <w:r w:rsidRPr="006772A7">
        <w:rPr>
          <w:rFonts w:eastAsia="MS PMincho" w:cs="Calibri"/>
          <w:sz w:val="28"/>
          <w:szCs w:val="28"/>
        </w:rPr>
        <w:t>Priorización de</w:t>
      </w:r>
      <w:r>
        <w:rPr>
          <w:rFonts w:eastAsia="MS PMincho" w:cs="Calibri"/>
          <w:sz w:val="28"/>
          <w:szCs w:val="28"/>
        </w:rPr>
        <w:t xml:space="preserve">l gasto social actual: </w:t>
      </w:r>
      <w:r w:rsidRPr="006772A7">
        <w:rPr>
          <w:rFonts w:eastAsia="MS PMincho" w:cs="Calibri"/>
          <w:sz w:val="28"/>
          <w:szCs w:val="28"/>
        </w:rPr>
        <w:t xml:space="preserve">las políticas dirigidas hacia el deporte la educación física la recreación y la actividad física, no </w:t>
      </w:r>
      <w:r>
        <w:rPr>
          <w:rFonts w:eastAsia="MS PMincho" w:cs="Calibri"/>
          <w:sz w:val="28"/>
          <w:szCs w:val="28"/>
        </w:rPr>
        <w:t>definen</w:t>
      </w:r>
      <w:r w:rsidRPr="006772A7">
        <w:rPr>
          <w:rFonts w:eastAsia="MS PMincho" w:cs="Calibri"/>
          <w:sz w:val="28"/>
          <w:szCs w:val="28"/>
        </w:rPr>
        <w:t xml:space="preserve"> parámetros que garanticen el derec</w:t>
      </w:r>
      <w:r>
        <w:rPr>
          <w:rFonts w:eastAsia="MS PMincho" w:cs="Calibri"/>
          <w:sz w:val="28"/>
          <w:szCs w:val="28"/>
        </w:rPr>
        <w:t>ho constitucional a su práctica,</w:t>
      </w:r>
      <w:r w:rsidRPr="006772A7">
        <w:rPr>
          <w:rFonts w:eastAsia="MS PMincho" w:cs="Calibri"/>
          <w:sz w:val="28"/>
          <w:szCs w:val="28"/>
        </w:rPr>
        <w:t xml:space="preserve"> por el contrario</w:t>
      </w:r>
      <w:r>
        <w:rPr>
          <w:rFonts w:eastAsia="MS PMincho" w:cs="Calibri"/>
          <w:sz w:val="28"/>
          <w:szCs w:val="28"/>
        </w:rPr>
        <w:t>,</w:t>
      </w:r>
      <w:r w:rsidRPr="006772A7">
        <w:rPr>
          <w:rFonts w:eastAsia="MS PMincho" w:cs="Calibri"/>
          <w:sz w:val="28"/>
          <w:szCs w:val="28"/>
        </w:rPr>
        <w:t xml:space="preserve"> día a día se eliminan rubros destinados para tal fin</w:t>
      </w:r>
      <w:r>
        <w:rPr>
          <w:rFonts w:eastAsia="MS PMincho" w:cs="Calibri"/>
          <w:sz w:val="28"/>
          <w:szCs w:val="28"/>
        </w:rPr>
        <w:t>.</w:t>
      </w:r>
    </w:p>
    <w:p w:rsidR="00497DA0" w:rsidRDefault="00497DA0" w:rsidP="00497DA0">
      <w:pPr>
        <w:spacing w:line="240" w:lineRule="auto"/>
        <w:jc w:val="both"/>
        <w:rPr>
          <w:rFonts w:eastAsia="MS PMincho" w:cs="Calibri"/>
          <w:sz w:val="28"/>
          <w:szCs w:val="28"/>
        </w:rPr>
      </w:pPr>
      <w:r w:rsidRPr="006772A7">
        <w:rPr>
          <w:rFonts w:eastAsia="MS PMincho" w:cs="Calibri"/>
          <w:sz w:val="28"/>
          <w:szCs w:val="28"/>
        </w:rPr>
        <w:t>Deterioro, inoperatividad y déficits de escenarios deportivos</w:t>
      </w:r>
      <w:r w:rsidRPr="006772A7">
        <w:rPr>
          <w:rFonts w:eastAsia="MS PMincho" w:cs="Calibri"/>
          <w:b/>
          <w:sz w:val="28"/>
          <w:szCs w:val="28"/>
          <w:u w:val="single"/>
        </w:rPr>
        <w:t>:</w:t>
      </w:r>
      <w:r w:rsidRPr="006772A7">
        <w:rPr>
          <w:rFonts w:eastAsia="MS PMincho" w:cs="Calibri"/>
          <w:sz w:val="28"/>
          <w:szCs w:val="28"/>
        </w:rPr>
        <w:t xml:space="preserve"> la falta de un mantenimiento continuo y preventivo de los escenarios y parques recreativos </w:t>
      </w:r>
      <w:r>
        <w:rPr>
          <w:rFonts w:eastAsia="MS PMincho" w:cs="Calibri"/>
          <w:sz w:val="28"/>
          <w:szCs w:val="28"/>
        </w:rPr>
        <w:t>h</w:t>
      </w:r>
      <w:r w:rsidRPr="006772A7">
        <w:rPr>
          <w:rFonts w:eastAsia="MS PMincho" w:cs="Calibri"/>
          <w:sz w:val="28"/>
          <w:szCs w:val="28"/>
        </w:rPr>
        <w:t>a l</w:t>
      </w:r>
      <w:r>
        <w:rPr>
          <w:rFonts w:eastAsia="MS PMincho" w:cs="Calibri"/>
          <w:sz w:val="28"/>
          <w:szCs w:val="28"/>
        </w:rPr>
        <w:t>levado a su deterioro paulatino. L</w:t>
      </w:r>
      <w:r w:rsidRPr="006772A7">
        <w:rPr>
          <w:rFonts w:eastAsia="MS PMincho" w:cs="Calibri"/>
          <w:sz w:val="28"/>
          <w:szCs w:val="28"/>
        </w:rPr>
        <w:t>a violencia y el uso inadecuado por parte de jóvenes que descargan su descontento contra estos, además de la ola invernal</w:t>
      </w:r>
      <w:r>
        <w:rPr>
          <w:rFonts w:eastAsia="MS PMincho" w:cs="Calibri"/>
          <w:sz w:val="28"/>
          <w:szCs w:val="28"/>
        </w:rPr>
        <w:t>,</w:t>
      </w:r>
      <w:r w:rsidRPr="006772A7">
        <w:rPr>
          <w:rFonts w:eastAsia="MS PMincho" w:cs="Calibri"/>
          <w:sz w:val="28"/>
          <w:szCs w:val="28"/>
        </w:rPr>
        <w:t xml:space="preserve"> hacen que se empeore la situación a tal punto que la asignación presupuestada para tal fin sea insuficiente,</w:t>
      </w:r>
      <w:r>
        <w:rPr>
          <w:rFonts w:eastAsia="MS PMincho" w:cs="Calibri"/>
          <w:sz w:val="28"/>
          <w:szCs w:val="28"/>
        </w:rPr>
        <w:t xml:space="preserve"> </w:t>
      </w:r>
      <w:r w:rsidRPr="006772A7">
        <w:rPr>
          <w:rFonts w:eastAsia="MS PMincho" w:cs="Calibri"/>
          <w:sz w:val="28"/>
          <w:szCs w:val="28"/>
        </w:rPr>
        <w:t xml:space="preserve">por </w:t>
      </w:r>
      <w:r>
        <w:rPr>
          <w:rFonts w:eastAsia="MS PMincho" w:cs="Calibri"/>
          <w:sz w:val="28"/>
          <w:szCs w:val="28"/>
        </w:rPr>
        <w:t xml:space="preserve">lo </w:t>
      </w:r>
      <w:r w:rsidRPr="006772A7">
        <w:rPr>
          <w:rFonts w:eastAsia="MS PMincho" w:cs="Calibri"/>
          <w:sz w:val="28"/>
          <w:szCs w:val="28"/>
        </w:rPr>
        <w:t xml:space="preserve">tanto se hace necesario </w:t>
      </w:r>
      <w:r w:rsidRPr="006772A7">
        <w:rPr>
          <w:rFonts w:eastAsia="MS PMincho" w:cs="Calibri"/>
          <w:sz w:val="28"/>
          <w:szCs w:val="28"/>
        </w:rPr>
        <w:lastRenderedPageBreak/>
        <w:t>reglamentar el uso de los escenarios comprometiendo a los usuarios con el cuidado mantenimiento</w:t>
      </w:r>
      <w:r>
        <w:rPr>
          <w:rFonts w:eastAsia="MS PMincho" w:cs="Calibri"/>
          <w:sz w:val="28"/>
          <w:szCs w:val="28"/>
        </w:rPr>
        <w:t>.</w:t>
      </w:r>
    </w:p>
    <w:p w:rsidR="00497DA0" w:rsidRPr="006772A7" w:rsidRDefault="00497DA0" w:rsidP="00497DA0">
      <w:pPr>
        <w:jc w:val="both"/>
        <w:rPr>
          <w:rFonts w:cs="Calibri"/>
          <w:sz w:val="28"/>
          <w:szCs w:val="28"/>
        </w:rPr>
      </w:pPr>
      <w:r w:rsidRPr="006772A7">
        <w:rPr>
          <w:rFonts w:cs="Calibri"/>
          <w:sz w:val="28"/>
          <w:szCs w:val="28"/>
        </w:rPr>
        <w:t>6.3 Potencialidades:</w:t>
      </w:r>
    </w:p>
    <w:p w:rsidR="00497DA0" w:rsidRPr="006772A7" w:rsidRDefault="00497DA0" w:rsidP="00497DA0">
      <w:pPr>
        <w:jc w:val="both"/>
        <w:rPr>
          <w:rFonts w:cs="Calibri"/>
          <w:sz w:val="28"/>
          <w:szCs w:val="28"/>
        </w:rPr>
      </w:pPr>
      <w:r w:rsidRPr="006772A7">
        <w:rPr>
          <w:rFonts w:cs="Calibri"/>
          <w:sz w:val="28"/>
          <w:szCs w:val="28"/>
        </w:rPr>
        <w:t xml:space="preserve">El deporte es una herramienta fundamental para la prevención de </w:t>
      </w:r>
      <w:r>
        <w:rPr>
          <w:rFonts w:cs="Calibri"/>
          <w:sz w:val="28"/>
          <w:szCs w:val="28"/>
        </w:rPr>
        <w:t xml:space="preserve">morbilidad, </w:t>
      </w:r>
      <w:r w:rsidRPr="006772A7">
        <w:rPr>
          <w:rFonts w:cs="Calibri"/>
          <w:sz w:val="28"/>
          <w:szCs w:val="28"/>
        </w:rPr>
        <w:t>vinculación al conflicto armado, de drogadicción y  de alcoholismo, en niños y jóvenes. Es además una oportunidad para el establecimiento de espacios comunitarios y para encuentros de convivencia ciudadana, por tanto, es necesario generar sinergias entre los diferentes niveles administrativos (nacional, departamental, local) y cooperación del sector privado para la inversión en este sector.</w:t>
      </w:r>
    </w:p>
    <w:p w:rsidR="00497DA0" w:rsidRPr="006772A7" w:rsidRDefault="00497DA0" w:rsidP="00497DA0">
      <w:pPr>
        <w:spacing w:line="240" w:lineRule="auto"/>
        <w:jc w:val="both"/>
        <w:rPr>
          <w:rFonts w:eastAsia="MS PMincho" w:cs="Calibri"/>
          <w:sz w:val="28"/>
          <w:szCs w:val="28"/>
        </w:rPr>
      </w:pPr>
      <w:r w:rsidRPr="006772A7">
        <w:rPr>
          <w:rFonts w:eastAsia="MS PMincho" w:cs="Calibri"/>
          <w:sz w:val="28"/>
          <w:szCs w:val="28"/>
        </w:rPr>
        <w:t>Cobertura: se hace necesario la implementación de programas que sean incluyentes de tal manera que l</w:t>
      </w:r>
      <w:r>
        <w:rPr>
          <w:rFonts w:eastAsia="MS PMincho" w:cs="Calibri"/>
          <w:sz w:val="28"/>
          <w:szCs w:val="28"/>
        </w:rPr>
        <w:t xml:space="preserve">as propuestas se dirijan </w:t>
      </w:r>
      <w:r w:rsidRPr="006772A7">
        <w:rPr>
          <w:rFonts w:eastAsia="MS PMincho" w:cs="Calibri"/>
          <w:sz w:val="28"/>
          <w:szCs w:val="28"/>
        </w:rPr>
        <w:t xml:space="preserve"> al área urbana </w:t>
      </w:r>
      <w:r>
        <w:rPr>
          <w:rFonts w:eastAsia="MS PMincho" w:cs="Calibri"/>
          <w:sz w:val="28"/>
          <w:szCs w:val="28"/>
        </w:rPr>
        <w:t xml:space="preserve"> y</w:t>
      </w:r>
      <w:r w:rsidRPr="006772A7">
        <w:rPr>
          <w:rFonts w:eastAsia="MS PMincho" w:cs="Calibri"/>
          <w:sz w:val="28"/>
          <w:szCs w:val="28"/>
        </w:rPr>
        <w:t xml:space="preserve"> rural</w:t>
      </w:r>
      <w:r>
        <w:rPr>
          <w:rFonts w:eastAsia="MS PMincho" w:cs="Calibri"/>
          <w:sz w:val="28"/>
          <w:szCs w:val="28"/>
        </w:rPr>
        <w:t>,</w:t>
      </w:r>
      <w:r w:rsidRPr="006772A7">
        <w:rPr>
          <w:rFonts w:eastAsia="MS PMincho" w:cs="Calibri"/>
          <w:sz w:val="28"/>
          <w:szCs w:val="28"/>
        </w:rPr>
        <w:t xml:space="preserve"> cubriendo todos los segmentos poblacionales con equidad de género, personas en condición de discapacidad física o cognitiva, instituciones educativas y grupos sociales, comunitarios, deportivos, carcelarios, empresariales, apoyo a la educación extracurricular y aprovechamiento del tiempo libre.  </w:t>
      </w:r>
    </w:p>
    <w:p w:rsidR="00497DA0" w:rsidRPr="006772A7" w:rsidRDefault="00497DA0" w:rsidP="00497DA0">
      <w:pPr>
        <w:pStyle w:val="Prrafodelista"/>
        <w:ind w:left="0"/>
        <w:jc w:val="both"/>
        <w:rPr>
          <w:rFonts w:eastAsia="MS PMincho" w:cs="Calibri"/>
          <w:sz w:val="28"/>
          <w:szCs w:val="28"/>
        </w:rPr>
      </w:pPr>
      <w:r w:rsidRPr="006772A7">
        <w:rPr>
          <w:rFonts w:eastAsia="MS PMincho" w:cs="Calibri"/>
          <w:sz w:val="28"/>
          <w:szCs w:val="28"/>
        </w:rPr>
        <w:t>Necesidad de una transversalidad institucional y social:</w:t>
      </w:r>
      <w:r>
        <w:rPr>
          <w:rFonts w:eastAsia="MS PMincho" w:cs="Calibri"/>
          <w:sz w:val="28"/>
          <w:szCs w:val="28"/>
        </w:rPr>
        <w:t xml:space="preserve"> </w:t>
      </w:r>
      <w:r w:rsidRPr="006772A7">
        <w:rPr>
          <w:rFonts w:eastAsia="MS PMincho" w:cs="Calibri"/>
          <w:sz w:val="28"/>
          <w:szCs w:val="28"/>
        </w:rPr>
        <w:t>para llevar a cabo la solución a todas y cada una de estas problemáticas y asegurar el éxito de los programas y las políticas presentadas en este plan de tal manera que generen un impacto positivo en el desarrollo social económico pedagógico y turístico de nuestro municipio es necesaria una transversalidad y compromiso institucional que permita complementar acciones que nos lleven a un feliz término de los propósitos trazados para este cuatrienio de tal manera que se convierta en proyectos a no solo corto y mediano plazo sino que se establezcan como un proyecto de vida a largo plazo con la competencia de todas las secretarias y organismos gubernamentales y no gubernamentales.</w:t>
      </w:r>
    </w:p>
    <w:p w:rsidR="00497DA0" w:rsidRPr="006772A7" w:rsidRDefault="00497DA0" w:rsidP="00497DA0">
      <w:pPr>
        <w:pStyle w:val="Prrafodelista"/>
        <w:ind w:left="0"/>
        <w:jc w:val="both"/>
        <w:rPr>
          <w:rFonts w:eastAsia="MS PMincho" w:cs="Calibri"/>
          <w:sz w:val="28"/>
          <w:szCs w:val="28"/>
        </w:rPr>
      </w:pPr>
    </w:p>
    <w:p w:rsidR="00497DA0" w:rsidRPr="006772A7" w:rsidRDefault="00497DA0" w:rsidP="00497DA0">
      <w:pPr>
        <w:spacing w:line="240" w:lineRule="auto"/>
        <w:jc w:val="both"/>
        <w:rPr>
          <w:rFonts w:eastAsia="MS PMincho" w:cs="Calibri"/>
          <w:sz w:val="28"/>
          <w:szCs w:val="28"/>
        </w:rPr>
      </w:pPr>
      <w:r w:rsidRPr="006772A7">
        <w:rPr>
          <w:rFonts w:eastAsia="MS PMincho" w:cs="Calibri"/>
          <w:sz w:val="28"/>
          <w:szCs w:val="28"/>
        </w:rPr>
        <w:t>La superación de estas problemáticas solo se logra en la medida en que todos los Riosuceños nos comprometamos en búsqueda de la recuperación y el posicionamiento deportivo a  n</w:t>
      </w:r>
      <w:r>
        <w:rPr>
          <w:rFonts w:eastAsia="MS PMincho" w:cs="Calibri"/>
          <w:sz w:val="28"/>
          <w:szCs w:val="28"/>
        </w:rPr>
        <w:t>ivel regional, departamental y n</w:t>
      </w:r>
      <w:r w:rsidRPr="006772A7">
        <w:rPr>
          <w:rFonts w:eastAsia="MS PMincho" w:cs="Calibri"/>
          <w:sz w:val="28"/>
          <w:szCs w:val="28"/>
        </w:rPr>
        <w:t xml:space="preserve">acional </w:t>
      </w:r>
      <w:r w:rsidRPr="006772A7">
        <w:rPr>
          <w:rFonts w:eastAsia="MS PMincho" w:cs="Calibri"/>
          <w:sz w:val="28"/>
          <w:szCs w:val="28"/>
        </w:rPr>
        <w:lastRenderedPageBreak/>
        <w:t xml:space="preserve">reflejados en la adquisición de un mínimo vital que nos permita integrarnos al sistema nacional de deportes, apoyados en la riqueza </w:t>
      </w:r>
      <w:proofErr w:type="spellStart"/>
      <w:r w:rsidRPr="006772A7">
        <w:rPr>
          <w:rFonts w:eastAsia="MS PMincho" w:cs="Calibri"/>
          <w:sz w:val="28"/>
          <w:szCs w:val="28"/>
        </w:rPr>
        <w:t>etno</w:t>
      </w:r>
      <w:proofErr w:type="spellEnd"/>
      <w:r w:rsidRPr="006772A7">
        <w:rPr>
          <w:rFonts w:eastAsia="MS PMincho" w:cs="Calibri"/>
          <w:sz w:val="28"/>
          <w:szCs w:val="28"/>
        </w:rPr>
        <w:t xml:space="preserve"> cultural de nuestro potencial humano, número de centros deportivos y educativos, la Ley 18</w:t>
      </w:r>
      <w:r>
        <w:rPr>
          <w:rFonts w:eastAsia="MS PMincho" w:cs="Calibri"/>
          <w:sz w:val="28"/>
          <w:szCs w:val="28"/>
        </w:rPr>
        <w:t>1 del deporte, el plan decenal n</w:t>
      </w:r>
      <w:r w:rsidRPr="006772A7">
        <w:rPr>
          <w:rFonts w:eastAsia="MS PMincho" w:cs="Calibri"/>
          <w:sz w:val="28"/>
          <w:szCs w:val="28"/>
        </w:rPr>
        <w:t>acional y departamental de deportes y la identidad de  todos en búsqueda del reconocimiento por el impacto que generen nuestras políticas y programas de Educación física, deportes, recreación y actividad física en el desarrollo social de los Riosuceños, y en el mejoramiento de los indicadores de los ejes básicos de la política deportiva del país en búsqueda de la prosperidad democrática como son convivencia y paz, desarrollo y liderazgo deportivo, hábitos y estilo de vida saludable y la inclusión de los niños, niñas jóvenes y adolescentes de manera participativa y activa en la recuperación social y deportiva del territorio.</w:t>
      </w:r>
    </w:p>
    <w:p w:rsidR="00497DA0" w:rsidRDefault="00497DA0" w:rsidP="00497DA0">
      <w:pPr>
        <w:pStyle w:val="Prrafodelista"/>
        <w:ind w:left="0"/>
        <w:jc w:val="both"/>
        <w:rPr>
          <w:rFonts w:eastAsia="MS PMincho" w:cs="Calibri"/>
          <w:b/>
          <w:sz w:val="28"/>
          <w:szCs w:val="28"/>
        </w:rPr>
      </w:pPr>
    </w:p>
    <w:p w:rsidR="00497DA0" w:rsidRDefault="00497DA0" w:rsidP="00497DA0">
      <w:pPr>
        <w:pStyle w:val="Prrafodelista"/>
        <w:ind w:left="0"/>
        <w:jc w:val="both"/>
        <w:rPr>
          <w:rFonts w:eastAsia="MS PMincho" w:cs="Calibri"/>
          <w:b/>
          <w:sz w:val="28"/>
          <w:szCs w:val="28"/>
        </w:rPr>
      </w:pPr>
    </w:p>
    <w:p w:rsidR="00497DA0" w:rsidRPr="007F3B03" w:rsidRDefault="00497DA0" w:rsidP="00497DA0">
      <w:pPr>
        <w:pStyle w:val="Prrafodelista"/>
        <w:ind w:left="0"/>
        <w:jc w:val="both"/>
        <w:rPr>
          <w:rFonts w:eastAsia="MS PMincho" w:cs="Calibri"/>
          <w:b/>
          <w:sz w:val="28"/>
          <w:szCs w:val="28"/>
        </w:rPr>
      </w:pPr>
      <w:r w:rsidRPr="007F3B03">
        <w:rPr>
          <w:rFonts w:eastAsia="MS PMincho" w:cs="Calibri"/>
          <w:b/>
          <w:sz w:val="28"/>
          <w:szCs w:val="28"/>
        </w:rPr>
        <w:t>Participación ciudadana y comunitaria</w:t>
      </w:r>
    </w:p>
    <w:p w:rsidR="00497DA0" w:rsidRDefault="00497DA0" w:rsidP="00497DA0">
      <w:pPr>
        <w:pStyle w:val="Prrafodelista"/>
        <w:ind w:left="0"/>
        <w:jc w:val="both"/>
        <w:rPr>
          <w:rFonts w:eastAsia="MS PMincho" w:cs="Calibri"/>
          <w:sz w:val="28"/>
          <w:szCs w:val="28"/>
        </w:rPr>
      </w:pPr>
    </w:p>
    <w:p w:rsidR="00497DA0" w:rsidRPr="006772A7" w:rsidRDefault="00497DA0" w:rsidP="00497DA0">
      <w:pPr>
        <w:pStyle w:val="Prrafodelista"/>
        <w:ind w:left="0"/>
        <w:jc w:val="both"/>
        <w:rPr>
          <w:rFonts w:eastAsia="MS PMincho" w:cs="Calibri"/>
          <w:sz w:val="28"/>
          <w:szCs w:val="28"/>
        </w:rPr>
      </w:pPr>
      <w:r>
        <w:rPr>
          <w:rFonts w:eastAsia="MS PMincho" w:cs="Calibri"/>
          <w:sz w:val="28"/>
          <w:szCs w:val="28"/>
        </w:rPr>
        <w:t>Características.</w:t>
      </w:r>
    </w:p>
    <w:p w:rsidR="00497DA0" w:rsidRPr="009D2289" w:rsidRDefault="00497DA0" w:rsidP="00497DA0">
      <w:pPr>
        <w:spacing w:line="360" w:lineRule="auto"/>
        <w:jc w:val="both"/>
        <w:rPr>
          <w:rFonts w:ascii="Arial" w:hAnsi="Arial" w:cs="Arial"/>
          <w:sz w:val="24"/>
          <w:szCs w:val="24"/>
        </w:rPr>
      </w:pPr>
      <w:r w:rsidRPr="009D2289">
        <w:rPr>
          <w:rFonts w:ascii="Arial" w:hAnsi="Arial" w:cs="Arial"/>
          <w:sz w:val="24"/>
          <w:szCs w:val="24"/>
        </w:rPr>
        <w:t xml:space="preserve">El municipio de Ríosucio se ha caracterizado a nivel local y regional por la presencia masiva de organizaciones sociales, organizaciones de carácter productivo, comunitaria, estatal que </w:t>
      </w:r>
      <w:r>
        <w:rPr>
          <w:rFonts w:ascii="Arial" w:hAnsi="Arial" w:cs="Arial"/>
          <w:sz w:val="24"/>
          <w:szCs w:val="24"/>
        </w:rPr>
        <w:t xml:space="preserve">le </w:t>
      </w:r>
      <w:r w:rsidRPr="009D2289">
        <w:rPr>
          <w:rFonts w:ascii="Arial" w:hAnsi="Arial" w:cs="Arial"/>
          <w:sz w:val="24"/>
          <w:szCs w:val="24"/>
        </w:rPr>
        <w:t>aportan al desarrollo social y</w:t>
      </w:r>
      <w:r>
        <w:rPr>
          <w:rFonts w:ascii="Arial" w:hAnsi="Arial" w:cs="Arial"/>
          <w:sz w:val="24"/>
          <w:szCs w:val="24"/>
        </w:rPr>
        <w:t xml:space="preserve"> comunitario del municipio</w:t>
      </w:r>
      <w:r w:rsidRPr="009D2289">
        <w:rPr>
          <w:rFonts w:ascii="Arial" w:hAnsi="Arial" w:cs="Arial"/>
          <w:sz w:val="24"/>
          <w:szCs w:val="24"/>
        </w:rPr>
        <w:t xml:space="preserve">. </w:t>
      </w:r>
    </w:p>
    <w:p w:rsidR="00497DA0" w:rsidRDefault="00497DA0" w:rsidP="00497DA0">
      <w:pPr>
        <w:widowControl w:val="0"/>
        <w:jc w:val="both"/>
        <w:rPr>
          <w:rFonts w:ascii="Arial" w:hAnsi="Arial" w:cs="Arial"/>
          <w:sz w:val="24"/>
          <w:szCs w:val="24"/>
        </w:rPr>
      </w:pPr>
      <w:r w:rsidRPr="009D2289">
        <w:rPr>
          <w:rFonts w:ascii="Arial" w:hAnsi="Arial" w:cs="Arial"/>
          <w:sz w:val="24"/>
          <w:szCs w:val="24"/>
        </w:rPr>
        <w:t xml:space="preserve">A nivel nacional las JAC se encuentran tanto en la zona rural como urbana, pero a partir del presente año con </w:t>
      </w:r>
      <w:r>
        <w:rPr>
          <w:rFonts w:ascii="Arial" w:hAnsi="Arial" w:cs="Arial"/>
          <w:sz w:val="24"/>
          <w:szCs w:val="24"/>
        </w:rPr>
        <w:t xml:space="preserve">la expedición de la </w:t>
      </w:r>
      <w:r>
        <w:rPr>
          <w:b/>
          <w:bCs/>
          <w:sz w:val="28"/>
          <w:szCs w:val="28"/>
          <w:lang w:val="es-ES"/>
        </w:rPr>
        <w:t xml:space="preserve">Sentencia T-601/11, </w:t>
      </w:r>
      <w:r>
        <w:rPr>
          <w:bCs/>
          <w:sz w:val="28"/>
          <w:szCs w:val="28"/>
          <w:lang w:val="es-ES"/>
        </w:rPr>
        <w:t>de la honorable Corte C</w:t>
      </w:r>
      <w:r w:rsidRPr="00782F2A">
        <w:rPr>
          <w:bCs/>
          <w:sz w:val="28"/>
          <w:szCs w:val="28"/>
          <w:lang w:val="es-ES"/>
        </w:rPr>
        <w:t>onstitucional</w:t>
      </w:r>
      <w:r>
        <w:rPr>
          <w:rFonts w:ascii="Arial" w:hAnsi="Arial" w:cs="Arial"/>
          <w:sz w:val="24"/>
          <w:szCs w:val="24"/>
        </w:rPr>
        <w:t>,</w:t>
      </w:r>
      <w:r w:rsidRPr="009D2289">
        <w:rPr>
          <w:rFonts w:ascii="Arial" w:hAnsi="Arial" w:cs="Arial"/>
          <w:sz w:val="24"/>
          <w:szCs w:val="24"/>
        </w:rPr>
        <w:t xml:space="preserve"> </w:t>
      </w:r>
      <w:r>
        <w:rPr>
          <w:rFonts w:ascii="Arial" w:hAnsi="Arial" w:cs="Arial"/>
          <w:sz w:val="24"/>
          <w:szCs w:val="24"/>
        </w:rPr>
        <w:t xml:space="preserve">determino la suspensión de las </w:t>
      </w:r>
      <w:r w:rsidRPr="009D2289">
        <w:rPr>
          <w:rFonts w:ascii="Arial" w:hAnsi="Arial" w:cs="Arial"/>
          <w:sz w:val="24"/>
          <w:szCs w:val="24"/>
        </w:rPr>
        <w:t xml:space="preserve">JAC </w:t>
      </w:r>
      <w:r>
        <w:rPr>
          <w:rFonts w:ascii="Arial" w:hAnsi="Arial" w:cs="Arial"/>
          <w:sz w:val="24"/>
          <w:szCs w:val="24"/>
        </w:rPr>
        <w:t>que operaban en los territorios indígenas.</w:t>
      </w:r>
    </w:p>
    <w:p w:rsidR="00497DA0" w:rsidRDefault="00497DA0" w:rsidP="00497DA0">
      <w:pPr>
        <w:widowControl w:val="0"/>
        <w:jc w:val="both"/>
        <w:rPr>
          <w:rFonts w:ascii="Arial" w:hAnsi="Arial" w:cs="Arial"/>
          <w:sz w:val="24"/>
          <w:szCs w:val="24"/>
        </w:rPr>
      </w:pPr>
      <w:r>
        <w:rPr>
          <w:rFonts w:ascii="Arial" w:hAnsi="Arial" w:cs="Arial"/>
          <w:sz w:val="24"/>
          <w:szCs w:val="24"/>
        </w:rPr>
        <w:t>Se genera una coyuntura para Riosucio</w:t>
      </w:r>
      <w:r w:rsidRPr="009D2289">
        <w:rPr>
          <w:rFonts w:ascii="Arial" w:hAnsi="Arial" w:cs="Arial"/>
          <w:sz w:val="24"/>
          <w:szCs w:val="24"/>
        </w:rPr>
        <w:t xml:space="preserve">, </w:t>
      </w:r>
      <w:r>
        <w:rPr>
          <w:rFonts w:ascii="Arial" w:hAnsi="Arial" w:cs="Arial"/>
          <w:sz w:val="24"/>
          <w:szCs w:val="24"/>
        </w:rPr>
        <w:t xml:space="preserve">pues, las Juntas suspendidas, ahora tendrán que agotar el procedimiento de la consulta previa e informada con las comunidades indígenas para realizar cualquier intervención en estos territorios. Es por esto que </w:t>
      </w:r>
      <w:r w:rsidRPr="009D2289">
        <w:rPr>
          <w:rFonts w:ascii="Arial" w:hAnsi="Arial" w:cs="Arial"/>
          <w:sz w:val="24"/>
          <w:szCs w:val="24"/>
        </w:rPr>
        <w:t xml:space="preserve">anteriormente se contaba </w:t>
      </w:r>
      <w:r>
        <w:rPr>
          <w:rFonts w:ascii="Arial" w:hAnsi="Arial" w:cs="Arial"/>
          <w:sz w:val="24"/>
          <w:szCs w:val="24"/>
        </w:rPr>
        <w:t xml:space="preserve">en el municipio </w:t>
      </w:r>
      <w:r w:rsidRPr="009D2289">
        <w:rPr>
          <w:rFonts w:ascii="Arial" w:hAnsi="Arial" w:cs="Arial"/>
          <w:sz w:val="24"/>
          <w:szCs w:val="24"/>
        </w:rPr>
        <w:t xml:space="preserve">con ciento quince (115) Juntas de Acción Comunal </w:t>
      </w:r>
      <w:r>
        <w:rPr>
          <w:rFonts w:ascii="Arial" w:hAnsi="Arial" w:cs="Arial"/>
          <w:sz w:val="24"/>
          <w:szCs w:val="24"/>
        </w:rPr>
        <w:t>en total. Posterior a este</w:t>
      </w:r>
      <w:r w:rsidRPr="009D2289">
        <w:rPr>
          <w:rFonts w:ascii="Arial" w:hAnsi="Arial" w:cs="Arial"/>
          <w:sz w:val="24"/>
          <w:szCs w:val="24"/>
        </w:rPr>
        <w:t xml:space="preserve"> fallo, oficialmente las JAC </w:t>
      </w:r>
      <w:r>
        <w:rPr>
          <w:rFonts w:ascii="Arial" w:hAnsi="Arial" w:cs="Arial"/>
          <w:sz w:val="24"/>
          <w:szCs w:val="24"/>
        </w:rPr>
        <w:t xml:space="preserve">reconocidas por el Estado en el municipio de Riosucio </w:t>
      </w:r>
      <w:r w:rsidRPr="009D2289">
        <w:rPr>
          <w:rFonts w:ascii="Arial" w:hAnsi="Arial" w:cs="Arial"/>
          <w:sz w:val="24"/>
          <w:szCs w:val="24"/>
        </w:rPr>
        <w:t>son dieciocho (18)</w:t>
      </w:r>
      <w:r>
        <w:rPr>
          <w:rFonts w:ascii="Arial" w:hAnsi="Arial" w:cs="Arial"/>
          <w:sz w:val="24"/>
          <w:szCs w:val="24"/>
        </w:rPr>
        <w:t xml:space="preserve">, es decir las que corresponden al </w:t>
      </w:r>
      <w:r w:rsidRPr="009D2289">
        <w:rPr>
          <w:rFonts w:ascii="Arial" w:hAnsi="Arial" w:cs="Arial"/>
          <w:sz w:val="24"/>
          <w:szCs w:val="24"/>
        </w:rPr>
        <w:t>área urbana y seis (6) que están en proceso de conformación</w:t>
      </w:r>
      <w:r>
        <w:rPr>
          <w:rFonts w:ascii="Arial" w:hAnsi="Arial" w:cs="Arial"/>
          <w:sz w:val="24"/>
          <w:szCs w:val="24"/>
        </w:rPr>
        <w:t>. Se anexa plan listado de organizaciones sociales.</w:t>
      </w:r>
    </w:p>
    <w:p w:rsidR="00497DA0" w:rsidRDefault="00497DA0" w:rsidP="00497DA0">
      <w:pPr>
        <w:spacing w:line="240" w:lineRule="auto"/>
        <w:jc w:val="both"/>
        <w:rPr>
          <w:rFonts w:eastAsia="MS PMincho" w:cs="Calibri"/>
          <w:b/>
          <w:sz w:val="28"/>
          <w:szCs w:val="28"/>
          <w:u w:val="single"/>
        </w:rPr>
      </w:pPr>
      <w:r>
        <w:rPr>
          <w:rFonts w:eastAsia="MS PMincho" w:cs="Calibri"/>
          <w:b/>
          <w:sz w:val="28"/>
          <w:szCs w:val="28"/>
          <w:u w:val="single"/>
        </w:rPr>
        <w:lastRenderedPageBreak/>
        <w:t>Debilidades.</w:t>
      </w:r>
    </w:p>
    <w:p w:rsidR="00497DA0" w:rsidRDefault="00497DA0" w:rsidP="00497DA0">
      <w:pPr>
        <w:spacing w:line="240" w:lineRule="auto"/>
        <w:jc w:val="both"/>
        <w:rPr>
          <w:rFonts w:eastAsia="MS PMincho" w:cs="Calibri"/>
          <w:b/>
          <w:sz w:val="28"/>
          <w:szCs w:val="28"/>
          <w:u w:val="single"/>
        </w:rPr>
      </w:pPr>
    </w:p>
    <w:p w:rsidR="00497DA0" w:rsidRDefault="00497DA0" w:rsidP="00497DA0">
      <w:pPr>
        <w:spacing w:line="240" w:lineRule="auto"/>
        <w:jc w:val="both"/>
        <w:rPr>
          <w:rFonts w:eastAsia="MS PMincho" w:cs="Calibri"/>
          <w:sz w:val="28"/>
          <w:szCs w:val="28"/>
        </w:rPr>
      </w:pPr>
      <w:r w:rsidRPr="007F3B03">
        <w:rPr>
          <w:rFonts w:eastAsia="MS PMincho" w:cs="Calibri"/>
          <w:sz w:val="28"/>
          <w:szCs w:val="28"/>
        </w:rPr>
        <w:t>Se evidencia poca participación</w:t>
      </w:r>
      <w:r>
        <w:rPr>
          <w:rFonts w:eastAsia="MS PMincho" w:cs="Calibri"/>
          <w:sz w:val="28"/>
          <w:szCs w:val="28"/>
        </w:rPr>
        <w:t xml:space="preserve"> en escenarios de toma de decisiones de políticas públicas,</w:t>
      </w:r>
      <w:r w:rsidRPr="007F3B03">
        <w:rPr>
          <w:rFonts w:eastAsia="MS PMincho" w:cs="Calibri"/>
          <w:sz w:val="28"/>
          <w:szCs w:val="28"/>
        </w:rPr>
        <w:t xml:space="preserve"> por parte de poblaciones de protección especial, NNA, personas mayores, mujeres, dis</w:t>
      </w:r>
      <w:r>
        <w:rPr>
          <w:rFonts w:eastAsia="MS PMincho" w:cs="Calibri"/>
          <w:sz w:val="28"/>
          <w:szCs w:val="28"/>
        </w:rPr>
        <w:t>capacitados, LGTBI, requieren men</w:t>
      </w:r>
      <w:r w:rsidRPr="007F3B03">
        <w:rPr>
          <w:rFonts w:eastAsia="MS PMincho" w:cs="Calibri"/>
          <w:sz w:val="28"/>
          <w:szCs w:val="28"/>
        </w:rPr>
        <w:t>ores espacios por parte del estado para la construcción de sociedad libre y democrática.</w:t>
      </w:r>
    </w:p>
    <w:p w:rsidR="00497DA0" w:rsidRDefault="00497DA0" w:rsidP="00497DA0">
      <w:pPr>
        <w:spacing w:line="240" w:lineRule="auto"/>
        <w:jc w:val="both"/>
        <w:rPr>
          <w:rFonts w:eastAsia="MS PMincho" w:cs="Calibri"/>
          <w:sz w:val="28"/>
          <w:szCs w:val="28"/>
        </w:rPr>
      </w:pPr>
    </w:p>
    <w:p w:rsidR="00497DA0" w:rsidRPr="007F3B03" w:rsidRDefault="00497DA0" w:rsidP="00497DA0">
      <w:pPr>
        <w:spacing w:line="240" w:lineRule="auto"/>
        <w:jc w:val="both"/>
        <w:rPr>
          <w:rFonts w:eastAsia="MS PMincho" w:cs="Calibri"/>
          <w:sz w:val="28"/>
          <w:szCs w:val="28"/>
        </w:rPr>
      </w:pPr>
      <w:r>
        <w:rPr>
          <w:rFonts w:eastAsia="MS PMincho" w:cs="Calibri"/>
          <w:sz w:val="28"/>
          <w:szCs w:val="28"/>
        </w:rPr>
        <w:t xml:space="preserve">Una existe un espacio municipal que se encargue de abordar temas cruciales para le municipio como son los mecanismos de integración local que no permitan crecer  en un desarrollo humano equitativo y solidario, así también que sirva para alcanzar proyectos de municipio con visión de largo plazo. </w:t>
      </w:r>
    </w:p>
    <w:p w:rsidR="00497DA0" w:rsidRDefault="00497DA0" w:rsidP="00497DA0">
      <w:pPr>
        <w:spacing w:line="240" w:lineRule="auto"/>
        <w:jc w:val="both"/>
        <w:rPr>
          <w:rFonts w:eastAsia="MS PMincho" w:cs="Calibri"/>
          <w:b/>
          <w:sz w:val="28"/>
          <w:szCs w:val="28"/>
          <w:u w:val="single"/>
        </w:rPr>
      </w:pPr>
    </w:p>
    <w:p w:rsidR="00497DA0" w:rsidRDefault="00497DA0" w:rsidP="00497DA0">
      <w:pPr>
        <w:spacing w:line="240" w:lineRule="auto"/>
        <w:jc w:val="both"/>
        <w:rPr>
          <w:rFonts w:eastAsia="MS PMincho" w:cs="Calibri"/>
          <w:b/>
          <w:sz w:val="28"/>
          <w:szCs w:val="28"/>
          <w:u w:val="single"/>
        </w:rPr>
      </w:pPr>
      <w:r>
        <w:rPr>
          <w:rFonts w:eastAsia="MS PMincho" w:cs="Calibri"/>
          <w:b/>
          <w:sz w:val="28"/>
          <w:szCs w:val="28"/>
          <w:u w:val="single"/>
        </w:rPr>
        <w:t>Potencialidades.</w:t>
      </w:r>
    </w:p>
    <w:p w:rsidR="00497DA0" w:rsidRPr="00ED2F0D" w:rsidRDefault="00497DA0" w:rsidP="00497DA0">
      <w:pPr>
        <w:spacing w:line="240" w:lineRule="auto"/>
        <w:jc w:val="both"/>
        <w:rPr>
          <w:rFonts w:eastAsia="MS PMincho" w:cs="Calibri"/>
          <w:sz w:val="28"/>
          <w:szCs w:val="28"/>
        </w:rPr>
      </w:pPr>
    </w:p>
    <w:p w:rsidR="00497DA0" w:rsidRDefault="00497DA0" w:rsidP="00497DA0">
      <w:pPr>
        <w:spacing w:line="240" w:lineRule="auto"/>
        <w:jc w:val="both"/>
        <w:rPr>
          <w:rFonts w:eastAsia="MS PMincho" w:cs="Calibri"/>
          <w:sz w:val="28"/>
          <w:szCs w:val="28"/>
        </w:rPr>
      </w:pPr>
      <w:r w:rsidRPr="00ED2F0D">
        <w:rPr>
          <w:rFonts w:eastAsia="MS PMincho" w:cs="Calibri"/>
          <w:sz w:val="28"/>
          <w:szCs w:val="28"/>
        </w:rPr>
        <w:t>El generar espacios de interlocución entre población indígena y mestiza deben ser prioridades en el actual periodo administrativo, pues se tiene establecido que el mu</w:t>
      </w:r>
      <w:r>
        <w:rPr>
          <w:rFonts w:eastAsia="MS PMincho" w:cs="Calibri"/>
          <w:sz w:val="28"/>
          <w:szCs w:val="28"/>
        </w:rPr>
        <w:t>ni</w:t>
      </w:r>
      <w:r w:rsidRPr="00ED2F0D">
        <w:rPr>
          <w:rFonts w:eastAsia="MS PMincho" w:cs="Calibri"/>
          <w:sz w:val="28"/>
          <w:szCs w:val="28"/>
        </w:rPr>
        <w:t>cipio podría sacar a relucir todas sus potencialidades de climas, ubicación geográfica, pluriculturalidad, cultura propia. Pero se requiere del consenso en puntos fundamentales de la agenda municipal como expansión urbana y territorio, actividad minera, infraestructura de servicios,</w:t>
      </w:r>
      <w:r>
        <w:rPr>
          <w:rFonts w:eastAsia="MS PMincho" w:cs="Calibri"/>
          <w:sz w:val="28"/>
          <w:szCs w:val="28"/>
        </w:rPr>
        <w:t xml:space="preserve"> </w:t>
      </w:r>
      <w:r w:rsidRPr="00ED2F0D">
        <w:rPr>
          <w:rFonts w:eastAsia="MS PMincho" w:cs="Calibri"/>
          <w:sz w:val="28"/>
          <w:szCs w:val="28"/>
        </w:rPr>
        <w:t>uso de transgénicos.</w:t>
      </w:r>
    </w:p>
    <w:p w:rsidR="00497DA0" w:rsidRDefault="00497DA0" w:rsidP="00497DA0">
      <w:pPr>
        <w:spacing w:line="240" w:lineRule="auto"/>
        <w:jc w:val="both"/>
        <w:rPr>
          <w:rFonts w:eastAsia="MS PMincho" w:cs="Calibri"/>
          <w:sz w:val="28"/>
          <w:szCs w:val="28"/>
        </w:rPr>
      </w:pPr>
    </w:p>
    <w:p w:rsidR="00497DA0" w:rsidRPr="00ED2F0D" w:rsidRDefault="00497DA0" w:rsidP="00497DA0">
      <w:pPr>
        <w:spacing w:line="240" w:lineRule="auto"/>
        <w:jc w:val="both"/>
        <w:rPr>
          <w:rFonts w:eastAsia="MS PMincho" w:cs="Calibri"/>
          <w:sz w:val="28"/>
          <w:szCs w:val="28"/>
        </w:rPr>
      </w:pPr>
      <w:r>
        <w:rPr>
          <w:rFonts w:eastAsia="MS PMincho" w:cs="Calibri"/>
          <w:sz w:val="28"/>
          <w:szCs w:val="28"/>
        </w:rPr>
        <w:t>El marco de ejecutar un Plan Municipal de Desarrollo con enfoque de derechos, activa y legítima la participación ciudadana en toma y delegación del poder, pues cuando el mandatario actúa reconociendo el sentir popular, legítima su autoridad constitucional en el marco de un estado social de derecho. Además la participación de poblaciones de protección especial adquiere un mandato de obligatorio cumplimiento.</w:t>
      </w:r>
    </w:p>
    <w:p w:rsidR="00497DA0" w:rsidRDefault="00497DA0" w:rsidP="00497DA0">
      <w:pPr>
        <w:spacing w:line="240" w:lineRule="auto"/>
        <w:jc w:val="both"/>
        <w:rPr>
          <w:rFonts w:eastAsia="MS PMincho" w:cs="Calibri"/>
          <w:b/>
          <w:sz w:val="28"/>
          <w:szCs w:val="28"/>
          <w:u w:val="single"/>
        </w:rPr>
      </w:pPr>
    </w:p>
    <w:p w:rsidR="00497DA0" w:rsidRDefault="00497DA0" w:rsidP="00497DA0">
      <w:pPr>
        <w:spacing w:line="240" w:lineRule="auto"/>
        <w:jc w:val="both"/>
        <w:rPr>
          <w:rFonts w:eastAsia="MS PMincho" w:cs="Calibri"/>
          <w:b/>
          <w:sz w:val="28"/>
          <w:szCs w:val="28"/>
          <w:u w:val="single"/>
        </w:rPr>
      </w:pPr>
    </w:p>
    <w:p w:rsidR="00497DA0" w:rsidRDefault="00497DA0" w:rsidP="00497DA0">
      <w:pPr>
        <w:pStyle w:val="Default"/>
      </w:pPr>
    </w:p>
    <w:p w:rsidR="00497DA0" w:rsidRPr="006772A7" w:rsidRDefault="00497DA0" w:rsidP="00497DA0">
      <w:pPr>
        <w:spacing w:line="240" w:lineRule="auto"/>
        <w:jc w:val="both"/>
        <w:rPr>
          <w:rFonts w:eastAsia="MS PMincho" w:cs="Calibri"/>
          <w:b/>
          <w:sz w:val="28"/>
          <w:szCs w:val="28"/>
          <w:u w:val="single"/>
        </w:rPr>
      </w:pPr>
    </w:p>
    <w:p w:rsidR="00497DA0" w:rsidRPr="006772A7" w:rsidRDefault="00497DA0" w:rsidP="00497DA0">
      <w:pPr>
        <w:numPr>
          <w:ilvl w:val="0"/>
          <w:numId w:val="21"/>
        </w:numPr>
        <w:jc w:val="both"/>
        <w:rPr>
          <w:rFonts w:cs="Calibri"/>
          <w:b/>
          <w:sz w:val="28"/>
          <w:szCs w:val="28"/>
        </w:rPr>
      </w:pPr>
      <w:r w:rsidRPr="006772A7">
        <w:rPr>
          <w:rFonts w:cs="Calibri"/>
          <w:b/>
          <w:sz w:val="28"/>
          <w:szCs w:val="28"/>
        </w:rPr>
        <w:t>Enfoque Diferencial:</w:t>
      </w:r>
    </w:p>
    <w:p w:rsidR="00497DA0" w:rsidRPr="006772A7" w:rsidRDefault="00497DA0" w:rsidP="00497DA0">
      <w:pPr>
        <w:jc w:val="both"/>
        <w:rPr>
          <w:rFonts w:cs="Calibri"/>
          <w:sz w:val="28"/>
          <w:szCs w:val="28"/>
          <w:u w:val="single"/>
        </w:rPr>
      </w:pPr>
      <w:r w:rsidRPr="006772A7">
        <w:rPr>
          <w:rFonts w:cs="Calibri"/>
          <w:sz w:val="28"/>
          <w:szCs w:val="28"/>
          <w:u w:val="single"/>
        </w:rPr>
        <w:t xml:space="preserve">7.1 Juventud </w:t>
      </w:r>
    </w:p>
    <w:p w:rsidR="00497DA0" w:rsidRPr="006772A7" w:rsidRDefault="00497DA0" w:rsidP="00497DA0">
      <w:pPr>
        <w:jc w:val="both"/>
        <w:rPr>
          <w:rFonts w:cs="Calibri"/>
          <w:sz w:val="28"/>
          <w:szCs w:val="28"/>
        </w:rPr>
      </w:pPr>
      <w:r w:rsidRPr="006772A7">
        <w:rPr>
          <w:rFonts w:cs="Calibri"/>
          <w:sz w:val="28"/>
          <w:szCs w:val="28"/>
        </w:rPr>
        <w:t xml:space="preserve">En el municipio no existe política pública de juventud, el Consejo Municipal de la Juventud (CMJ) no fue operativo en los últimos años y es evidente la ausencia de recursos económicos en el presupuesto municipal para atender los programas de juventud. Es imperativa la reactivación de dicho Consejo para el empoderamiento de los jóvenes del municipio frente a la administración municipal. </w:t>
      </w:r>
    </w:p>
    <w:p w:rsidR="00497DA0" w:rsidRPr="006772A7" w:rsidRDefault="00497DA0" w:rsidP="00497DA0">
      <w:pPr>
        <w:jc w:val="both"/>
        <w:rPr>
          <w:rFonts w:cs="Calibri"/>
          <w:sz w:val="28"/>
          <w:szCs w:val="28"/>
        </w:rPr>
      </w:pPr>
      <w:r w:rsidRPr="006772A7">
        <w:rPr>
          <w:rFonts w:cs="Calibri"/>
          <w:sz w:val="28"/>
          <w:szCs w:val="28"/>
        </w:rPr>
        <w:t>La juventud en Riosucio en buen porcentaje advierte sentido de pertenencia por la identidad riosuceña, defiende y se apropia de sus tradiciones y participa activamente en la vida social, comunitaria y cultural del municipio.</w:t>
      </w:r>
    </w:p>
    <w:p w:rsidR="00497DA0" w:rsidRPr="006772A7" w:rsidRDefault="00497DA0" w:rsidP="00497DA0">
      <w:pPr>
        <w:jc w:val="both"/>
        <w:rPr>
          <w:rFonts w:cs="Calibri"/>
          <w:sz w:val="28"/>
          <w:szCs w:val="28"/>
        </w:rPr>
      </w:pPr>
      <w:r w:rsidRPr="006772A7">
        <w:rPr>
          <w:rFonts w:cs="Calibri"/>
          <w:sz w:val="28"/>
          <w:szCs w:val="28"/>
        </w:rPr>
        <w:t xml:space="preserve">Los jóvenes reclaman de manera decidida mayor participación en la vida  política del municipio, para ello la reactivación del CMJ será un buen punto de partida para concertar con los jóvenes y hacerlos protagonistas de la vida pública, entregándoles los insumos necesarios para el ejercicio de una ciudadanía temprana que apunte a un futuro deseado y construido con la energía propia de la juventud. </w:t>
      </w:r>
    </w:p>
    <w:p w:rsidR="00497DA0" w:rsidRPr="006772A7" w:rsidRDefault="00497DA0" w:rsidP="00497DA0">
      <w:pPr>
        <w:jc w:val="both"/>
        <w:rPr>
          <w:rFonts w:cs="Calibri"/>
          <w:sz w:val="28"/>
          <w:szCs w:val="28"/>
        </w:rPr>
      </w:pPr>
      <w:r w:rsidRPr="006772A7">
        <w:rPr>
          <w:rFonts w:cs="Calibri"/>
          <w:sz w:val="28"/>
          <w:szCs w:val="28"/>
        </w:rPr>
        <w:t>Los abusos sexuales, los embarazos a temprana edad, el manejo irresponsable de la sexualidad, el consumo de drogas y alcohol y violencia intrafamiliar son las principales dificultades que enfrentan los jóvenes riosuceños, estas problemáticas requieren una intervención oportuna y efectiva por parte de la administración municipal.</w:t>
      </w:r>
    </w:p>
    <w:p w:rsidR="00497DA0" w:rsidRPr="006772A7" w:rsidRDefault="00497DA0" w:rsidP="00497DA0">
      <w:pPr>
        <w:jc w:val="both"/>
        <w:rPr>
          <w:rFonts w:cs="Calibri"/>
          <w:sz w:val="28"/>
          <w:szCs w:val="28"/>
        </w:rPr>
      </w:pPr>
      <w:r w:rsidRPr="006772A7">
        <w:rPr>
          <w:rFonts w:cs="Calibri"/>
          <w:sz w:val="28"/>
          <w:szCs w:val="28"/>
        </w:rPr>
        <w:t xml:space="preserve">El tema de la juventud es un tema que debe ser abordado desde las diferentes Secretarias de manera trasversal, es necesario implementar políticas públicas participativas y concertadas para este grupo poblacional que apuesten a garantizar sus derechos fundamentales. </w:t>
      </w:r>
    </w:p>
    <w:p w:rsidR="00497DA0" w:rsidRPr="006772A7" w:rsidRDefault="00497DA0" w:rsidP="00497DA0">
      <w:pPr>
        <w:jc w:val="both"/>
        <w:rPr>
          <w:rFonts w:cs="Calibri"/>
          <w:sz w:val="28"/>
          <w:szCs w:val="28"/>
        </w:rPr>
      </w:pPr>
      <w:r w:rsidRPr="006772A7">
        <w:rPr>
          <w:rFonts w:cs="Calibri"/>
          <w:sz w:val="28"/>
          <w:szCs w:val="28"/>
        </w:rPr>
        <w:lastRenderedPageBreak/>
        <w:t>Para la atención a la juventud es recomendable fortalecer las alianzas con entidades del orden nacional que puedan contribuir en este proceso: ICBF a través de sus clubes juveniles y el SENA con sus programas de capacitación, generación de empleo y ocupación del tiempo libre, pueden ser llegar aliados estratégicos en</w:t>
      </w:r>
      <w:r>
        <w:rPr>
          <w:rFonts w:cs="Calibri"/>
          <w:sz w:val="28"/>
          <w:szCs w:val="28"/>
        </w:rPr>
        <w:t xml:space="preserve"> la búsqueda del goce efectivo </w:t>
      </w:r>
      <w:r w:rsidRPr="006772A7">
        <w:rPr>
          <w:rFonts w:cs="Calibri"/>
          <w:sz w:val="28"/>
          <w:szCs w:val="28"/>
        </w:rPr>
        <w:t xml:space="preserve"> de derechos de nuestros jóvenes.</w:t>
      </w:r>
    </w:p>
    <w:p w:rsidR="00497DA0" w:rsidRPr="006772A7" w:rsidRDefault="00497DA0" w:rsidP="00497DA0">
      <w:pPr>
        <w:jc w:val="both"/>
        <w:rPr>
          <w:rFonts w:cs="Calibri"/>
          <w:sz w:val="28"/>
          <w:szCs w:val="28"/>
          <w:u w:val="single"/>
        </w:rPr>
      </w:pPr>
      <w:r w:rsidRPr="006772A7">
        <w:rPr>
          <w:rFonts w:cs="Calibri"/>
          <w:sz w:val="28"/>
          <w:szCs w:val="28"/>
          <w:u w:val="single"/>
        </w:rPr>
        <w:t>7.2 Adulto Mayor:</w:t>
      </w:r>
    </w:p>
    <w:p w:rsidR="00497DA0" w:rsidRDefault="00497DA0" w:rsidP="00497DA0">
      <w:pPr>
        <w:jc w:val="both"/>
        <w:rPr>
          <w:rFonts w:cs="Calibri"/>
          <w:sz w:val="28"/>
          <w:szCs w:val="28"/>
        </w:rPr>
      </w:pPr>
      <w:r w:rsidRPr="006772A7">
        <w:rPr>
          <w:rFonts w:cs="Calibri"/>
          <w:sz w:val="28"/>
          <w:szCs w:val="28"/>
        </w:rPr>
        <w:t>La tercera edad es un grupo poblacional que ha sido desatendido integralmente en sus necesidades básicas de alimentación, salud, capacitación, recreación</w:t>
      </w:r>
      <w:r>
        <w:rPr>
          <w:rFonts w:cs="Calibri"/>
          <w:sz w:val="28"/>
          <w:szCs w:val="28"/>
        </w:rPr>
        <w:t xml:space="preserve"> y afecto</w:t>
      </w:r>
      <w:r w:rsidRPr="006772A7">
        <w:rPr>
          <w:rFonts w:cs="Calibri"/>
          <w:sz w:val="28"/>
          <w:szCs w:val="28"/>
        </w:rPr>
        <w:t>. Por tanto es necesario generar una política de atención integral a este grupo y desarrollar además campañas de sensibilización frente al valor trascendental que tienen los adultos mayores en el desarrollo de nuestras sociedades y el lugar que ocupan como sujetos de derechos en el municipio.</w:t>
      </w:r>
    </w:p>
    <w:p w:rsidR="00497DA0" w:rsidRDefault="00497DA0" w:rsidP="00497DA0">
      <w:pPr>
        <w:jc w:val="both"/>
        <w:rPr>
          <w:rFonts w:cs="Calibri"/>
          <w:sz w:val="28"/>
          <w:szCs w:val="28"/>
        </w:rPr>
      </w:pPr>
      <w:r>
        <w:rPr>
          <w:rFonts w:cs="Calibri"/>
          <w:sz w:val="28"/>
          <w:szCs w:val="28"/>
        </w:rPr>
        <w:t>Hasta el 2.011 operaron intermitentemente dos clubes de adultos mayores, años maravillosos y salud fe y alegría, los cuales recibieron  apoyo del municipio, representado en el acompañamiento de un monitor para actividad física.</w:t>
      </w:r>
    </w:p>
    <w:p w:rsidR="00497DA0" w:rsidRDefault="00497DA0" w:rsidP="00497DA0">
      <w:pPr>
        <w:jc w:val="both"/>
        <w:rPr>
          <w:rFonts w:cs="Calibri"/>
          <w:sz w:val="28"/>
          <w:szCs w:val="28"/>
        </w:rPr>
      </w:pPr>
      <w:r>
        <w:rPr>
          <w:rFonts w:cs="Calibri"/>
          <w:sz w:val="28"/>
          <w:szCs w:val="28"/>
        </w:rPr>
        <w:t>Igualmente existen grupos de adultos mayores en las comunidades Indígenas, cuya información no se tiene en los archivos de la alcaldía. Sus miembros refirieron en los encuentros ciudadanos de construcción del PMD, no haber recibido apoyo por parte del ente municipal en años anteriores.</w:t>
      </w:r>
    </w:p>
    <w:p w:rsidR="00497DA0" w:rsidRDefault="00497DA0" w:rsidP="00497DA0">
      <w:pPr>
        <w:jc w:val="both"/>
        <w:rPr>
          <w:rFonts w:cs="Calibri"/>
          <w:sz w:val="28"/>
          <w:szCs w:val="28"/>
        </w:rPr>
      </w:pPr>
      <w:r>
        <w:rPr>
          <w:rFonts w:cs="Calibri"/>
          <w:sz w:val="28"/>
          <w:szCs w:val="28"/>
        </w:rPr>
        <w:t xml:space="preserve">El municipio apoya financieramente al hogar del anciano Luisas de </w:t>
      </w:r>
      <w:proofErr w:type="spellStart"/>
      <w:r>
        <w:rPr>
          <w:rFonts w:cs="Calibri"/>
          <w:sz w:val="28"/>
          <w:szCs w:val="28"/>
        </w:rPr>
        <w:t>Marillac</w:t>
      </w:r>
      <w:proofErr w:type="spellEnd"/>
      <w:r>
        <w:rPr>
          <w:rFonts w:cs="Calibri"/>
          <w:sz w:val="28"/>
          <w:szCs w:val="28"/>
        </w:rPr>
        <w:t>, mediante la suscripción de un convenio por medio del cual se le giraron recursos provenientes de la estampilla pro anciano.</w:t>
      </w:r>
    </w:p>
    <w:p w:rsidR="00497DA0" w:rsidRPr="00D90833" w:rsidRDefault="00497DA0" w:rsidP="00497DA0">
      <w:pPr>
        <w:spacing w:after="0" w:line="240" w:lineRule="auto"/>
        <w:jc w:val="center"/>
        <w:rPr>
          <w:b/>
          <w:color w:val="000000"/>
          <w:sz w:val="28"/>
          <w:szCs w:val="28"/>
          <w:lang w:eastAsia="es-ES"/>
        </w:rPr>
      </w:pPr>
      <w:r w:rsidRPr="00D90833">
        <w:rPr>
          <w:b/>
          <w:color w:val="000000"/>
          <w:sz w:val="28"/>
          <w:szCs w:val="28"/>
          <w:lang w:eastAsia="es-ES"/>
        </w:rPr>
        <w:t>Número de adultos mayores beneficiados con los programas del municipio.</w:t>
      </w:r>
    </w:p>
    <w:p w:rsidR="00497DA0" w:rsidRDefault="00497DA0" w:rsidP="00497DA0"/>
    <w:p w:rsidR="00497DA0" w:rsidRDefault="00497DA0" w:rsidP="00497DA0">
      <w:r>
        <w:rPr>
          <w:noProof/>
          <w:lang w:eastAsia="es-CO"/>
        </w:rPr>
        <w:lastRenderedPageBreak/>
        <w:drawing>
          <wp:inline distT="0" distB="0" distL="0" distR="0">
            <wp:extent cx="3342640" cy="2838450"/>
            <wp:effectExtent l="0" t="0" r="0" b="0"/>
            <wp:docPr id="11" name="Gráfico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97DA0" w:rsidRDefault="00497DA0" w:rsidP="00497DA0">
      <w:pPr>
        <w:spacing w:after="0" w:line="240" w:lineRule="auto"/>
        <w:rPr>
          <w:color w:val="000000"/>
          <w:lang w:eastAsia="es-ES"/>
        </w:rPr>
      </w:pPr>
      <w:r>
        <w:rPr>
          <w:noProof/>
          <w:lang w:eastAsia="es-CO"/>
        </w:rPr>
        <w:drawing>
          <wp:inline distT="0" distB="0" distL="0" distR="0">
            <wp:extent cx="3075940" cy="2464435"/>
            <wp:effectExtent l="0" t="0" r="0" b="0"/>
            <wp:docPr id="10" name="Gráfico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97DA0" w:rsidRDefault="00497DA0" w:rsidP="00497DA0">
      <w:pPr>
        <w:spacing w:after="0" w:line="240" w:lineRule="auto"/>
        <w:rPr>
          <w:color w:val="000000"/>
          <w:lang w:eastAsia="es-ES"/>
        </w:rPr>
      </w:pPr>
    </w:p>
    <w:p w:rsidR="00497DA0" w:rsidRDefault="00497DA0" w:rsidP="00497DA0">
      <w:pPr>
        <w:spacing w:after="0" w:line="240" w:lineRule="auto"/>
        <w:rPr>
          <w:color w:val="000000"/>
          <w:lang w:eastAsia="es-ES"/>
        </w:rPr>
      </w:pPr>
    </w:p>
    <w:p w:rsidR="00497DA0" w:rsidRDefault="00497DA0" w:rsidP="00497DA0"/>
    <w:p w:rsidR="00497DA0" w:rsidRDefault="00497DA0" w:rsidP="00497DA0">
      <w:pPr>
        <w:spacing w:after="0" w:line="240" w:lineRule="auto"/>
        <w:rPr>
          <w:color w:val="000000"/>
          <w:lang w:eastAsia="es-ES"/>
        </w:rPr>
      </w:pPr>
    </w:p>
    <w:p w:rsidR="00497DA0" w:rsidRDefault="00497DA0" w:rsidP="00497DA0">
      <w:r>
        <w:rPr>
          <w:noProof/>
          <w:lang w:eastAsia="es-CO"/>
        </w:rPr>
        <w:lastRenderedPageBreak/>
        <w:drawing>
          <wp:inline distT="0" distB="0" distL="0" distR="0">
            <wp:extent cx="3194685" cy="2018665"/>
            <wp:effectExtent l="0" t="0" r="0" b="0"/>
            <wp:docPr id="9" name="Gráfico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97DA0" w:rsidRDefault="00497DA0" w:rsidP="00497DA0"/>
    <w:p w:rsidR="00497DA0" w:rsidRPr="00F128E9" w:rsidRDefault="00497DA0" w:rsidP="00497DA0">
      <w:r>
        <w:rPr>
          <w:noProof/>
          <w:lang w:eastAsia="es-CO"/>
        </w:rPr>
        <w:drawing>
          <wp:inline distT="0" distB="0" distL="0" distR="0">
            <wp:extent cx="3782060" cy="2345690"/>
            <wp:effectExtent l="0" t="0" r="0" b="0"/>
            <wp:docPr id="8" name="Gráfico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97DA0" w:rsidRDefault="00497DA0" w:rsidP="00497DA0">
      <w:pPr>
        <w:jc w:val="both"/>
        <w:rPr>
          <w:rFonts w:cs="Calibri"/>
          <w:sz w:val="28"/>
          <w:szCs w:val="28"/>
          <w:u w:val="single"/>
        </w:rPr>
      </w:pPr>
    </w:p>
    <w:p w:rsidR="00497DA0" w:rsidRDefault="00497DA0" w:rsidP="00497DA0"/>
    <w:p w:rsidR="00497DA0" w:rsidRDefault="00497DA0" w:rsidP="00497DA0"/>
    <w:p w:rsidR="00497DA0" w:rsidRDefault="00497DA0" w:rsidP="00497DA0"/>
    <w:p w:rsidR="00497DA0" w:rsidRPr="006772A7" w:rsidRDefault="00497DA0" w:rsidP="00497DA0">
      <w:pPr>
        <w:jc w:val="both"/>
        <w:rPr>
          <w:rFonts w:cs="Calibri"/>
          <w:sz w:val="28"/>
          <w:szCs w:val="28"/>
          <w:u w:val="single"/>
        </w:rPr>
      </w:pPr>
      <w:r w:rsidRPr="006772A7">
        <w:rPr>
          <w:rFonts w:cs="Calibri"/>
          <w:sz w:val="28"/>
          <w:szCs w:val="28"/>
          <w:u w:val="single"/>
        </w:rPr>
        <w:t>7.3 Mujeres:</w:t>
      </w:r>
    </w:p>
    <w:p w:rsidR="00497DA0" w:rsidRDefault="00497DA0" w:rsidP="00497DA0">
      <w:pPr>
        <w:jc w:val="both"/>
        <w:rPr>
          <w:rFonts w:cs="Calibri"/>
          <w:sz w:val="28"/>
          <w:szCs w:val="28"/>
        </w:rPr>
      </w:pPr>
      <w:r w:rsidRPr="006772A7">
        <w:rPr>
          <w:rFonts w:cs="Calibri"/>
          <w:sz w:val="28"/>
          <w:szCs w:val="28"/>
        </w:rPr>
        <w:t>Las mujeres de nuestro municipio siguen siendo discriminadas laboralmente tanto en el acceso a las oportunidades de trabajo, como en el equilibrio de los salarios; la violencia intrafamiliar las afecta de manera especial y hasta ahora el municipio no ha generado una política clara y decidida para la atención y la promoción del desarrollo de este grupo poblacional, de manera diferencial de acuerdo con sus propias necesidades y requerimientos.</w:t>
      </w:r>
    </w:p>
    <w:p w:rsidR="00497DA0" w:rsidRDefault="00497DA0" w:rsidP="00497DA0">
      <w:pPr>
        <w:jc w:val="both"/>
        <w:rPr>
          <w:rFonts w:cs="Calibri"/>
          <w:sz w:val="28"/>
          <w:szCs w:val="28"/>
        </w:rPr>
      </w:pPr>
      <w:r>
        <w:rPr>
          <w:rFonts w:cs="Calibri"/>
          <w:sz w:val="28"/>
          <w:szCs w:val="28"/>
        </w:rPr>
        <w:lastRenderedPageBreak/>
        <w:t>Se destaca la vulneración de derecho a las mujeres gestantes a temprana edad, quienes padecen en ocasiones de la intolerancia de su núcleo familia  y la irresponsabilidad de los padres de sus hijos.</w:t>
      </w:r>
    </w:p>
    <w:p w:rsidR="00497DA0" w:rsidRDefault="00497DA0" w:rsidP="00497DA0">
      <w:pPr>
        <w:jc w:val="both"/>
        <w:rPr>
          <w:rFonts w:cs="Calibri"/>
          <w:sz w:val="28"/>
          <w:szCs w:val="28"/>
        </w:rPr>
      </w:pPr>
      <w:r>
        <w:rPr>
          <w:rFonts w:cs="Calibri"/>
          <w:sz w:val="28"/>
          <w:szCs w:val="28"/>
        </w:rPr>
        <w:t>El machismo, el maltrato femenino fueron algunos de los problemas expresados por las mujeres en los encuentros comunitarios de construcción del PMD.</w:t>
      </w:r>
    </w:p>
    <w:p w:rsidR="00497DA0" w:rsidRDefault="00497DA0" w:rsidP="00497DA0">
      <w:pPr>
        <w:jc w:val="both"/>
        <w:rPr>
          <w:rFonts w:cs="Calibri"/>
          <w:sz w:val="28"/>
          <w:szCs w:val="28"/>
        </w:rPr>
      </w:pPr>
      <w:r>
        <w:rPr>
          <w:rFonts w:cs="Calibri"/>
          <w:sz w:val="28"/>
          <w:szCs w:val="28"/>
        </w:rPr>
        <w:t>En  comunidades rurales, por condiciones de índole cultural se evidencian las vulneraciones de derechos que le asisten a las mujeres de decidir su plan de vida en cuanto al número de hijos que desean. En muchas ocasiones se les impide la utilización de métodos anticonceptivos por consideraciones machistas de sus esposos,  agravado por la falta de formación en planificación familiar.</w:t>
      </w:r>
    </w:p>
    <w:p w:rsidR="00497DA0" w:rsidRDefault="00497DA0" w:rsidP="00497DA0">
      <w:pPr>
        <w:jc w:val="both"/>
        <w:rPr>
          <w:rFonts w:cs="Calibri"/>
          <w:sz w:val="28"/>
          <w:szCs w:val="28"/>
        </w:rPr>
      </w:pPr>
      <w:r>
        <w:rPr>
          <w:rFonts w:cs="Calibri"/>
          <w:sz w:val="28"/>
          <w:szCs w:val="28"/>
        </w:rPr>
        <w:t>Es fundamental la construcción de una política pública de equidad de género en el municipio.</w:t>
      </w:r>
    </w:p>
    <w:p w:rsidR="00497DA0" w:rsidRPr="006772A7" w:rsidRDefault="00497DA0" w:rsidP="00497DA0">
      <w:pPr>
        <w:jc w:val="both"/>
        <w:rPr>
          <w:rFonts w:cs="Calibri"/>
          <w:sz w:val="28"/>
          <w:szCs w:val="28"/>
        </w:rPr>
      </w:pPr>
      <w:r>
        <w:rPr>
          <w:rFonts w:cs="Calibri"/>
          <w:sz w:val="28"/>
          <w:szCs w:val="28"/>
        </w:rPr>
        <w:t xml:space="preserve"> </w:t>
      </w:r>
    </w:p>
    <w:p w:rsidR="00497DA0" w:rsidRDefault="00497DA0" w:rsidP="00497DA0"/>
    <w:p w:rsidR="00497DA0" w:rsidRPr="00F128E9" w:rsidRDefault="00497DA0" w:rsidP="00497DA0"/>
    <w:p w:rsidR="00497DA0" w:rsidRDefault="00497DA0" w:rsidP="00497DA0">
      <w:pPr>
        <w:jc w:val="both"/>
        <w:rPr>
          <w:rFonts w:cs="Calibri"/>
          <w:sz w:val="28"/>
          <w:szCs w:val="28"/>
          <w:u w:val="single"/>
        </w:rPr>
      </w:pPr>
    </w:p>
    <w:p w:rsidR="00497DA0" w:rsidRDefault="00497DA0" w:rsidP="00497DA0">
      <w:pPr>
        <w:jc w:val="both"/>
        <w:rPr>
          <w:rFonts w:cs="Calibri"/>
          <w:sz w:val="28"/>
          <w:szCs w:val="28"/>
          <w:u w:val="single"/>
        </w:rPr>
      </w:pPr>
    </w:p>
    <w:p w:rsidR="00497DA0" w:rsidRPr="006772A7" w:rsidRDefault="00497DA0" w:rsidP="00497DA0">
      <w:pPr>
        <w:jc w:val="both"/>
        <w:rPr>
          <w:rFonts w:cs="Calibri"/>
          <w:sz w:val="28"/>
          <w:szCs w:val="28"/>
          <w:u w:val="single"/>
        </w:rPr>
      </w:pPr>
      <w:r w:rsidRPr="006772A7">
        <w:rPr>
          <w:rFonts w:cs="Calibri"/>
          <w:sz w:val="28"/>
          <w:szCs w:val="28"/>
          <w:u w:val="single"/>
        </w:rPr>
        <w:t>7.4 Indígenas:</w:t>
      </w:r>
    </w:p>
    <w:p w:rsidR="00497DA0" w:rsidRPr="006772A7" w:rsidRDefault="00497DA0" w:rsidP="00497DA0">
      <w:pPr>
        <w:jc w:val="both"/>
        <w:rPr>
          <w:rFonts w:cs="Calibri"/>
          <w:sz w:val="28"/>
          <w:szCs w:val="28"/>
        </w:rPr>
      </w:pPr>
      <w:r w:rsidRPr="006772A7">
        <w:rPr>
          <w:rFonts w:cs="Calibri"/>
          <w:sz w:val="28"/>
          <w:szCs w:val="28"/>
        </w:rPr>
        <w:t>Los procesos organizativos que se han generado en el marco del Plan Salvaguarda ordenado por la CIDH, son un importante esfuerzo que debe ser apoyado en pro del fortalecimiento de las comunidades indígenas de nuestro municipio, que como ya se ha dicho representan un alto porcentaje de nuestra población. El presente Plan de Desarrollo deberá formular estrategias específicas para el desarrollo integral de las comunidades indígenas, tomando como punto de partida, los procesos organizativos y comunitarios que se han venido adelantando.</w:t>
      </w:r>
    </w:p>
    <w:p w:rsidR="00497DA0" w:rsidRPr="006772A7" w:rsidRDefault="00497DA0" w:rsidP="00497DA0">
      <w:pPr>
        <w:jc w:val="both"/>
        <w:rPr>
          <w:rFonts w:cs="Calibri"/>
          <w:sz w:val="28"/>
          <w:szCs w:val="28"/>
          <w:u w:val="single"/>
        </w:rPr>
      </w:pPr>
      <w:r w:rsidRPr="006772A7">
        <w:rPr>
          <w:rFonts w:cs="Calibri"/>
          <w:sz w:val="28"/>
          <w:szCs w:val="28"/>
          <w:u w:val="single"/>
        </w:rPr>
        <w:lastRenderedPageBreak/>
        <w:t>7.5 Población en situación de Desplazamiento:</w:t>
      </w:r>
    </w:p>
    <w:p w:rsidR="00497DA0" w:rsidRPr="006772A7" w:rsidRDefault="00497DA0" w:rsidP="00497DA0">
      <w:pPr>
        <w:jc w:val="both"/>
        <w:rPr>
          <w:rFonts w:cs="Calibri"/>
          <w:sz w:val="28"/>
          <w:szCs w:val="28"/>
        </w:rPr>
      </w:pPr>
      <w:r w:rsidRPr="006772A7">
        <w:rPr>
          <w:rFonts w:cs="Calibri"/>
          <w:sz w:val="28"/>
          <w:szCs w:val="28"/>
        </w:rPr>
        <w:t xml:space="preserve"> Las 1325 personas en situación de desplazamiento ubicadas en el municipio, deben ser atendidas como sujetos de derechos y se debe garantizar su atención de manera integral de acuerdo con los IGED</w:t>
      </w:r>
      <w:r w:rsidRPr="006772A7">
        <w:rPr>
          <w:rStyle w:val="Refdenotaalpie"/>
          <w:rFonts w:cs="Calibri"/>
        </w:rPr>
        <w:footnoteReference w:id="9"/>
      </w:r>
      <w:r w:rsidRPr="006772A7">
        <w:rPr>
          <w:rFonts w:cs="Calibri"/>
          <w:sz w:val="28"/>
          <w:szCs w:val="28"/>
        </w:rPr>
        <w:t>, por tanto la administración municipal y el presente Plan de Desarrollo deben contemplar la articulación con el Plan Integral Único de atención a desplazados</w:t>
      </w:r>
      <w:r w:rsidRPr="006772A7">
        <w:rPr>
          <w:rStyle w:val="Refdenotaalpie"/>
          <w:rFonts w:cs="Calibri"/>
        </w:rPr>
        <w:footnoteReference w:id="10"/>
      </w:r>
      <w:r w:rsidRPr="006772A7">
        <w:rPr>
          <w:rFonts w:cs="Calibri"/>
          <w:sz w:val="28"/>
          <w:szCs w:val="28"/>
        </w:rPr>
        <w:t xml:space="preserve"> o con el Plan Integral de Atención a víctimas.</w:t>
      </w:r>
      <w:r w:rsidRPr="006772A7">
        <w:rPr>
          <w:rStyle w:val="Refdenotaalpie"/>
          <w:rFonts w:cs="Calibri"/>
        </w:rPr>
        <w:footnoteReference w:id="11"/>
      </w:r>
    </w:p>
    <w:p w:rsidR="00497DA0" w:rsidRPr="006772A7" w:rsidRDefault="00497DA0" w:rsidP="00497DA0">
      <w:pPr>
        <w:jc w:val="both"/>
        <w:rPr>
          <w:rFonts w:cs="Calibri"/>
          <w:sz w:val="28"/>
          <w:szCs w:val="28"/>
          <w:u w:val="single"/>
        </w:rPr>
      </w:pPr>
      <w:r w:rsidRPr="006772A7">
        <w:rPr>
          <w:rFonts w:cs="Calibri"/>
          <w:sz w:val="28"/>
          <w:szCs w:val="28"/>
          <w:u w:val="single"/>
        </w:rPr>
        <w:t>7.6 Población en condición de discapacidad:</w:t>
      </w:r>
    </w:p>
    <w:p w:rsidR="00497DA0" w:rsidRPr="006772A7" w:rsidRDefault="00497DA0" w:rsidP="00497DA0">
      <w:pPr>
        <w:jc w:val="both"/>
        <w:rPr>
          <w:rFonts w:cs="Calibri"/>
          <w:sz w:val="28"/>
          <w:szCs w:val="28"/>
        </w:rPr>
      </w:pPr>
      <w:r w:rsidRPr="006772A7">
        <w:rPr>
          <w:rFonts w:cs="Calibri"/>
          <w:sz w:val="28"/>
          <w:szCs w:val="28"/>
        </w:rPr>
        <w:t>El diagnóstico sobre la población en condición de discapacidad fue desarrollado en el área de salud, sin embargo, es necesario señalar que esta población no cuenta con las garantías suficientes para su desarrollo como sujetos dignos de oportunidades laborales y de formación. La administración municipal puede generar acuerdos y convenios con organizaciones y entidades que tienen como misión el apoyo a personas discapacitadas y la asesoría a las administraciones para la formulación de planes de atención a esta población.</w:t>
      </w:r>
    </w:p>
    <w:p w:rsidR="00497DA0" w:rsidRPr="006772A7" w:rsidRDefault="00497DA0" w:rsidP="00497DA0">
      <w:pPr>
        <w:numPr>
          <w:ilvl w:val="0"/>
          <w:numId w:val="21"/>
        </w:numPr>
        <w:jc w:val="both"/>
        <w:rPr>
          <w:rFonts w:cs="Calibri"/>
          <w:b/>
          <w:sz w:val="28"/>
          <w:szCs w:val="28"/>
        </w:rPr>
      </w:pPr>
      <w:r w:rsidRPr="006772A7">
        <w:rPr>
          <w:rFonts w:cs="Calibri"/>
          <w:b/>
          <w:sz w:val="28"/>
          <w:szCs w:val="28"/>
        </w:rPr>
        <w:t>Movilidad, vías y trasporte:</w:t>
      </w:r>
    </w:p>
    <w:p w:rsidR="00497DA0" w:rsidRPr="006772A7" w:rsidRDefault="00497DA0" w:rsidP="00497DA0">
      <w:pPr>
        <w:numPr>
          <w:ilvl w:val="1"/>
          <w:numId w:val="21"/>
        </w:numPr>
        <w:rPr>
          <w:rFonts w:cs="Calibri"/>
          <w:sz w:val="28"/>
          <w:szCs w:val="28"/>
          <w:u w:val="single"/>
        </w:rPr>
      </w:pPr>
      <w:r w:rsidRPr="006772A7">
        <w:rPr>
          <w:rFonts w:cs="Calibri"/>
          <w:sz w:val="28"/>
          <w:szCs w:val="28"/>
          <w:u w:val="single"/>
        </w:rPr>
        <w:t>Características:</w:t>
      </w:r>
    </w:p>
    <w:p w:rsidR="00497DA0" w:rsidRPr="006772A7" w:rsidRDefault="00497DA0" w:rsidP="00497DA0">
      <w:pPr>
        <w:jc w:val="both"/>
        <w:rPr>
          <w:rFonts w:cs="Calibri"/>
          <w:sz w:val="28"/>
          <w:szCs w:val="28"/>
        </w:rPr>
      </w:pPr>
      <w:r w:rsidRPr="006772A7">
        <w:rPr>
          <w:rFonts w:cs="Calibri"/>
          <w:sz w:val="28"/>
          <w:szCs w:val="28"/>
        </w:rPr>
        <w:t>Con base en un cálculo aproximado de la administración municipal, Riosucio cuenta en la actualidad con un número aproximado de 1400 vehículos, de los cuales entre 600 y 800 se movilizan dentro el casco urbano, las motos son el medio de trasporte por excelencia en el municipio y los cálculos señalan que existen en el municipio por lo menos 11300 motos.</w:t>
      </w:r>
    </w:p>
    <w:p w:rsidR="00497DA0" w:rsidRPr="006772A7" w:rsidRDefault="00497DA0" w:rsidP="00497DA0">
      <w:pPr>
        <w:jc w:val="both"/>
        <w:rPr>
          <w:rFonts w:cs="Calibri"/>
          <w:sz w:val="28"/>
          <w:szCs w:val="28"/>
        </w:rPr>
      </w:pPr>
      <w:r w:rsidRPr="006772A7">
        <w:rPr>
          <w:rFonts w:cs="Calibri"/>
          <w:sz w:val="28"/>
          <w:szCs w:val="28"/>
        </w:rPr>
        <w:lastRenderedPageBreak/>
        <w:t>El mototaxismo impera en el municipio y se ha convertido en el medio de trasporte público preferido por los riosuceños, las administraciones precedentes han sido tolerantes con esta práctica ilegal, que ha terminado por ser aceptada y defendida por la comunidad en general.</w:t>
      </w:r>
    </w:p>
    <w:p w:rsidR="00497DA0" w:rsidRPr="006772A7" w:rsidRDefault="00497DA0" w:rsidP="00497DA0">
      <w:pPr>
        <w:jc w:val="both"/>
        <w:rPr>
          <w:rFonts w:cs="Calibri"/>
          <w:sz w:val="28"/>
          <w:szCs w:val="28"/>
        </w:rPr>
      </w:pPr>
      <w:r w:rsidRPr="006772A7">
        <w:rPr>
          <w:rFonts w:cs="Calibri"/>
          <w:sz w:val="28"/>
          <w:szCs w:val="28"/>
        </w:rPr>
        <w:t>Matrículas de motocicletas en el municipio:</w:t>
      </w:r>
    </w:p>
    <w:p w:rsidR="00497DA0" w:rsidRPr="006772A7" w:rsidRDefault="00497DA0" w:rsidP="00497DA0">
      <w:pPr>
        <w:jc w:val="center"/>
        <w:rPr>
          <w:rFonts w:cs="Calibri"/>
          <w:b/>
          <w:sz w:val="28"/>
          <w:szCs w:val="28"/>
        </w:rPr>
      </w:pPr>
      <w:r>
        <w:rPr>
          <w:rFonts w:cs="Calibri"/>
          <w:b/>
          <w:noProof/>
          <w:sz w:val="28"/>
          <w:szCs w:val="28"/>
          <w:lang w:eastAsia="es-CO"/>
        </w:rPr>
        <w:drawing>
          <wp:inline distT="0" distB="0" distL="0" distR="0">
            <wp:extent cx="2273935" cy="1496060"/>
            <wp:effectExtent l="0" t="0" r="0" b="0"/>
            <wp:docPr id="7" name="Gráfico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97DA0" w:rsidRPr="006772A7" w:rsidRDefault="00497DA0" w:rsidP="00497DA0">
      <w:pPr>
        <w:jc w:val="both"/>
        <w:rPr>
          <w:rFonts w:cs="Calibri"/>
          <w:sz w:val="28"/>
          <w:szCs w:val="28"/>
        </w:rPr>
      </w:pPr>
      <w:r w:rsidRPr="006772A7">
        <w:rPr>
          <w:rFonts w:cs="Calibri"/>
          <w:sz w:val="28"/>
          <w:szCs w:val="28"/>
        </w:rPr>
        <w:t>La actividad comercial, laboral y educativa de Riosucio se concentra en el centro del municipio lo cual genera congestiones permanentes y estancamientos de las vías. Las vías transitables del municipio resultan insuficientes para el gran número de vehículos que transitan en ellas. Durante los últimos cuatro años, se estancó la inversión en la construcción y reparación de la malla vial, por lo cual cada vez es más notorio el deterioro de la misma.</w:t>
      </w:r>
    </w:p>
    <w:p w:rsidR="00497DA0" w:rsidRPr="006772A7" w:rsidRDefault="00497DA0" w:rsidP="00497DA0">
      <w:pPr>
        <w:jc w:val="both"/>
        <w:rPr>
          <w:rFonts w:cs="Calibri"/>
          <w:sz w:val="28"/>
          <w:szCs w:val="28"/>
        </w:rPr>
      </w:pPr>
      <w:r w:rsidRPr="006772A7">
        <w:rPr>
          <w:rFonts w:cs="Calibri"/>
          <w:sz w:val="28"/>
          <w:szCs w:val="28"/>
        </w:rPr>
        <w:t xml:space="preserve">Los andenes y calles destinadas para el tránsito de peatones son insuficientes y en la mayoría de los casos no cumplen con las especificaciones técnicas que han sido establecidas por expertos en temas de movilidad. La ubicación geográfica del municipio lo convierte en un punto obligado de paso para Manizales, </w:t>
      </w:r>
      <w:proofErr w:type="spellStart"/>
      <w:r w:rsidRPr="006772A7">
        <w:rPr>
          <w:rFonts w:cs="Calibri"/>
          <w:sz w:val="28"/>
          <w:szCs w:val="28"/>
        </w:rPr>
        <w:t>Supia</w:t>
      </w:r>
      <w:proofErr w:type="spellEnd"/>
      <w:r w:rsidRPr="006772A7">
        <w:rPr>
          <w:rFonts w:cs="Calibri"/>
          <w:sz w:val="28"/>
          <w:szCs w:val="28"/>
        </w:rPr>
        <w:t xml:space="preserve">, </w:t>
      </w:r>
      <w:proofErr w:type="spellStart"/>
      <w:r w:rsidRPr="006772A7">
        <w:rPr>
          <w:rFonts w:cs="Calibri"/>
          <w:sz w:val="28"/>
          <w:szCs w:val="28"/>
        </w:rPr>
        <w:t>Anserma</w:t>
      </w:r>
      <w:proofErr w:type="spellEnd"/>
      <w:r w:rsidRPr="006772A7">
        <w:rPr>
          <w:rFonts w:cs="Calibri"/>
          <w:sz w:val="28"/>
          <w:szCs w:val="28"/>
        </w:rPr>
        <w:t xml:space="preserve"> y Medellín, este hecho deteriora aun más las vías y dificulta la movilidad en el municipio.</w:t>
      </w:r>
    </w:p>
    <w:p w:rsidR="00497DA0" w:rsidRDefault="00497DA0" w:rsidP="00497DA0">
      <w:pPr>
        <w:jc w:val="both"/>
        <w:rPr>
          <w:rFonts w:cs="Calibri"/>
          <w:sz w:val="28"/>
          <w:szCs w:val="28"/>
        </w:rPr>
      </w:pPr>
      <w:r w:rsidRPr="006772A7">
        <w:rPr>
          <w:rFonts w:cs="Calibri"/>
          <w:sz w:val="28"/>
          <w:szCs w:val="28"/>
        </w:rPr>
        <w:t xml:space="preserve">En cuanto a la zona rural del municipio esta es el estado actual de la red vial: </w:t>
      </w:r>
    </w:p>
    <w:p w:rsidR="00497DA0" w:rsidRDefault="00497DA0" w:rsidP="00497DA0">
      <w:r>
        <w:t>INVENTARIO DE VIAS RURALES</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9"/>
        <w:gridCol w:w="1764"/>
        <w:gridCol w:w="823"/>
        <w:gridCol w:w="1167"/>
        <w:gridCol w:w="1606"/>
        <w:gridCol w:w="1328"/>
        <w:gridCol w:w="1812"/>
      </w:tblGrid>
      <w:tr w:rsidR="00497DA0" w:rsidRPr="000D1983" w:rsidTr="006919A9">
        <w:trPr>
          <w:trHeight w:val="285"/>
        </w:trPr>
        <w:tc>
          <w:tcPr>
            <w:tcW w:w="9039" w:type="dxa"/>
            <w:gridSpan w:val="7"/>
            <w:tcBorders>
              <w:top w:val="single" w:sz="4" w:space="0" w:color="000000"/>
              <w:left w:val="single" w:sz="4" w:space="0" w:color="000000"/>
              <w:bottom w:val="single" w:sz="4" w:space="0" w:color="000000"/>
              <w:right w:val="single" w:sz="4" w:space="0" w:color="000000"/>
            </w:tcBorders>
            <w:shd w:val="clear" w:color="auto" w:fill="auto"/>
          </w:tcPr>
          <w:p w:rsidR="00497DA0" w:rsidRPr="000D1983" w:rsidRDefault="00497DA0" w:rsidP="006919A9">
            <w:pPr>
              <w:rPr>
                <w:rFonts w:eastAsia="Times New Roman"/>
                <w:b/>
                <w:sz w:val="24"/>
                <w:szCs w:val="24"/>
                <w:lang w:val="es-ES" w:eastAsia="es-ES"/>
              </w:rPr>
            </w:pPr>
          </w:p>
        </w:tc>
      </w:tr>
      <w:tr w:rsidR="00497DA0" w:rsidRPr="000D1983" w:rsidTr="006919A9">
        <w:trPr>
          <w:trHeight w:val="285"/>
        </w:trPr>
        <w:tc>
          <w:tcPr>
            <w:tcW w:w="9039" w:type="dxa"/>
            <w:gridSpan w:val="7"/>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jc w:val="center"/>
              <w:rPr>
                <w:rFonts w:eastAsia="Times New Roman"/>
                <w:b/>
                <w:sz w:val="24"/>
                <w:szCs w:val="24"/>
                <w:lang w:val="es-ES" w:eastAsia="es-ES"/>
              </w:rPr>
            </w:pPr>
            <w:r w:rsidRPr="000D1983">
              <w:rPr>
                <w:rFonts w:eastAsia="Times New Roman"/>
                <w:b/>
                <w:sz w:val="28"/>
              </w:rPr>
              <w:t>MALLA VIAL  EN JURISDICCION DEL  MUNICIPIO DE RIOSUCIO CALDAS</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b/>
                <w:sz w:val="24"/>
                <w:szCs w:val="24"/>
                <w:lang w:val="es-ES" w:eastAsia="es-ES"/>
              </w:rPr>
            </w:pPr>
            <w:r w:rsidRPr="000D1983">
              <w:rPr>
                <w:rFonts w:eastAsia="Times New Roman"/>
                <w:b/>
              </w:rPr>
              <w:lastRenderedPageBreak/>
              <w:t>VIA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b/>
                <w:sz w:val="24"/>
                <w:szCs w:val="24"/>
                <w:lang w:val="es-ES" w:eastAsia="es-ES"/>
              </w:rPr>
            </w:pPr>
            <w:r w:rsidRPr="000D1983">
              <w:rPr>
                <w:rFonts w:eastAsia="Times New Roman"/>
                <w:b/>
              </w:rPr>
              <w:t xml:space="preserve">NOMBRE DE LA VIA </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b/>
                <w:sz w:val="24"/>
                <w:szCs w:val="24"/>
                <w:lang w:val="es-ES" w:eastAsia="es-ES"/>
              </w:rPr>
            </w:pPr>
            <w:r w:rsidRPr="000D1983">
              <w:rPr>
                <w:rFonts w:eastAsia="Times New Roman"/>
                <w:b/>
              </w:rPr>
              <w:t>KM</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b/>
                <w:sz w:val="24"/>
                <w:szCs w:val="24"/>
                <w:lang w:val="es-ES" w:eastAsia="es-ES"/>
              </w:rPr>
            </w:pPr>
            <w:r w:rsidRPr="000D1983">
              <w:rPr>
                <w:rFonts w:eastAsia="Times New Roman"/>
                <w:b/>
              </w:rPr>
              <w:t>AF/MADO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b/>
                <w:sz w:val="24"/>
                <w:szCs w:val="24"/>
                <w:lang w:val="es-ES" w:eastAsia="es-ES"/>
              </w:rPr>
            </w:pPr>
            <w:r w:rsidRPr="000D1983">
              <w:rPr>
                <w:rFonts w:eastAsia="Times New Roman"/>
                <w:b/>
              </w:rPr>
              <w:t>RESPONSABLE</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b/>
                <w:sz w:val="24"/>
                <w:szCs w:val="24"/>
                <w:lang w:val="es-ES" w:eastAsia="es-ES"/>
              </w:rPr>
            </w:pPr>
            <w:r w:rsidRPr="000D1983">
              <w:rPr>
                <w:rFonts w:eastAsia="Times New Roman"/>
                <w:b/>
              </w:rPr>
              <w:t>ORDEN DE LA VIA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b/>
                <w:sz w:val="24"/>
                <w:szCs w:val="24"/>
                <w:lang w:val="es-ES" w:eastAsia="es-ES"/>
              </w:rPr>
            </w:pPr>
            <w:r w:rsidRPr="000D1983">
              <w:rPr>
                <w:rFonts w:eastAsia="Times New Roman"/>
                <w:b/>
              </w:rPr>
              <w:t>ESTADO</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RCIO –BONAFONT-PIEDRA ANCHA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11+900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5+900 PAVIM</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DEPARTAMENTO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SECUNDARIA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 xml:space="preserve">BUENO REGULAR OBRAS ESTABILIZACION CUNETAS </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BONAFONT-PIRZA –PANESSO-TRES ESQUINAS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11+200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10</w:t>
            </w:r>
            <w:r w:rsidRPr="000D1983">
              <w:rPr>
                <w:rFonts w:eastAsia="Times New Roman"/>
                <w:sz w:val="20"/>
              </w:rPr>
              <w:softHyphen/>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DEPARTAMENTO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SECUNDARIA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CRITICO CUNETAS ROSERIA ESTABILIZACION AFIRMADO</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RCIO-LA ROBADA-LA PALMA- ALTO VENTANAS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29+200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29+200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DEPARTAMENTO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SECUNDARIA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ACEPTABLE BACHEO</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PARTIDAS-LAS ESTANCIAS-SAN LORENZO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17+000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10+500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DEPARTAMENTO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SECUNDARIA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CRITICO AFIRMADO CUNETAS ROCERIA OBRAS</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PARTIDAS-SANTA CECILIA-SAMARIA-EL SALADO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9+000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9+000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DEPARTAMENTO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SECUNDARIO</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CRITICO FILTROS CUNETAS ROCERIA AFIRMADO ESTABILIZACION</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CENTRAL-SAN LORENZO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3+400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PAVIM??</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DEPARTAMENTO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SECUNDARIO</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ETABILIZACION CUNETAS BACHEO</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SIPIRRA- LCV ,2  IBERIA- PORTACHUELO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8+100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6+600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INVIAS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CRITICO ROSERIA CUNETAS OBRAS AFIRMADO</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SAN LORENZO- PASMI</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4+000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4+000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INVIAS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BACHEO CUNETAS</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LA ROBADA- EL ORO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3+600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3+600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INVIAS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REGULAR BACHEO CUNETAS</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PORTACHUELO - PANESSO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2+900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2+900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CRITICO CUNETAS ROSERIA  AFIRMADO</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RAMAL – IBERIA PARTE DE ABAJO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CRITICO CUNETAS AFIRMADO ROSERIA</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lastRenderedPageBreak/>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lang w:val="es-ES" w:eastAsia="es-ES"/>
              </w:rPr>
            </w:pPr>
            <w:r w:rsidRPr="000D1983">
              <w:rPr>
                <w:rFonts w:eastAsia="Times New Roman"/>
                <w:sz w:val="20"/>
              </w:rPr>
              <w:t xml:space="preserve">JORDAN – AGUACATAL-PIRSA </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MUINICIPIO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REGULAR EN REHABILITACION</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PUENTE TIERRA – ALTO LA IBERIA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PERDIDA TOTAL</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AGUACATAL – LA RUEDA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4+850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4+850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MINICIPIO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REGULAR</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TRES ESQUINAS – LA TOLDA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3+000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MINICIPIO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4"/>
                <w:lang w:val="es-ES" w:eastAsia="es-ES"/>
              </w:rPr>
            </w:pPr>
            <w:r w:rsidRPr="000D1983">
              <w:rPr>
                <w:rFonts w:eastAsia="Times New Roman"/>
                <w:sz w:val="20"/>
              </w:rPr>
              <w:t>CRITICO AFIRMADO CUNETAS</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highlight w:val="lightGray"/>
                <w:lang w:val="es-ES" w:eastAsia="es-ES"/>
              </w:rPr>
            </w:pPr>
            <w:r w:rsidRPr="000D1983">
              <w:rPr>
                <w:rFonts w:eastAsia="Times New Roman"/>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HONDURAS – SAN JOSE</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2+800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2+800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NO HAY VIA</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BLANDON - MEDAGUEL</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0+500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0+500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CUNETAS ROSERIA AFIRMADO</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SAN JOSE- VENEROS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NO HAY VIA</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CRUCERO- COSTARICA-EL ROBLE- AGROVILLAS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7+100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7+100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NO HAY VIA</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PIEDRAS - TUNZARA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CUNETAS AFIRMADO ROSERIA</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BONAFONT- FLORENCIA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6+100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5+400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INVIAS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CUNETAS ROSERIA ESTABILIZACION AFIRMADO CONTRATO REHABILITACION</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FLORENCIA- AGUA BONITA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5+000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5+000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INVIAS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CUNETAS ROSERIA ESTABILIZACION AFIRMADO CONTRATO REHABILITACION</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LUCERO- ALTO BONITO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 xml:space="preserve">CRITICO CUNETAS ROSERIA ESTABILIZACION </w:t>
            </w:r>
            <w:r w:rsidRPr="000D1983">
              <w:rPr>
                <w:rFonts w:eastAsia="Times New Roman"/>
                <w:sz w:val="20"/>
                <w:szCs w:val="20"/>
              </w:rPr>
              <w:lastRenderedPageBreak/>
              <w:t xml:space="preserve">AFIRMADO </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lastRenderedPageBreak/>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BONAFONT- EL OLVIDO- ELCARMELO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6+600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5+900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 xml:space="preserve">CRITICO CUNETAS ROSERIA ESTABILIZACION AFIRMADO </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PANAMERICANA-EL PLAYÓN- MEJIAL</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REGULAR</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PANAMERICANA- TRUJILLO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MALO CUNETAS ROSERIA BACHEO</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SANTA CRUZ – CAÑAMOMO-PULGARIN</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ROSERIA CUNETAS AFIRMADO</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 xml:space="preserve"> LA SIERRA -  LOS ANDES - BATERO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3+500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3+500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MALO BACHEO CUNETAS OBRAS</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BONAFONT – EL GUAYABO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1+400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MALO ROSERIA CUNETAS OBRAS AFIRMADO</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BUENOS AIRES- PIRZA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1+300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ROSERIA CUNETAS OBRAS AFIRMADO</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LA MIEDOSA- LA ESPERANZA</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0+500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0+500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 xml:space="preserve">MUNICIPIO </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ZONA INESTABLE NO HAY PUENTE</w:t>
            </w:r>
          </w:p>
        </w:tc>
      </w:tr>
      <w:tr w:rsidR="00497DA0" w:rsidRPr="000D1983" w:rsidTr="006919A9">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ROBADA- EL ORO - RUBÍ</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8+100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8+100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REGULAR CUNETAS BACHEO</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LA PALMA – TRES CRUCES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2+000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CUNETAS AFIRMADO OBRAS ROSERIA</w:t>
            </w:r>
          </w:p>
        </w:tc>
      </w:tr>
      <w:tr w:rsidR="00497DA0" w:rsidRPr="000D1983" w:rsidTr="006919A9">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LA ESTRELLA – LLANOGRANDE - MEJÍCO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6+500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6+500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REGULAR CUNETAS AFIRMADO ROSERIA</w:t>
            </w:r>
          </w:p>
        </w:tc>
      </w:tr>
      <w:tr w:rsidR="00497DA0" w:rsidRPr="000D1983" w:rsidTr="006919A9">
        <w:trPr>
          <w:trHeight w:val="272"/>
        </w:trPr>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4"/>
                <w:szCs w:val="24"/>
                <w:lang w:val="es-ES" w:eastAsia="es-ES"/>
              </w:rPr>
            </w:pPr>
            <w:r w:rsidRPr="000D1983">
              <w:rPr>
                <w:rFonts w:eastAsia="Times New Roman"/>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PUEBLO VIEJO  - SANTA INES</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4+300</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MUNICIPIO</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TERCIARIA</w:t>
            </w:r>
          </w:p>
        </w:tc>
        <w:tc>
          <w:tcPr>
            <w:tcW w:w="1812" w:type="dxa"/>
            <w:tcBorders>
              <w:top w:val="single" w:sz="4" w:space="0" w:color="000000"/>
              <w:left w:val="single" w:sz="4" w:space="0" w:color="000000"/>
              <w:bottom w:val="single" w:sz="4" w:space="0" w:color="000000"/>
              <w:right w:val="single" w:sz="4" w:space="0" w:color="000000"/>
            </w:tcBorders>
            <w:shd w:val="clear" w:color="auto" w:fill="auto"/>
            <w:hideMark/>
          </w:tcPr>
          <w:p w:rsidR="00497DA0" w:rsidRPr="000D1983" w:rsidRDefault="00497DA0" w:rsidP="006919A9">
            <w:pPr>
              <w:rPr>
                <w:rFonts w:eastAsia="Times New Roman"/>
                <w:sz w:val="20"/>
                <w:szCs w:val="20"/>
                <w:lang w:val="es-ES" w:eastAsia="es-ES"/>
              </w:rPr>
            </w:pPr>
            <w:r w:rsidRPr="000D1983">
              <w:rPr>
                <w:rFonts w:eastAsia="Times New Roman"/>
                <w:sz w:val="20"/>
                <w:szCs w:val="20"/>
              </w:rPr>
              <w:t>CRITICO ROSERIA CUNETAS OBRAS ESTABILIZACION</w:t>
            </w:r>
          </w:p>
        </w:tc>
      </w:tr>
    </w:tbl>
    <w:p w:rsidR="00497DA0" w:rsidRDefault="00497DA0" w:rsidP="00497DA0">
      <w:pPr>
        <w:jc w:val="both"/>
        <w:rPr>
          <w:rFonts w:cs="Calibri"/>
          <w:sz w:val="28"/>
          <w:szCs w:val="28"/>
        </w:rPr>
      </w:pPr>
    </w:p>
    <w:p w:rsidR="00497DA0" w:rsidRDefault="00497DA0" w:rsidP="00497DA0">
      <w:pPr>
        <w:jc w:val="both"/>
        <w:rPr>
          <w:rFonts w:cs="Calibri"/>
          <w:sz w:val="28"/>
          <w:szCs w:val="28"/>
        </w:rPr>
      </w:pPr>
    </w:p>
    <w:p w:rsidR="00497DA0" w:rsidRDefault="00497DA0" w:rsidP="00497DA0">
      <w:pPr>
        <w:jc w:val="both"/>
        <w:rPr>
          <w:rFonts w:cs="Calibri"/>
          <w:sz w:val="28"/>
          <w:szCs w:val="28"/>
        </w:rPr>
      </w:pPr>
    </w:p>
    <w:p w:rsidR="00497DA0" w:rsidRPr="006772A7" w:rsidRDefault="00497DA0" w:rsidP="00497DA0">
      <w:pPr>
        <w:jc w:val="both"/>
        <w:rPr>
          <w:rFonts w:cs="Calibri"/>
          <w:sz w:val="28"/>
          <w:szCs w:val="28"/>
        </w:rPr>
      </w:pPr>
    </w:p>
    <w:p w:rsidR="00497DA0" w:rsidRPr="006772A7" w:rsidRDefault="00497DA0" w:rsidP="00497DA0">
      <w:pPr>
        <w:numPr>
          <w:ilvl w:val="1"/>
          <w:numId w:val="21"/>
        </w:numPr>
        <w:jc w:val="both"/>
        <w:rPr>
          <w:rFonts w:cs="Calibri"/>
          <w:sz w:val="28"/>
          <w:szCs w:val="28"/>
        </w:rPr>
      </w:pPr>
      <w:r w:rsidRPr="006772A7">
        <w:rPr>
          <w:rFonts w:cs="Calibri"/>
          <w:sz w:val="28"/>
          <w:szCs w:val="28"/>
          <w:u w:val="single"/>
        </w:rPr>
        <w:t>Debilidades</w:t>
      </w:r>
      <w:r w:rsidRPr="006772A7">
        <w:rPr>
          <w:rFonts w:cs="Calibri"/>
          <w:sz w:val="28"/>
          <w:szCs w:val="28"/>
        </w:rPr>
        <w:t>:</w:t>
      </w:r>
    </w:p>
    <w:p w:rsidR="00497DA0" w:rsidRPr="006772A7" w:rsidRDefault="00497DA0" w:rsidP="00497DA0">
      <w:pPr>
        <w:jc w:val="both"/>
        <w:rPr>
          <w:rFonts w:cs="Calibri"/>
          <w:sz w:val="28"/>
          <w:szCs w:val="28"/>
        </w:rPr>
      </w:pPr>
      <w:r w:rsidRPr="006772A7">
        <w:rPr>
          <w:rFonts w:cs="Calibri"/>
          <w:sz w:val="28"/>
          <w:szCs w:val="28"/>
        </w:rPr>
        <w:t xml:space="preserve">La implementación de zonas de parqueo en el municipio, (zonas azules) ha sido una equivocación para el funcionamiento de la movilidad, dichas zonas fueron mal planeadas y han generado  caos en el tránsito vehicular y en el tránsito de peatones en los sitios donde se encuentran ubicadas. </w:t>
      </w:r>
    </w:p>
    <w:p w:rsidR="00497DA0" w:rsidRPr="006772A7" w:rsidRDefault="00497DA0" w:rsidP="00497DA0">
      <w:pPr>
        <w:jc w:val="both"/>
        <w:rPr>
          <w:rFonts w:cs="Calibri"/>
          <w:sz w:val="28"/>
          <w:szCs w:val="28"/>
        </w:rPr>
      </w:pPr>
      <w:r w:rsidRPr="006772A7">
        <w:rPr>
          <w:rFonts w:cs="Calibri"/>
          <w:sz w:val="28"/>
          <w:szCs w:val="28"/>
        </w:rPr>
        <w:t>No existe cultura ciudadana frente al tema de la movilidad y a la convivencia en los espacios públicos: no se respetan los horarios para carga y descarga de mercancía, el mototaxismo es aceptado pese a ser una actividad ilegal y las infracciones de tránsito son recurrentes.</w:t>
      </w:r>
    </w:p>
    <w:p w:rsidR="00497DA0" w:rsidRPr="006772A7" w:rsidRDefault="00497DA0" w:rsidP="00497DA0">
      <w:pPr>
        <w:jc w:val="center"/>
        <w:rPr>
          <w:rFonts w:cs="Calibri"/>
          <w:b/>
          <w:sz w:val="28"/>
          <w:szCs w:val="28"/>
        </w:rPr>
      </w:pPr>
      <w:r w:rsidRPr="006772A7">
        <w:rPr>
          <w:rFonts w:cs="Calibri"/>
          <w:b/>
          <w:sz w:val="28"/>
          <w:szCs w:val="28"/>
        </w:rPr>
        <w:t>COMPARENDOS REALIZADOS POR LA POLICIA DE CARRETERAS</w:t>
      </w:r>
    </w:p>
    <w:p w:rsidR="00497DA0" w:rsidRPr="006772A7" w:rsidRDefault="00497DA0" w:rsidP="00497DA0">
      <w:pPr>
        <w:jc w:val="center"/>
        <w:rPr>
          <w:rFonts w:cs="Calibri"/>
          <w:sz w:val="28"/>
          <w:szCs w:val="28"/>
        </w:rPr>
      </w:pPr>
      <w:r>
        <w:rPr>
          <w:rFonts w:cs="Calibri"/>
          <w:b/>
          <w:noProof/>
          <w:sz w:val="28"/>
          <w:szCs w:val="28"/>
          <w:lang w:eastAsia="es-CO"/>
        </w:rPr>
        <w:drawing>
          <wp:inline distT="0" distB="0" distL="0" distR="0">
            <wp:extent cx="2487930" cy="1828800"/>
            <wp:effectExtent l="0" t="0" r="0" b="0"/>
            <wp:docPr id="6" name="Gráfico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97DA0" w:rsidRPr="006772A7" w:rsidRDefault="00497DA0" w:rsidP="00497DA0">
      <w:pPr>
        <w:jc w:val="center"/>
        <w:rPr>
          <w:rFonts w:cs="Calibri"/>
          <w:b/>
          <w:sz w:val="28"/>
          <w:szCs w:val="28"/>
        </w:rPr>
      </w:pPr>
      <w:r w:rsidRPr="006772A7">
        <w:rPr>
          <w:rFonts w:cs="Calibri"/>
          <w:b/>
          <w:sz w:val="28"/>
          <w:szCs w:val="28"/>
        </w:rPr>
        <w:t>COMPARENDOS REALIZADOS POR LOS GUARDAS LOCALES</w:t>
      </w:r>
    </w:p>
    <w:p w:rsidR="00497DA0" w:rsidRPr="006772A7" w:rsidRDefault="00497DA0" w:rsidP="00497DA0">
      <w:pPr>
        <w:jc w:val="center"/>
        <w:rPr>
          <w:rFonts w:cs="Calibri"/>
          <w:sz w:val="28"/>
          <w:szCs w:val="28"/>
        </w:rPr>
      </w:pPr>
      <w:r>
        <w:rPr>
          <w:rFonts w:cs="Calibri"/>
          <w:b/>
          <w:noProof/>
          <w:sz w:val="28"/>
          <w:szCs w:val="28"/>
          <w:lang w:eastAsia="es-CO"/>
        </w:rPr>
        <w:lastRenderedPageBreak/>
        <w:drawing>
          <wp:inline distT="0" distB="0" distL="0" distR="0">
            <wp:extent cx="2446020" cy="1828800"/>
            <wp:effectExtent l="0" t="0" r="0" b="0"/>
            <wp:docPr id="5" name="Gráfico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97DA0" w:rsidRPr="006772A7" w:rsidRDefault="00497DA0" w:rsidP="00497DA0">
      <w:pPr>
        <w:rPr>
          <w:rFonts w:cs="Calibri"/>
          <w:sz w:val="28"/>
          <w:szCs w:val="28"/>
        </w:rPr>
      </w:pPr>
      <w:r w:rsidRPr="006772A7">
        <w:rPr>
          <w:rFonts w:cs="Calibri"/>
          <w:sz w:val="28"/>
          <w:szCs w:val="28"/>
        </w:rPr>
        <w:t>Los índices de accidentalidad para el año 2011, fueron los siguientes:</w:t>
      </w:r>
    </w:p>
    <w:p w:rsidR="00497DA0" w:rsidRPr="006772A7" w:rsidRDefault="00497DA0" w:rsidP="00497DA0">
      <w:pPr>
        <w:rPr>
          <w:rFonts w:cs="Calibri"/>
          <w:sz w:val="28"/>
          <w:szCs w:val="28"/>
        </w:rPr>
      </w:pPr>
    </w:p>
    <w:p w:rsidR="00497DA0" w:rsidRPr="006772A7" w:rsidRDefault="00497DA0" w:rsidP="00497DA0">
      <w:pPr>
        <w:rPr>
          <w:rFonts w:cs="Calibri"/>
          <w:sz w:val="28"/>
          <w:szCs w:val="28"/>
        </w:rPr>
      </w:pPr>
      <w:r>
        <w:rPr>
          <w:rFonts w:cs="Calibri"/>
          <w:noProof/>
          <w:sz w:val="28"/>
          <w:szCs w:val="28"/>
          <w:lang w:eastAsia="es-CO"/>
        </w:rPr>
        <w:drawing>
          <wp:anchor distT="0" distB="0" distL="114300" distR="114300" simplePos="0" relativeHeight="251667456" behindDoc="0" locked="0" layoutInCell="1" allowOverlap="1">
            <wp:simplePos x="0" y="0"/>
            <wp:positionH relativeFrom="column">
              <wp:posOffset>955675</wp:posOffset>
            </wp:positionH>
            <wp:positionV relativeFrom="paragraph">
              <wp:posOffset>1270</wp:posOffset>
            </wp:positionV>
            <wp:extent cx="3690620" cy="2413635"/>
            <wp:effectExtent l="0" t="0" r="0" b="0"/>
            <wp:wrapSquare wrapText="left"/>
            <wp:docPr id="22" name="Gráfico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jc w:val="both"/>
        <w:rPr>
          <w:rFonts w:cs="Calibri"/>
          <w:sz w:val="28"/>
          <w:szCs w:val="28"/>
        </w:rPr>
      </w:pPr>
      <w:r w:rsidRPr="006772A7">
        <w:rPr>
          <w:rFonts w:cs="Calibri"/>
          <w:sz w:val="28"/>
          <w:szCs w:val="28"/>
        </w:rPr>
        <w:t>Falta personal y recursos técnicos para el control y la aplicabilidad  de la normatividad en materia de tránsito y movilidad. Se necesita un mayor número de policías de tránsito,  sensores de velocidad, alcoholímetro y cámaras de vigilancia. Esto debe ser acompañado de campañas y sensibilización en materia de cultura ciudadana.</w:t>
      </w:r>
    </w:p>
    <w:p w:rsidR="00497DA0" w:rsidRPr="006772A7" w:rsidRDefault="00497DA0" w:rsidP="00497DA0">
      <w:pPr>
        <w:jc w:val="both"/>
        <w:rPr>
          <w:rFonts w:cs="Calibri"/>
          <w:sz w:val="28"/>
          <w:szCs w:val="28"/>
        </w:rPr>
      </w:pPr>
      <w:r w:rsidRPr="006772A7">
        <w:rPr>
          <w:rFonts w:cs="Calibri"/>
          <w:sz w:val="28"/>
          <w:szCs w:val="28"/>
        </w:rPr>
        <w:t xml:space="preserve">La urbanización del municipio se ha llevado a cabo sin una correcta planeación y por tanto la malla vial no responde a las necesidades del municipio. El sistema de alcantarillado es aún deficiente y el espacio público es invadido constantemente limitando la movilidad de peatones. Una </w:t>
      </w:r>
      <w:r w:rsidRPr="006772A7">
        <w:rPr>
          <w:rFonts w:cs="Calibri"/>
          <w:sz w:val="28"/>
          <w:szCs w:val="28"/>
        </w:rPr>
        <w:lastRenderedPageBreak/>
        <w:t>debilidad importante es la ausencia de mecanismos de veeduría y control sobre el tránsito y la movilidad en el municipio.</w:t>
      </w:r>
    </w:p>
    <w:p w:rsidR="00497DA0" w:rsidRPr="006772A7" w:rsidRDefault="00497DA0" w:rsidP="00497DA0">
      <w:pPr>
        <w:numPr>
          <w:ilvl w:val="1"/>
          <w:numId w:val="21"/>
        </w:numPr>
        <w:rPr>
          <w:rFonts w:cs="Calibri"/>
          <w:sz w:val="28"/>
          <w:szCs w:val="28"/>
          <w:u w:val="single"/>
        </w:rPr>
      </w:pPr>
      <w:r w:rsidRPr="006772A7">
        <w:rPr>
          <w:rFonts w:cs="Calibri"/>
          <w:sz w:val="28"/>
          <w:szCs w:val="28"/>
          <w:u w:val="single"/>
        </w:rPr>
        <w:t xml:space="preserve"> Potencialidades:</w:t>
      </w:r>
    </w:p>
    <w:p w:rsidR="00497DA0" w:rsidRPr="006772A7" w:rsidRDefault="00497DA0" w:rsidP="00497DA0">
      <w:pPr>
        <w:jc w:val="both"/>
        <w:rPr>
          <w:rFonts w:cs="Calibri"/>
          <w:sz w:val="28"/>
          <w:szCs w:val="28"/>
        </w:rPr>
      </w:pPr>
      <w:r w:rsidRPr="006772A7">
        <w:rPr>
          <w:rFonts w:cs="Calibri"/>
          <w:sz w:val="28"/>
          <w:szCs w:val="28"/>
        </w:rPr>
        <w:t>El cambio de administración y la formulación  de un nuevo plan de desarrollo, son  oportunidades para intentar generar un desarrollo urbano  mejor planificado  que responde a las necesidades actuales del municipio y que apunte el mejoramiento de la movilidad y a la seguridad vial del municipio.   Los postulados del presente Plan de Desarrollo concuerdan con la necesidad de invertir en campañas de sensibilización y fortalecimiento de la cultura ciudadana. Los procesos organizativos y comunitarios son escenarios que deben ser aprovechados a la hora de planear y fortalecer de la red de vías en las zonas rurales de nuestro municipio.</w:t>
      </w:r>
    </w:p>
    <w:p w:rsidR="00497DA0" w:rsidRPr="006772A7" w:rsidRDefault="00497DA0" w:rsidP="00497DA0">
      <w:pPr>
        <w:jc w:val="both"/>
        <w:rPr>
          <w:rFonts w:cs="Calibri"/>
          <w:sz w:val="28"/>
          <w:szCs w:val="28"/>
          <w:u w:val="single"/>
        </w:rPr>
      </w:pPr>
    </w:p>
    <w:p w:rsidR="00497DA0" w:rsidRPr="006772A7" w:rsidRDefault="00497DA0" w:rsidP="00497DA0">
      <w:pPr>
        <w:numPr>
          <w:ilvl w:val="0"/>
          <w:numId w:val="21"/>
        </w:numPr>
        <w:rPr>
          <w:rFonts w:cs="Calibri"/>
          <w:b/>
          <w:sz w:val="28"/>
          <w:szCs w:val="28"/>
        </w:rPr>
      </w:pPr>
      <w:r w:rsidRPr="006772A7">
        <w:rPr>
          <w:rFonts w:cs="Calibri"/>
          <w:b/>
          <w:sz w:val="28"/>
          <w:szCs w:val="28"/>
        </w:rPr>
        <w:t xml:space="preserve">Gestión de riesgo y prevención de emergencias y desastres: </w:t>
      </w:r>
    </w:p>
    <w:p w:rsidR="00497DA0" w:rsidRPr="006772A7" w:rsidRDefault="00497DA0" w:rsidP="00497DA0">
      <w:pPr>
        <w:rPr>
          <w:rFonts w:cs="Calibri"/>
          <w:sz w:val="28"/>
          <w:szCs w:val="28"/>
          <w:u w:val="single"/>
        </w:rPr>
      </w:pPr>
      <w:r w:rsidRPr="006772A7">
        <w:rPr>
          <w:rFonts w:cs="Calibri"/>
          <w:sz w:val="28"/>
          <w:szCs w:val="28"/>
          <w:u w:val="single"/>
        </w:rPr>
        <w:t>9.1 Características:</w:t>
      </w:r>
    </w:p>
    <w:p w:rsidR="00497DA0" w:rsidRPr="006772A7" w:rsidRDefault="00497DA0" w:rsidP="00497DA0">
      <w:pPr>
        <w:jc w:val="both"/>
        <w:rPr>
          <w:rFonts w:cs="Calibri"/>
          <w:sz w:val="28"/>
          <w:szCs w:val="28"/>
        </w:rPr>
      </w:pPr>
      <w:r w:rsidRPr="006772A7">
        <w:rPr>
          <w:rFonts w:cs="Calibri"/>
          <w:sz w:val="28"/>
          <w:szCs w:val="28"/>
        </w:rPr>
        <w:t>Los efectos del cambio climático se han hecho  evidentes en el incremento de desatraes naturales y en  el recrudecimiento del invierno en todo el país, por tal razón y en coherencia con las disposiciones del gobierno nacional, el presente Plan contiene una planeación específica para la mitigación del riesgo y la atención de la población afectada por el mismo.</w:t>
      </w:r>
    </w:p>
    <w:p w:rsidR="00497DA0" w:rsidRPr="006772A7" w:rsidRDefault="00497DA0" w:rsidP="00497DA0">
      <w:pPr>
        <w:jc w:val="both"/>
        <w:rPr>
          <w:rFonts w:cs="Calibri"/>
          <w:sz w:val="28"/>
          <w:szCs w:val="28"/>
        </w:rPr>
      </w:pPr>
      <w:r w:rsidRPr="006772A7">
        <w:rPr>
          <w:rFonts w:cs="Calibri"/>
          <w:sz w:val="28"/>
          <w:szCs w:val="28"/>
        </w:rPr>
        <w:t>En esa línea el municipio ha implementado programas y ha sido diligente a la hora de generar estrategias de prevención del riesgo. El cuerpo municipal de bomberos ha capacitado a comunidades en áreas rurales para que puedan apoyar emergencias y cumplir con labores  de rescate inmediato y traslado de pacientes.</w:t>
      </w:r>
    </w:p>
    <w:p w:rsidR="00497DA0" w:rsidRPr="006772A7" w:rsidRDefault="00497DA0" w:rsidP="00497DA0">
      <w:pPr>
        <w:jc w:val="both"/>
        <w:rPr>
          <w:rFonts w:cs="Calibri"/>
          <w:sz w:val="28"/>
          <w:szCs w:val="28"/>
        </w:rPr>
      </w:pPr>
      <w:r w:rsidRPr="006772A7">
        <w:rPr>
          <w:rFonts w:cs="Calibri"/>
          <w:sz w:val="28"/>
          <w:szCs w:val="28"/>
        </w:rPr>
        <w:t>Las estrategias de prevención de desastres se centran en tres líneas principalmente:</w:t>
      </w:r>
    </w:p>
    <w:p w:rsidR="00497DA0" w:rsidRPr="006772A7" w:rsidRDefault="00497DA0" w:rsidP="00497DA0">
      <w:pPr>
        <w:jc w:val="both"/>
        <w:rPr>
          <w:rFonts w:cs="Calibri"/>
          <w:sz w:val="28"/>
          <w:szCs w:val="28"/>
        </w:rPr>
      </w:pPr>
      <w:r w:rsidRPr="006772A7">
        <w:rPr>
          <w:rFonts w:cs="Calibri"/>
          <w:sz w:val="28"/>
          <w:szCs w:val="28"/>
        </w:rPr>
        <w:lastRenderedPageBreak/>
        <w:t>Terremotos: exigencia del cumplimiento en los códigos de sismo resistencia a la construcciones municipales.</w:t>
      </w:r>
    </w:p>
    <w:p w:rsidR="00497DA0" w:rsidRPr="006772A7" w:rsidRDefault="00497DA0" w:rsidP="00497DA0">
      <w:pPr>
        <w:jc w:val="both"/>
        <w:rPr>
          <w:rFonts w:cs="Calibri"/>
          <w:sz w:val="28"/>
          <w:szCs w:val="28"/>
          <w:lang w:val="es-ES_tradnl"/>
        </w:rPr>
      </w:pPr>
      <w:r w:rsidRPr="006772A7">
        <w:rPr>
          <w:rFonts w:cs="Calibri"/>
          <w:sz w:val="28"/>
          <w:szCs w:val="28"/>
        </w:rPr>
        <w:t>Inundaciones: se han identificado los lugares con mayor riesgo de inundaciones para la elaboración de protocolos de atención (</w:t>
      </w:r>
      <w:proofErr w:type="spellStart"/>
      <w:r w:rsidRPr="006772A7">
        <w:rPr>
          <w:rFonts w:cs="Calibri"/>
          <w:sz w:val="28"/>
          <w:szCs w:val="28"/>
          <w:lang w:val="es-ES_tradnl"/>
        </w:rPr>
        <w:t>Langarero</w:t>
      </w:r>
      <w:proofErr w:type="spellEnd"/>
      <w:r w:rsidRPr="006772A7">
        <w:rPr>
          <w:rFonts w:cs="Calibri"/>
          <w:sz w:val="28"/>
          <w:szCs w:val="28"/>
          <w:lang w:val="es-ES_tradnl"/>
        </w:rPr>
        <w:t xml:space="preserve">, Trujillo, el Playón, El Salado, La Floresta, </w:t>
      </w:r>
      <w:proofErr w:type="spellStart"/>
      <w:r w:rsidRPr="006772A7">
        <w:rPr>
          <w:rFonts w:cs="Calibri"/>
          <w:sz w:val="28"/>
          <w:szCs w:val="28"/>
          <w:lang w:val="es-ES_tradnl"/>
        </w:rPr>
        <w:t>Ubarbá</w:t>
      </w:r>
      <w:proofErr w:type="spellEnd"/>
      <w:r w:rsidRPr="006772A7">
        <w:rPr>
          <w:rFonts w:cs="Calibri"/>
          <w:sz w:val="28"/>
          <w:szCs w:val="28"/>
          <w:lang w:val="es-ES_tradnl"/>
        </w:rPr>
        <w:t xml:space="preserve">, La Esperanza, </w:t>
      </w:r>
      <w:proofErr w:type="spellStart"/>
      <w:r w:rsidRPr="006772A7">
        <w:rPr>
          <w:rFonts w:cs="Calibri"/>
          <w:sz w:val="28"/>
          <w:szCs w:val="28"/>
          <w:lang w:val="es-ES_tradnl"/>
        </w:rPr>
        <w:t>Cábarga</w:t>
      </w:r>
      <w:proofErr w:type="spellEnd"/>
      <w:r w:rsidRPr="006772A7">
        <w:rPr>
          <w:rFonts w:cs="Calibri"/>
          <w:sz w:val="28"/>
          <w:szCs w:val="28"/>
          <w:lang w:val="es-ES_tradnl"/>
        </w:rPr>
        <w:t>, La Candelaria y otras comunidades del resguardo de La Montaña.)</w:t>
      </w:r>
    </w:p>
    <w:p w:rsidR="00497DA0" w:rsidRPr="006772A7" w:rsidRDefault="00497DA0" w:rsidP="00497DA0">
      <w:pPr>
        <w:jc w:val="both"/>
        <w:rPr>
          <w:rFonts w:cs="Calibri"/>
          <w:sz w:val="28"/>
          <w:szCs w:val="28"/>
          <w:lang w:val="es-ES_tradnl"/>
        </w:rPr>
      </w:pPr>
      <w:r w:rsidRPr="006772A7">
        <w:rPr>
          <w:rFonts w:cs="Calibri"/>
          <w:sz w:val="28"/>
          <w:szCs w:val="28"/>
          <w:lang w:val="es-ES_tradnl"/>
        </w:rPr>
        <w:t>Deslizamientos: se han generado estrategias para la prevención y atención dado que este es el fenómeno que mayor impacta al municipio.</w:t>
      </w:r>
    </w:p>
    <w:p w:rsidR="00497DA0" w:rsidRPr="006772A7" w:rsidRDefault="00497DA0" w:rsidP="00497DA0">
      <w:pPr>
        <w:jc w:val="both"/>
        <w:rPr>
          <w:rFonts w:cs="Calibri"/>
          <w:sz w:val="28"/>
          <w:szCs w:val="28"/>
        </w:rPr>
      </w:pPr>
      <w:r w:rsidRPr="006772A7">
        <w:rPr>
          <w:rFonts w:cs="Calibri"/>
          <w:sz w:val="28"/>
          <w:szCs w:val="28"/>
          <w:lang w:val="es-ES_tradnl"/>
        </w:rPr>
        <w:t>Estos son las emergencias más recurrentes del municipio:</w:t>
      </w:r>
      <w:r w:rsidRPr="006772A7">
        <w:rPr>
          <w:rFonts w:cs="Calibri"/>
          <w:sz w:val="28"/>
          <w:szCs w:val="28"/>
        </w:rPr>
        <w:t xml:space="preserve"> </w:t>
      </w:r>
    </w:p>
    <w:p w:rsidR="00497DA0" w:rsidRPr="006772A7" w:rsidRDefault="00497DA0" w:rsidP="00497DA0">
      <w:pPr>
        <w:jc w:val="both"/>
        <w:rPr>
          <w:rFonts w:cs="Calibri"/>
          <w:sz w:val="28"/>
          <w:szCs w:val="28"/>
          <w:lang w:val="es-ES_tradnl"/>
        </w:rPr>
      </w:pPr>
      <w:r>
        <w:rPr>
          <w:rFonts w:cs="Calibri"/>
          <w:noProof/>
          <w:color w:val="00B050"/>
          <w:sz w:val="28"/>
          <w:szCs w:val="28"/>
          <w:lang w:eastAsia="es-CO"/>
        </w:rPr>
        <w:drawing>
          <wp:inline distT="0" distB="0" distL="0" distR="0">
            <wp:extent cx="4031615" cy="2226310"/>
            <wp:effectExtent l="0" t="0" r="0" b="0"/>
            <wp:docPr id="4" name="Gráfic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97DA0" w:rsidRPr="006772A7" w:rsidRDefault="00497DA0" w:rsidP="00497DA0">
      <w:pPr>
        <w:jc w:val="both"/>
        <w:rPr>
          <w:rFonts w:cs="Calibri"/>
          <w:b/>
          <w:sz w:val="28"/>
          <w:szCs w:val="28"/>
        </w:rPr>
      </w:pPr>
      <w:r w:rsidRPr="006772A7">
        <w:rPr>
          <w:rFonts w:cs="Calibri"/>
          <w:sz w:val="28"/>
          <w:szCs w:val="28"/>
          <w:lang w:val="es-ES_tradnl"/>
        </w:rPr>
        <w:t xml:space="preserve">Fuente: </w:t>
      </w:r>
      <w:r w:rsidRPr="006772A7">
        <w:rPr>
          <w:rFonts w:cs="Calibri"/>
          <w:b/>
          <w:sz w:val="28"/>
          <w:szCs w:val="28"/>
        </w:rPr>
        <w:t>PROGRAMA DE SERVICIO DE EMERGENCIAS 2011</w:t>
      </w:r>
    </w:p>
    <w:p w:rsidR="00497DA0" w:rsidRPr="006772A7" w:rsidRDefault="00497DA0" w:rsidP="00497DA0">
      <w:pPr>
        <w:jc w:val="both"/>
        <w:rPr>
          <w:rFonts w:cs="Calibri"/>
          <w:sz w:val="28"/>
          <w:szCs w:val="28"/>
          <w:lang w:val="es-ES_tradnl"/>
        </w:rPr>
      </w:pPr>
      <w:r w:rsidRPr="006772A7">
        <w:rPr>
          <w:rFonts w:cs="Calibri"/>
          <w:sz w:val="28"/>
          <w:szCs w:val="28"/>
          <w:lang w:val="es-ES_tradnl"/>
        </w:rPr>
        <w:t>El balance de los daños causados por el invierno y deslizamientos es el siguiente: 858 viviendas averiadas, 102 viviendas destruidas, 2 puestos de salud para reubicar, 2 puestos de salud para reparar, 187 km de vías rurales para mejorar (hacerlas transitables</w:t>
      </w:r>
      <w:proofErr w:type="gramStart"/>
      <w:r w:rsidRPr="006772A7">
        <w:rPr>
          <w:rFonts w:cs="Calibri"/>
          <w:sz w:val="28"/>
          <w:szCs w:val="28"/>
          <w:lang w:val="es-ES_tradnl"/>
        </w:rPr>
        <w:t>),</w:t>
      </w:r>
      <w:proofErr w:type="gramEnd"/>
      <w:r w:rsidRPr="006772A7">
        <w:rPr>
          <w:rFonts w:cs="Calibri"/>
          <w:sz w:val="28"/>
          <w:szCs w:val="28"/>
          <w:lang w:val="es-ES_tradnl"/>
        </w:rPr>
        <w:t>12 establecimientos educativos fuera de servicio, 16 establecimientos educativos averiados, 2 puentes destruidos ,3 puentes averiados y 6 escenarios deportivos averiados.</w:t>
      </w: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En la zona urbana del </w:t>
      </w:r>
      <w:proofErr w:type="spellStart"/>
      <w:r w:rsidRPr="006772A7">
        <w:rPr>
          <w:rFonts w:cs="Calibri"/>
          <w:sz w:val="28"/>
          <w:szCs w:val="28"/>
          <w:lang w:val="es-ES_tradnl"/>
        </w:rPr>
        <w:t>municipo</w:t>
      </w:r>
      <w:proofErr w:type="spellEnd"/>
      <w:r w:rsidRPr="006772A7">
        <w:rPr>
          <w:rFonts w:cs="Calibri"/>
          <w:sz w:val="28"/>
          <w:szCs w:val="28"/>
          <w:lang w:val="es-ES_tradnl"/>
        </w:rPr>
        <w:t xml:space="preserve"> las problemáticas más importantes se presentan en: Barrio Rotarios 1 y 2, Primero de Mayo, Aldea Municipal, Barrio la María, Barrio Laureles, Escuela pio XII y Barrio San Nicolás, Rotarios </w:t>
      </w:r>
      <w:r w:rsidRPr="006772A7">
        <w:rPr>
          <w:rFonts w:cs="Calibri"/>
          <w:sz w:val="28"/>
          <w:szCs w:val="28"/>
          <w:lang w:val="es-ES_tradnl"/>
        </w:rPr>
        <w:lastRenderedPageBreak/>
        <w:t>1 y 2, primero de mayo y aldea municipal donde las obras de mitigación pueden valer más de mil quinientos millones de pesos ($1.500.000.000)</w:t>
      </w:r>
    </w:p>
    <w:p w:rsidR="00497DA0" w:rsidRPr="006772A7" w:rsidRDefault="00497DA0" w:rsidP="00497DA0">
      <w:pPr>
        <w:jc w:val="both"/>
        <w:rPr>
          <w:rFonts w:cs="Calibri"/>
          <w:sz w:val="28"/>
          <w:szCs w:val="28"/>
          <w:u w:val="single"/>
          <w:lang w:val="es-ES_tradnl"/>
        </w:rPr>
      </w:pPr>
      <w:r w:rsidRPr="006772A7">
        <w:rPr>
          <w:rFonts w:cs="Calibri"/>
          <w:sz w:val="28"/>
          <w:szCs w:val="28"/>
          <w:u w:val="single"/>
          <w:lang w:val="es-ES_tradnl"/>
        </w:rPr>
        <w:t xml:space="preserve">9.2 Debilidades: </w:t>
      </w:r>
    </w:p>
    <w:p w:rsidR="00497DA0" w:rsidRPr="006772A7" w:rsidRDefault="00497DA0" w:rsidP="00497DA0">
      <w:pPr>
        <w:jc w:val="both"/>
        <w:rPr>
          <w:rFonts w:cs="Calibri"/>
          <w:sz w:val="28"/>
          <w:szCs w:val="28"/>
          <w:lang w:val="es-ES_tradnl"/>
        </w:rPr>
      </w:pPr>
      <w:r w:rsidRPr="006772A7">
        <w:rPr>
          <w:rFonts w:cs="Calibri"/>
          <w:sz w:val="28"/>
          <w:szCs w:val="28"/>
          <w:lang w:val="es-ES_tradnl"/>
        </w:rPr>
        <w:t>Lo incierto del comportamiento de la naturaleza no nos permite medir los alcances de desastres e inundaciones, por tanto es necesario ser amplios y generosos en los planes de gestión riesgo que se efectúen en el municipio. La administración municipal (por la categoría del municipio) no cuenta con los recursos deseados para la atención oportuna, integral y efectiva a los damnificados por desastres naturales, por tanto se hace urgente la coordinación y la concurrencia del nivel departamental y nacional.</w:t>
      </w: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Aún falta mayor conciencia y sensibilidad por parte de la población para la prevención del riesgo. Es necesario incrementar las campañas educativas en los colegios y en los hogares para desde allí se generen acciones que mitiguen el riesgo. </w:t>
      </w: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sz w:val="28"/>
          <w:szCs w:val="28"/>
          <w:lang w:val="es-ES_tradnl"/>
        </w:rPr>
      </w:pPr>
      <w:r w:rsidRPr="006772A7">
        <w:rPr>
          <w:rFonts w:cs="Calibri"/>
          <w:sz w:val="28"/>
          <w:szCs w:val="28"/>
          <w:u w:val="single"/>
          <w:lang w:val="es-ES_tradnl"/>
        </w:rPr>
        <w:t>9.3 Potencialidades</w:t>
      </w:r>
      <w:r w:rsidRPr="006772A7">
        <w:rPr>
          <w:rFonts w:cs="Calibri"/>
          <w:sz w:val="28"/>
          <w:szCs w:val="28"/>
          <w:lang w:val="es-ES_tradnl"/>
        </w:rPr>
        <w:t>:</w:t>
      </w:r>
    </w:p>
    <w:p w:rsidR="00497DA0" w:rsidRPr="006772A7" w:rsidRDefault="00497DA0" w:rsidP="00497DA0">
      <w:pPr>
        <w:jc w:val="both"/>
        <w:rPr>
          <w:rFonts w:cs="Calibri"/>
          <w:sz w:val="28"/>
          <w:szCs w:val="28"/>
          <w:lang w:val="es-ES_tradnl"/>
        </w:rPr>
      </w:pPr>
      <w:r w:rsidRPr="006772A7">
        <w:rPr>
          <w:rFonts w:cs="Calibri"/>
          <w:sz w:val="28"/>
          <w:szCs w:val="28"/>
          <w:lang w:val="es-ES_tradnl"/>
        </w:rPr>
        <w:t>El cuerpo de bomberos del municipio es una institución seria y comprometida, por tanto debe ser aprovechada y fortalecida para que implementen campañas de prevención del riesgo y capaciten en materia de acción inmediata. Así mismo, se deben aprovechar los espacios comunitarios (artísticos, deportivos y culturales) para desde allí generar también acciones en este sentido.</w:t>
      </w:r>
    </w:p>
    <w:p w:rsidR="00497DA0" w:rsidRPr="006772A7" w:rsidRDefault="00497DA0" w:rsidP="00497DA0">
      <w:pPr>
        <w:jc w:val="both"/>
        <w:rPr>
          <w:rFonts w:cs="Calibri"/>
          <w:sz w:val="28"/>
          <w:szCs w:val="28"/>
          <w:lang w:val="es-ES_tradnl"/>
        </w:rPr>
      </w:pPr>
      <w:r w:rsidRPr="006772A7">
        <w:rPr>
          <w:rFonts w:cs="Calibri"/>
          <w:sz w:val="28"/>
          <w:szCs w:val="28"/>
          <w:lang w:val="es-ES_tradnl"/>
        </w:rPr>
        <w:t>La importancia que el gobierno nacional le ha dado a este tema y la inversión de recursos que ha hecho para la atención de desastres es algo que debe ser aprovechado para generar convenios interinstitucionales que hagan más operativos y eficientes los planes de mitigación del riesgo en el municipio.</w:t>
      </w:r>
    </w:p>
    <w:p w:rsidR="00497DA0" w:rsidRPr="006772A7" w:rsidRDefault="00497DA0" w:rsidP="00497DA0">
      <w:pPr>
        <w:jc w:val="both"/>
        <w:rPr>
          <w:rFonts w:cs="Calibri"/>
          <w:sz w:val="28"/>
          <w:szCs w:val="28"/>
          <w:lang w:val="es-ES_tradnl"/>
        </w:rPr>
      </w:pPr>
    </w:p>
    <w:p w:rsidR="00497DA0" w:rsidRDefault="00497DA0" w:rsidP="00497DA0">
      <w:pPr>
        <w:numPr>
          <w:ilvl w:val="0"/>
          <w:numId w:val="21"/>
        </w:numPr>
        <w:jc w:val="both"/>
        <w:rPr>
          <w:rFonts w:cs="Calibri"/>
          <w:b/>
          <w:sz w:val="28"/>
          <w:szCs w:val="28"/>
          <w:lang w:val="es-ES_tradnl"/>
        </w:rPr>
      </w:pPr>
      <w:r w:rsidRPr="006772A7">
        <w:rPr>
          <w:rFonts w:cs="Calibri"/>
          <w:b/>
          <w:sz w:val="28"/>
          <w:szCs w:val="28"/>
          <w:lang w:val="es-ES_tradnl"/>
        </w:rPr>
        <w:t xml:space="preserve"> Tratamiento de aguas y saneamiento básico:</w:t>
      </w:r>
    </w:p>
    <w:p w:rsidR="00497DA0" w:rsidRDefault="00497DA0" w:rsidP="00497DA0">
      <w:pPr>
        <w:ind w:left="720"/>
        <w:jc w:val="both"/>
        <w:rPr>
          <w:lang w:val="es-ES_tradnl"/>
        </w:rPr>
      </w:pPr>
      <w:r>
        <w:rPr>
          <w:lang w:val="es-ES_tradnl"/>
        </w:rPr>
        <w:lastRenderedPageBreak/>
        <w:t>Características:</w:t>
      </w:r>
    </w:p>
    <w:p w:rsidR="00497DA0" w:rsidRDefault="00497DA0" w:rsidP="00497DA0">
      <w:pPr>
        <w:ind w:left="720"/>
        <w:jc w:val="both"/>
      </w:pPr>
      <w:r>
        <w:rPr>
          <w:lang w:val="es-ES_tradnl"/>
        </w:rPr>
        <w:t>En</w:t>
      </w:r>
      <w:proofErr w:type="spellStart"/>
      <w:r>
        <w:t>tre</w:t>
      </w:r>
      <w:proofErr w:type="spellEnd"/>
      <w:r>
        <w:t xml:space="preserve"> el 2005 y el 2010 se presento un aumento en promedio anual del 3.85% en la cobertura de acueducto; siendo el año 2007 en el que menos  aumento en la cobertura se realizo, solo 26 viviendas fueron conectadas y el año 2009  el que  mayor cobertura presento con  436 viviendas conectadas. </w:t>
      </w:r>
    </w:p>
    <w:p w:rsidR="00497DA0" w:rsidRDefault="00497DA0" w:rsidP="00497DA0">
      <w:pPr>
        <w:ind w:left="720"/>
        <w:jc w:val="both"/>
      </w:pPr>
      <w:r>
        <w:t>Se puede concluir que año tras año la cobertura de viviendas con servicio de acueducto va en aumento.</w:t>
      </w:r>
    </w:p>
    <w:p w:rsidR="00497DA0" w:rsidRDefault="00497DA0" w:rsidP="00497DA0">
      <w:pPr>
        <w:ind w:left="720"/>
        <w:jc w:val="both"/>
      </w:pPr>
      <w:r>
        <w:t xml:space="preserve">El porcentaje de viviendas con cobertura de acueducto en el municipio es del 71.57 % </w:t>
      </w:r>
    </w:p>
    <w:p w:rsidR="00497DA0" w:rsidRDefault="00497DA0" w:rsidP="00497DA0">
      <w:pPr>
        <w:spacing w:after="0" w:line="240" w:lineRule="auto"/>
        <w:ind w:left="720"/>
        <w:jc w:val="both"/>
      </w:pPr>
      <w:r>
        <w:t>Calidad de agua:</w:t>
      </w:r>
      <w:r w:rsidRPr="00C9052C">
        <w:t xml:space="preserve"> </w:t>
      </w:r>
      <w:r>
        <w:t xml:space="preserve">se mide de 0 a 0.35, siendo 0 de pésima calidad y 0.35 de excelente calidad, los últimos tres años  el municipio ha recibido una calificación de 0.31, esto nos indica que el suministro de agua que se realiza es potable y de muy buena calidad </w:t>
      </w:r>
    </w:p>
    <w:p w:rsidR="00497DA0" w:rsidRDefault="00497DA0" w:rsidP="00497DA0">
      <w:pPr>
        <w:ind w:left="720"/>
        <w:jc w:val="both"/>
      </w:pPr>
    </w:p>
    <w:p w:rsidR="00497DA0" w:rsidRDefault="00497DA0" w:rsidP="00497DA0">
      <w:pPr>
        <w:ind w:left="720"/>
        <w:jc w:val="both"/>
      </w:pPr>
      <w:r>
        <w:t>Entre los años 2005 y 2010, el número de viviendas en el municipio ha aumentado, pasando de 9.592 en el 2005  a 10.703 en el 2010, no todas estas viviendas han podido acceder a la red alcantarillado, por tal motivo la utilización de sistemas alternos como letrinas, pozos sépticos, han aumentado pasando de 3484 en el 2005 a 3818 en el 2010.</w:t>
      </w:r>
    </w:p>
    <w:p w:rsidR="00497DA0" w:rsidRDefault="00497DA0" w:rsidP="00497DA0">
      <w:pPr>
        <w:ind w:left="720"/>
        <w:jc w:val="both"/>
      </w:pPr>
      <w:r>
        <w:t>.</w:t>
      </w:r>
    </w:p>
    <w:p w:rsidR="00497DA0" w:rsidRPr="00EB6DE3" w:rsidRDefault="00497DA0" w:rsidP="00497DA0">
      <w:pPr>
        <w:ind w:left="720"/>
        <w:jc w:val="both"/>
        <w:rPr>
          <w:rFonts w:cs="Calibri"/>
          <w:sz w:val="28"/>
          <w:szCs w:val="28"/>
        </w:rPr>
      </w:pPr>
      <w:r>
        <w:rPr>
          <w:rFonts w:cs="Calibri"/>
          <w:sz w:val="28"/>
          <w:szCs w:val="28"/>
        </w:rPr>
        <w:t>Debilidades.</w:t>
      </w:r>
    </w:p>
    <w:p w:rsidR="00497DA0" w:rsidRDefault="00497DA0" w:rsidP="00497DA0">
      <w:pPr>
        <w:pStyle w:val="Prrafodelista"/>
        <w:jc w:val="both"/>
        <w:rPr>
          <w:rFonts w:cs="Calibri"/>
          <w:sz w:val="28"/>
          <w:szCs w:val="28"/>
          <w:lang w:val="es-ES_tradnl"/>
        </w:rPr>
      </w:pPr>
      <w:r w:rsidRPr="006772A7">
        <w:rPr>
          <w:rFonts w:cs="Calibri"/>
          <w:sz w:val="28"/>
          <w:szCs w:val="28"/>
          <w:lang w:val="es-ES_tradnl"/>
        </w:rPr>
        <w:t xml:space="preserve">En muchas zonas suburbanas del municipio no hay cobertura de EMPOCALDAS por lo que el municipio y los resguardos deben asumir la construcción y mejoramiento de los alcantarillados. </w:t>
      </w:r>
    </w:p>
    <w:p w:rsidR="00497DA0" w:rsidRDefault="00497DA0" w:rsidP="00497DA0">
      <w:pPr>
        <w:pStyle w:val="Prrafodelista"/>
        <w:jc w:val="both"/>
        <w:rPr>
          <w:rFonts w:cs="Calibri"/>
          <w:sz w:val="28"/>
          <w:szCs w:val="28"/>
          <w:lang w:val="es-ES_tradnl"/>
        </w:rPr>
      </w:pPr>
    </w:p>
    <w:p w:rsidR="00497DA0" w:rsidRPr="006772A7" w:rsidRDefault="00497DA0" w:rsidP="00497DA0">
      <w:pPr>
        <w:pStyle w:val="Prrafodelista"/>
        <w:jc w:val="both"/>
        <w:rPr>
          <w:rFonts w:cs="Calibri"/>
          <w:sz w:val="28"/>
          <w:szCs w:val="28"/>
          <w:lang w:val="es-ES_tradnl"/>
        </w:rPr>
      </w:pPr>
      <w:r>
        <w:rPr>
          <w:rFonts w:cs="Calibri"/>
          <w:sz w:val="28"/>
          <w:szCs w:val="28"/>
          <w:lang w:val="es-ES_tradnl"/>
        </w:rPr>
        <w:t>L</w:t>
      </w:r>
      <w:r w:rsidRPr="006772A7">
        <w:rPr>
          <w:rFonts w:cs="Calibri"/>
          <w:sz w:val="28"/>
          <w:szCs w:val="28"/>
          <w:lang w:val="es-ES_tradnl"/>
        </w:rPr>
        <w:t xml:space="preserve">a disposición final </w:t>
      </w:r>
      <w:r>
        <w:rPr>
          <w:rFonts w:cs="Calibri"/>
          <w:sz w:val="28"/>
          <w:szCs w:val="28"/>
          <w:lang w:val="es-ES_tradnl"/>
        </w:rPr>
        <w:t xml:space="preserve"> de aguas </w:t>
      </w:r>
      <w:r w:rsidRPr="006772A7">
        <w:rPr>
          <w:rFonts w:cs="Calibri"/>
          <w:sz w:val="28"/>
          <w:szCs w:val="28"/>
          <w:lang w:val="es-ES_tradnl"/>
        </w:rPr>
        <w:t>no es la adecuada, presentándose derrames de aguas negras por las vías, las cunetas y por las laderas</w:t>
      </w:r>
      <w:r>
        <w:rPr>
          <w:rFonts w:cs="Calibri"/>
          <w:sz w:val="28"/>
          <w:szCs w:val="28"/>
          <w:lang w:val="es-ES_tradnl"/>
        </w:rPr>
        <w:t>,</w:t>
      </w:r>
      <w:r w:rsidRPr="006772A7">
        <w:rPr>
          <w:rFonts w:cs="Calibri"/>
          <w:sz w:val="28"/>
          <w:szCs w:val="28"/>
          <w:lang w:val="es-ES_tradnl"/>
        </w:rPr>
        <w:t xml:space="preserve"> generando inestabilidad del terreno y graves problemas de salud. (Barrio El Jardín, barrio Las Guacas, Barrio San Nicolás, Barrio Hispania y algunos sectores de Tumbabarreto y Sipirra.)</w:t>
      </w:r>
    </w:p>
    <w:p w:rsidR="00497DA0" w:rsidRPr="006772A7" w:rsidRDefault="00497DA0" w:rsidP="00497DA0">
      <w:pPr>
        <w:pStyle w:val="Prrafodelista"/>
        <w:spacing w:after="0" w:line="240" w:lineRule="auto"/>
        <w:jc w:val="both"/>
        <w:rPr>
          <w:rFonts w:cs="Calibri"/>
          <w:sz w:val="28"/>
          <w:szCs w:val="28"/>
          <w:lang w:val="es-ES_tradnl"/>
        </w:rPr>
      </w:pPr>
    </w:p>
    <w:p w:rsidR="00497DA0" w:rsidRPr="006772A7" w:rsidRDefault="00497DA0" w:rsidP="00497DA0">
      <w:pPr>
        <w:pStyle w:val="Prrafodelista"/>
        <w:spacing w:after="0" w:line="240" w:lineRule="auto"/>
        <w:jc w:val="both"/>
        <w:rPr>
          <w:rFonts w:cs="Calibri"/>
          <w:sz w:val="28"/>
          <w:szCs w:val="28"/>
          <w:lang w:val="es-ES_tradnl"/>
        </w:rPr>
      </w:pPr>
      <w:r w:rsidRPr="006772A7">
        <w:rPr>
          <w:rFonts w:cs="Calibri"/>
          <w:sz w:val="28"/>
          <w:szCs w:val="28"/>
          <w:lang w:val="es-ES_tradnl"/>
        </w:rPr>
        <w:t xml:space="preserve">Gran parte del sistema de alcantarillado  del municipio se encuentra en mal estado (son tuberías en su mayor parte de cemento con más de 20 años de uso) por lo que se requiere un diagnostico real de su estado con el fin de implementar un plan maestro de mejoramiento de alcantarillado. </w:t>
      </w:r>
    </w:p>
    <w:p w:rsidR="00497DA0" w:rsidRPr="006772A7" w:rsidRDefault="00497DA0" w:rsidP="00497DA0">
      <w:pPr>
        <w:pStyle w:val="Prrafodelista"/>
        <w:spacing w:after="0" w:line="240" w:lineRule="auto"/>
        <w:jc w:val="both"/>
        <w:rPr>
          <w:rFonts w:cs="Calibri"/>
          <w:sz w:val="28"/>
          <w:szCs w:val="28"/>
          <w:lang w:val="es-ES_tradnl"/>
        </w:rPr>
      </w:pPr>
    </w:p>
    <w:p w:rsidR="00497DA0" w:rsidRPr="006772A7" w:rsidRDefault="00497DA0" w:rsidP="00497DA0">
      <w:pPr>
        <w:pStyle w:val="Prrafodelista"/>
        <w:spacing w:after="0" w:line="240" w:lineRule="auto"/>
        <w:jc w:val="both"/>
        <w:rPr>
          <w:rFonts w:eastAsia="Times New Roman" w:cs="Calibri"/>
          <w:sz w:val="28"/>
          <w:szCs w:val="28"/>
          <w:lang w:eastAsia="es-ES"/>
        </w:rPr>
      </w:pPr>
      <w:r w:rsidRPr="006772A7">
        <w:rPr>
          <w:rFonts w:cs="Calibri"/>
          <w:sz w:val="28"/>
          <w:szCs w:val="28"/>
          <w:lang w:val="es-ES_tradnl"/>
        </w:rPr>
        <w:t>No existe un</w:t>
      </w:r>
      <w:r w:rsidRPr="006772A7">
        <w:rPr>
          <w:rFonts w:cs="Calibri"/>
          <w:sz w:val="28"/>
          <w:szCs w:val="28"/>
        </w:rPr>
        <w:t xml:space="preserve"> plan para el mejoramiento de la recolección de aguas lluvias y aguas de escorrentía, que eviten  la incorporación de aguas al subsuelo, y que contemple además la recolección adecuada de aguas lluvias de las residencias mediante canales y bajantes con una buena disposición final.</w:t>
      </w:r>
    </w:p>
    <w:p w:rsidR="00497DA0" w:rsidRPr="006772A7" w:rsidRDefault="00497DA0" w:rsidP="00497DA0">
      <w:pPr>
        <w:ind w:left="720"/>
        <w:jc w:val="both"/>
        <w:rPr>
          <w:rFonts w:cs="Calibri"/>
          <w:sz w:val="28"/>
          <w:szCs w:val="28"/>
          <w:lang w:val="es-ES_tradnl"/>
        </w:rPr>
      </w:pPr>
    </w:p>
    <w:p w:rsidR="00497DA0" w:rsidRPr="006772A7" w:rsidRDefault="00497DA0" w:rsidP="00497DA0">
      <w:pPr>
        <w:ind w:left="720"/>
        <w:jc w:val="both"/>
        <w:rPr>
          <w:rFonts w:cs="Calibri"/>
          <w:sz w:val="28"/>
          <w:szCs w:val="28"/>
        </w:rPr>
      </w:pPr>
      <w:r>
        <w:rPr>
          <w:rFonts w:cs="Calibri"/>
          <w:sz w:val="28"/>
          <w:szCs w:val="28"/>
          <w:lang w:val="es-ES_tradnl"/>
        </w:rPr>
        <w:t>L</w:t>
      </w:r>
      <w:r w:rsidRPr="006772A7">
        <w:rPr>
          <w:rFonts w:cs="Calibri"/>
          <w:sz w:val="28"/>
          <w:szCs w:val="28"/>
          <w:lang w:val="es-ES_tradnl"/>
        </w:rPr>
        <w:t xml:space="preserve">as zonas rurales del municipio tienen del servicio del alcantarillado, en </w:t>
      </w:r>
      <w:r w:rsidRPr="006772A7">
        <w:rPr>
          <w:rFonts w:cs="Calibri"/>
          <w:sz w:val="28"/>
          <w:szCs w:val="28"/>
        </w:rPr>
        <w:t>Bonafont  la capacidad de la tubería es insuficiente, obsoleta y  se encuentra en mal estado, igualmente, presenta problemas con la disposición final de las aguas servidas que no son adecuadamente llevadas hasta sitios seguros, generando problemas de salud, malos olores y problemas de inestabilidad. Pueblo Viejo, La Iberia, San Jerónimo, y otros centros poblados tienen igualmente sistemas de alcantarillado pero presentan el mismo problema, principalmente Pueblo viejo donde la tubería lleva más de 25 años de uso.</w:t>
      </w:r>
    </w:p>
    <w:p w:rsidR="00497DA0" w:rsidRDefault="00497DA0" w:rsidP="00497DA0">
      <w:pPr>
        <w:ind w:left="720"/>
        <w:jc w:val="both"/>
        <w:rPr>
          <w:rFonts w:cs="Calibri"/>
          <w:sz w:val="28"/>
          <w:szCs w:val="28"/>
        </w:rPr>
      </w:pPr>
      <w:r w:rsidRPr="006772A7">
        <w:rPr>
          <w:rFonts w:cs="Calibri"/>
          <w:sz w:val="28"/>
          <w:szCs w:val="28"/>
        </w:rPr>
        <w:t xml:space="preserve">La infraestructura del alcantarillado en el municipio de Riosucio es deficiente en la medida que son estructura demasiado viejas que no cumplen adecuadamente con su función de desagüe, para el saneamiento ambiental del municipio. </w:t>
      </w:r>
    </w:p>
    <w:p w:rsidR="00497DA0" w:rsidRPr="006772A7" w:rsidRDefault="00497DA0" w:rsidP="00497DA0">
      <w:pPr>
        <w:ind w:left="720"/>
        <w:jc w:val="both"/>
        <w:rPr>
          <w:rFonts w:cs="Calibri"/>
          <w:sz w:val="28"/>
          <w:szCs w:val="28"/>
        </w:rPr>
      </w:pPr>
      <w:r w:rsidRPr="006772A7">
        <w:rPr>
          <w:rFonts w:cs="Calibri"/>
          <w:sz w:val="28"/>
          <w:szCs w:val="28"/>
        </w:rPr>
        <w:t xml:space="preserve">Aún falta implementar sistema de alcantarillado y de tratamiento de aguas en muchas zonas rurales del municipio, lo cual debe ser prioridad para la nueva administración municipal. </w:t>
      </w:r>
    </w:p>
    <w:p w:rsidR="00497DA0" w:rsidRPr="006772A7" w:rsidRDefault="00497DA0" w:rsidP="00497DA0">
      <w:pPr>
        <w:jc w:val="both"/>
        <w:rPr>
          <w:rFonts w:cs="Calibri"/>
          <w:sz w:val="28"/>
          <w:szCs w:val="28"/>
          <w:u w:val="single"/>
        </w:rPr>
      </w:pPr>
      <w:r>
        <w:rPr>
          <w:rFonts w:cs="Calibri"/>
          <w:sz w:val="28"/>
          <w:szCs w:val="28"/>
          <w:u w:val="single"/>
        </w:rPr>
        <w:t xml:space="preserve"> </w:t>
      </w:r>
      <w:r w:rsidRPr="006772A7">
        <w:rPr>
          <w:rFonts w:cs="Calibri"/>
          <w:sz w:val="28"/>
          <w:szCs w:val="28"/>
          <w:u w:val="single"/>
        </w:rPr>
        <w:t>Potencialidades:</w:t>
      </w:r>
    </w:p>
    <w:p w:rsidR="00497DA0" w:rsidRPr="006772A7" w:rsidRDefault="00497DA0" w:rsidP="00497DA0">
      <w:pPr>
        <w:jc w:val="both"/>
        <w:rPr>
          <w:rFonts w:cs="Calibri"/>
          <w:sz w:val="28"/>
          <w:szCs w:val="28"/>
        </w:rPr>
      </w:pPr>
      <w:r w:rsidRPr="006772A7">
        <w:rPr>
          <w:rFonts w:cs="Calibri"/>
          <w:sz w:val="28"/>
          <w:szCs w:val="28"/>
        </w:rPr>
        <w:t>Como en la zona rural las construcciones son dispersas, es más económico hacer la disposición final de las aguas servidas mediante el sistema de pozos sépticos y no de alcantarillados. En este sentido el municipio ha avanzado bastante, sin embargo, hace falta avanzar más para lograr el 100% de cobertura.</w:t>
      </w:r>
    </w:p>
    <w:p w:rsidR="00497DA0" w:rsidRPr="006772A7" w:rsidRDefault="00497DA0" w:rsidP="00497DA0">
      <w:pPr>
        <w:jc w:val="both"/>
        <w:rPr>
          <w:rFonts w:cs="Calibri"/>
          <w:sz w:val="28"/>
          <w:szCs w:val="28"/>
          <w:lang w:val="es-ES_tradnl"/>
        </w:rPr>
      </w:pPr>
      <w:r w:rsidRPr="006772A7">
        <w:rPr>
          <w:rFonts w:cs="Calibri"/>
          <w:sz w:val="28"/>
          <w:szCs w:val="28"/>
        </w:rPr>
        <w:lastRenderedPageBreak/>
        <w:t xml:space="preserve">Con la implementación de un plan maestro de mejoramiento de alcantarillado </w:t>
      </w:r>
      <w:r w:rsidRPr="006772A7">
        <w:rPr>
          <w:rFonts w:cs="Calibri"/>
          <w:sz w:val="28"/>
          <w:szCs w:val="28"/>
          <w:lang w:val="es-ES_tradnl"/>
        </w:rPr>
        <w:t xml:space="preserve"> se mejora no sólo  la prestación del servicio, sino que además   se contribuye a los planes de  Gestión del Riesgo, dado que con un sistema adecuado de alcantarillado  se recogería toda el agua que se filtra en los suelos  causando   deslizamientos y hundimientos de las calles.</w:t>
      </w:r>
    </w:p>
    <w:p w:rsidR="00497DA0" w:rsidRDefault="00497DA0" w:rsidP="00497DA0">
      <w:pPr>
        <w:numPr>
          <w:ilvl w:val="0"/>
          <w:numId w:val="22"/>
        </w:numPr>
        <w:ind w:left="1069"/>
        <w:jc w:val="both"/>
        <w:rPr>
          <w:rFonts w:cs="Calibri"/>
          <w:b/>
          <w:sz w:val="28"/>
          <w:szCs w:val="28"/>
          <w:lang w:val="es-ES"/>
        </w:rPr>
      </w:pPr>
      <w:r>
        <w:rPr>
          <w:rFonts w:cs="Calibri"/>
          <w:b/>
          <w:sz w:val="28"/>
          <w:szCs w:val="28"/>
          <w:lang w:val="es-ES"/>
        </w:rPr>
        <w:t>Desarrollo económico:</w:t>
      </w:r>
    </w:p>
    <w:p w:rsidR="00497DA0" w:rsidRDefault="00497DA0" w:rsidP="00497DA0">
      <w:pPr>
        <w:ind w:left="1069"/>
        <w:jc w:val="both"/>
        <w:rPr>
          <w:rFonts w:cs="Calibri"/>
          <w:b/>
          <w:sz w:val="28"/>
          <w:szCs w:val="28"/>
          <w:lang w:val="es-ES"/>
        </w:rPr>
      </w:pPr>
      <w:r>
        <w:rPr>
          <w:rFonts w:cs="Calibri"/>
          <w:b/>
          <w:sz w:val="28"/>
          <w:szCs w:val="28"/>
          <w:lang w:val="es-ES"/>
        </w:rPr>
        <w:t xml:space="preserve">Comercio </w:t>
      </w:r>
    </w:p>
    <w:p w:rsidR="00497DA0" w:rsidRDefault="00497DA0" w:rsidP="00497DA0">
      <w:pPr>
        <w:jc w:val="both"/>
        <w:rPr>
          <w:rFonts w:cs="Calibri"/>
          <w:sz w:val="28"/>
          <w:szCs w:val="28"/>
          <w:u w:val="single"/>
          <w:lang w:val="es-ES"/>
        </w:rPr>
      </w:pPr>
      <w:r>
        <w:rPr>
          <w:rFonts w:cs="Calibri"/>
          <w:sz w:val="28"/>
          <w:szCs w:val="28"/>
          <w:u w:val="single"/>
          <w:lang w:val="es-ES"/>
        </w:rPr>
        <w:t>11.1 Características:</w:t>
      </w:r>
    </w:p>
    <w:p w:rsidR="00497DA0" w:rsidRDefault="00497DA0" w:rsidP="00497DA0">
      <w:pPr>
        <w:jc w:val="both"/>
        <w:rPr>
          <w:rFonts w:cs="Calibri"/>
          <w:sz w:val="28"/>
          <w:szCs w:val="28"/>
          <w:lang w:val="es-ES"/>
        </w:rPr>
      </w:pPr>
      <w:r>
        <w:rPr>
          <w:rFonts w:cs="Calibri"/>
          <w:sz w:val="28"/>
          <w:szCs w:val="28"/>
          <w:lang w:val="es-ES"/>
        </w:rPr>
        <w:t xml:space="preserve">Las actividades económicas predominantes  en el municipio de Riosucio en este sector son el comercio, la prestación de servicios y la industria. De acuerdo con la información de Cámara y Comercio la distribución de porcentajes por actividad o sector comercial es la siguiente: </w:t>
      </w:r>
    </w:p>
    <w:p w:rsidR="00497DA0" w:rsidRDefault="00497DA0" w:rsidP="00497DA0">
      <w:pPr>
        <w:jc w:val="center"/>
        <w:rPr>
          <w:rFonts w:cs="Calibri"/>
          <w:sz w:val="28"/>
          <w:szCs w:val="28"/>
          <w:lang w:val="es-ES"/>
        </w:rPr>
      </w:pPr>
      <w:r>
        <w:rPr>
          <w:noProof/>
          <w:lang w:eastAsia="es-CO"/>
        </w:rPr>
        <w:drawing>
          <wp:anchor distT="0" distB="0" distL="114300" distR="114300" simplePos="0" relativeHeight="251672576" behindDoc="1" locked="0" layoutInCell="1" allowOverlap="1">
            <wp:simplePos x="0" y="0"/>
            <wp:positionH relativeFrom="column">
              <wp:posOffset>-51435</wp:posOffset>
            </wp:positionH>
            <wp:positionV relativeFrom="paragraph">
              <wp:posOffset>129540</wp:posOffset>
            </wp:positionV>
            <wp:extent cx="2276475" cy="2371725"/>
            <wp:effectExtent l="0" t="0" r="9525" b="9525"/>
            <wp:wrapTight wrapText="bothSides">
              <wp:wrapPolygon edited="0">
                <wp:start x="0" y="0"/>
                <wp:lineTo x="0" y="21513"/>
                <wp:lineTo x="21510" y="21513"/>
                <wp:lineTo x="21510" y="0"/>
                <wp:lineTo x="0" y="0"/>
              </wp:wrapPolygon>
            </wp:wrapTight>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76475" cy="2371725"/>
                    </a:xfrm>
                    <a:prstGeom prst="rect">
                      <a:avLst/>
                    </a:prstGeom>
                    <a:noFill/>
                  </pic:spPr>
                </pic:pic>
              </a:graphicData>
            </a:graphic>
          </wp:anchor>
        </w:drawing>
      </w:r>
    </w:p>
    <w:p w:rsidR="00497DA0" w:rsidRDefault="00497DA0" w:rsidP="00497DA0">
      <w:pPr>
        <w:jc w:val="both"/>
        <w:rPr>
          <w:rFonts w:cs="Calibri"/>
          <w:sz w:val="28"/>
          <w:szCs w:val="28"/>
        </w:rPr>
      </w:pPr>
      <w:r>
        <w:rPr>
          <w:rFonts w:cs="Calibri"/>
          <w:sz w:val="28"/>
          <w:szCs w:val="28"/>
          <w:lang w:val="es-ES"/>
        </w:rPr>
        <w:t xml:space="preserve">Sector comercial: </w:t>
      </w:r>
      <w:r>
        <w:rPr>
          <w:rFonts w:cs="Calibri"/>
          <w:sz w:val="28"/>
          <w:szCs w:val="28"/>
        </w:rPr>
        <w:t>En Riosucio funcionan más de 720 establecimientos comerciales e industriales distribuidos 57% comerciales, 39% servicios,  3 % industriales y  1 % financieros. Las doce actividades comerciales  más comunes : tiendas, cafeterías, venta de ropa, cacharrería – piñatería, discotecas- tabernas, suerte y azar, restaurantes, salas de belleza, ferretería, internet, papelerías que suman alrededor del 60% de los negocios.</w:t>
      </w:r>
    </w:p>
    <w:p w:rsidR="00497DA0" w:rsidRDefault="00497DA0" w:rsidP="00497DA0">
      <w:pPr>
        <w:jc w:val="both"/>
        <w:rPr>
          <w:rFonts w:cs="Calibri"/>
          <w:sz w:val="28"/>
          <w:szCs w:val="28"/>
          <w:lang w:val="es-ES"/>
        </w:rPr>
      </w:pPr>
      <w:r>
        <w:rPr>
          <w:rFonts w:cs="Calibri"/>
          <w:sz w:val="28"/>
          <w:szCs w:val="28"/>
        </w:rPr>
        <w:t>Negocios y establecimientos comerciales del municipio de Riosucio:</w:t>
      </w:r>
    </w:p>
    <w:p w:rsidR="00497DA0" w:rsidRDefault="00497DA0" w:rsidP="00497DA0">
      <w:pPr>
        <w:rPr>
          <w:rFonts w:cs="Calibri"/>
          <w:sz w:val="28"/>
          <w:szCs w:val="28"/>
          <w:lang w:val="es-ES"/>
        </w:rPr>
      </w:pPr>
      <w:r>
        <w:rPr>
          <w:noProof/>
          <w:lang w:eastAsia="es-CO"/>
        </w:rPr>
        <w:drawing>
          <wp:anchor distT="0" distB="0" distL="114300" distR="114300" simplePos="0" relativeHeight="251673600" behindDoc="0" locked="0" layoutInCell="1" allowOverlap="1">
            <wp:simplePos x="0" y="0"/>
            <wp:positionH relativeFrom="column">
              <wp:posOffset>1276985</wp:posOffset>
            </wp:positionH>
            <wp:positionV relativeFrom="paragraph">
              <wp:posOffset>1270</wp:posOffset>
            </wp:positionV>
            <wp:extent cx="3056255" cy="1878330"/>
            <wp:effectExtent l="0" t="0" r="0" b="7620"/>
            <wp:wrapSquare wrapText="left"/>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6255" cy="1878330"/>
                    </a:xfrm>
                    <a:prstGeom prst="rect">
                      <a:avLst/>
                    </a:prstGeom>
                    <a:noFill/>
                  </pic:spPr>
                </pic:pic>
              </a:graphicData>
            </a:graphic>
          </wp:anchor>
        </w:drawing>
      </w:r>
    </w:p>
    <w:p w:rsidR="00497DA0" w:rsidRDefault="00497DA0" w:rsidP="00497DA0">
      <w:pPr>
        <w:rPr>
          <w:rFonts w:cs="Calibri"/>
          <w:sz w:val="28"/>
          <w:szCs w:val="28"/>
          <w:lang w:val="es-ES"/>
        </w:rPr>
      </w:pPr>
    </w:p>
    <w:p w:rsidR="00497DA0" w:rsidRDefault="00497DA0" w:rsidP="00497DA0">
      <w:pPr>
        <w:rPr>
          <w:rFonts w:cs="Calibri"/>
          <w:sz w:val="28"/>
          <w:szCs w:val="28"/>
          <w:lang w:val="es-ES"/>
        </w:rPr>
      </w:pPr>
    </w:p>
    <w:p w:rsidR="00497DA0" w:rsidRDefault="00497DA0" w:rsidP="00497DA0">
      <w:pPr>
        <w:rPr>
          <w:rFonts w:cs="Calibri"/>
          <w:sz w:val="28"/>
          <w:szCs w:val="28"/>
          <w:lang w:val="es-ES"/>
        </w:rPr>
      </w:pPr>
    </w:p>
    <w:p w:rsidR="00497DA0" w:rsidRDefault="00497DA0" w:rsidP="00497DA0">
      <w:pPr>
        <w:rPr>
          <w:rFonts w:cs="Calibri"/>
          <w:sz w:val="28"/>
          <w:szCs w:val="28"/>
          <w:lang w:val="es-ES"/>
        </w:rPr>
      </w:pPr>
    </w:p>
    <w:p w:rsidR="00497DA0" w:rsidRDefault="00497DA0" w:rsidP="00497DA0">
      <w:pPr>
        <w:rPr>
          <w:rFonts w:cs="Calibri"/>
          <w:sz w:val="28"/>
          <w:szCs w:val="28"/>
          <w:lang w:val="es-ES"/>
        </w:rPr>
      </w:pPr>
    </w:p>
    <w:p w:rsidR="00497DA0" w:rsidRDefault="00497DA0" w:rsidP="00497DA0">
      <w:pPr>
        <w:jc w:val="both"/>
        <w:rPr>
          <w:rFonts w:cs="Calibri"/>
          <w:sz w:val="28"/>
          <w:szCs w:val="28"/>
        </w:rPr>
      </w:pPr>
      <w:r>
        <w:rPr>
          <w:rFonts w:cs="Calibri"/>
          <w:sz w:val="28"/>
          <w:szCs w:val="28"/>
          <w:lang w:val="es-ES"/>
        </w:rPr>
        <w:t>El sector comercial es un actividad relativamente</w:t>
      </w:r>
      <w:r>
        <w:rPr>
          <w:rFonts w:cs="Calibri"/>
          <w:sz w:val="28"/>
          <w:szCs w:val="28"/>
        </w:rPr>
        <w:t xml:space="preserve"> estable, pues el 70% de los negocios tienen entre 1 y 10 años de actividad, solo el 17% de los establecimientos tienen menos de 1 año de constituidos y en promedio el 75% de los establecimientos comerciales dan cumplimiento a los requisitos de ley.</w:t>
      </w:r>
    </w:p>
    <w:p w:rsidR="00497DA0" w:rsidRDefault="00497DA0" w:rsidP="00497DA0">
      <w:pPr>
        <w:jc w:val="both"/>
        <w:rPr>
          <w:rFonts w:cs="Calibri"/>
          <w:sz w:val="28"/>
          <w:szCs w:val="28"/>
        </w:rPr>
      </w:pPr>
      <w:r>
        <w:rPr>
          <w:rFonts w:cs="Calibri"/>
          <w:sz w:val="28"/>
          <w:szCs w:val="28"/>
        </w:rPr>
        <w:t>La población de la zona rural de acuerdo con su ubicación se desplaza a los diferentes centros poblados para ejercer sus actividades comerciales, así:</w:t>
      </w:r>
    </w:p>
    <w:tbl>
      <w:tblPr>
        <w:tblW w:w="0" w:type="auto"/>
        <w:jc w:val="cente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Look w:val="01E0" w:firstRow="1" w:lastRow="1" w:firstColumn="1" w:lastColumn="1" w:noHBand="0" w:noVBand="0"/>
      </w:tblPr>
      <w:tblGrid>
        <w:gridCol w:w="2045"/>
        <w:gridCol w:w="1548"/>
        <w:gridCol w:w="1499"/>
        <w:gridCol w:w="1458"/>
        <w:gridCol w:w="1426"/>
      </w:tblGrid>
      <w:tr w:rsidR="00497DA0" w:rsidTr="006919A9">
        <w:trPr>
          <w:trHeight w:val="790"/>
          <w:jc w:val="center"/>
        </w:trPr>
        <w:tc>
          <w:tcPr>
            <w:tcW w:w="2045"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color w:val="FF0000"/>
                <w:sz w:val="28"/>
                <w:szCs w:val="28"/>
              </w:rPr>
            </w:pPr>
            <w:r>
              <w:rPr>
                <w:rFonts w:cs="Calibri"/>
                <w:b/>
                <w:bCs/>
                <w:sz w:val="28"/>
                <w:szCs w:val="28"/>
              </w:rPr>
              <w:t>LUGARES</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Cañamomo y Lomaprieta</w:t>
            </w:r>
          </w:p>
        </w:tc>
        <w:tc>
          <w:tcPr>
            <w:tcW w:w="1426"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Escopetera Pirza</w:t>
            </w:r>
          </w:p>
        </w:tc>
        <w:tc>
          <w:tcPr>
            <w:tcW w:w="1431"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Nuestra Señora Candelaria de La Montaña</w:t>
            </w:r>
          </w:p>
        </w:tc>
        <w:tc>
          <w:tcPr>
            <w:tcW w:w="1426"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 xml:space="preserve">San  Lorenzo </w:t>
            </w:r>
          </w:p>
        </w:tc>
      </w:tr>
      <w:tr w:rsidR="00497DA0" w:rsidTr="006919A9">
        <w:trPr>
          <w:trHeight w:val="383"/>
          <w:jc w:val="center"/>
        </w:trPr>
        <w:tc>
          <w:tcPr>
            <w:tcW w:w="2045"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 xml:space="preserve">Riosucio </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79.31</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15.45</w:t>
            </w:r>
          </w:p>
        </w:tc>
        <w:tc>
          <w:tcPr>
            <w:tcW w:w="1431"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95.14</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4.81</w:t>
            </w:r>
          </w:p>
        </w:tc>
      </w:tr>
      <w:tr w:rsidR="00497DA0" w:rsidTr="006919A9">
        <w:trPr>
          <w:trHeight w:val="395"/>
          <w:jc w:val="center"/>
        </w:trPr>
        <w:tc>
          <w:tcPr>
            <w:tcW w:w="2045"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 xml:space="preserve">Supía </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15.70</w:t>
            </w:r>
          </w:p>
        </w:tc>
        <w:tc>
          <w:tcPr>
            <w:tcW w:w="1426"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sz w:val="28"/>
                <w:szCs w:val="28"/>
              </w:rPr>
            </w:pPr>
            <w:r>
              <w:rPr>
                <w:rFonts w:cs="Calibri"/>
                <w:sz w:val="28"/>
                <w:szCs w:val="28"/>
              </w:rPr>
              <w:t>7.29</w:t>
            </w:r>
          </w:p>
        </w:tc>
        <w:tc>
          <w:tcPr>
            <w:tcW w:w="1431" w:type="dxa"/>
            <w:tcBorders>
              <w:top w:val="single" w:sz="8" w:space="0" w:color="9F8AB9"/>
              <w:left w:val="single" w:sz="8" w:space="0" w:color="9F8AB9"/>
              <w:bottom w:val="single" w:sz="8" w:space="0" w:color="9F8AB9"/>
              <w:right w:val="single" w:sz="8" w:space="0" w:color="9F8AB9"/>
            </w:tcBorders>
            <w:shd w:val="clear" w:color="auto" w:fill="BFB1D0"/>
          </w:tcPr>
          <w:p w:rsidR="00497DA0" w:rsidRDefault="00497DA0" w:rsidP="006919A9">
            <w:pPr>
              <w:jc w:val="both"/>
              <w:rPr>
                <w:rFonts w:cs="Calibri"/>
                <w:sz w:val="28"/>
                <w:szCs w:val="28"/>
              </w:rPr>
            </w:pPr>
          </w:p>
        </w:tc>
        <w:tc>
          <w:tcPr>
            <w:tcW w:w="1426"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5.15</w:t>
            </w:r>
          </w:p>
        </w:tc>
      </w:tr>
      <w:tr w:rsidR="00497DA0" w:rsidTr="006919A9">
        <w:trPr>
          <w:trHeight w:val="383"/>
          <w:jc w:val="center"/>
        </w:trPr>
        <w:tc>
          <w:tcPr>
            <w:tcW w:w="2045"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 xml:space="preserve">Bonafont </w:t>
            </w:r>
          </w:p>
        </w:tc>
        <w:tc>
          <w:tcPr>
            <w:tcW w:w="1426" w:type="dxa"/>
            <w:tcBorders>
              <w:top w:val="single" w:sz="8" w:space="0" w:color="9F8AB9"/>
              <w:left w:val="single" w:sz="8" w:space="0" w:color="9F8AB9"/>
              <w:bottom w:val="single" w:sz="8" w:space="0" w:color="9F8AB9"/>
              <w:right w:val="single" w:sz="8" w:space="0" w:color="9F8AB9"/>
            </w:tcBorders>
            <w:shd w:val="clear" w:color="auto" w:fill="BFB1D0"/>
          </w:tcPr>
          <w:p w:rsidR="00497DA0" w:rsidRDefault="00497DA0" w:rsidP="006919A9">
            <w:pPr>
              <w:jc w:val="both"/>
              <w:rPr>
                <w:rFonts w:cs="Calibri"/>
                <w:sz w:val="28"/>
                <w:szCs w:val="28"/>
              </w:rPr>
            </w:pP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71.67</w:t>
            </w:r>
          </w:p>
        </w:tc>
        <w:tc>
          <w:tcPr>
            <w:tcW w:w="1431" w:type="dxa"/>
            <w:tcBorders>
              <w:top w:val="single" w:sz="8" w:space="0" w:color="9F8AB9"/>
              <w:left w:val="single" w:sz="8" w:space="0" w:color="9F8AB9"/>
              <w:bottom w:val="single" w:sz="8" w:space="0" w:color="9F8AB9"/>
              <w:right w:val="single" w:sz="8" w:space="0" w:color="9F8AB9"/>
            </w:tcBorders>
            <w:shd w:val="clear" w:color="auto" w:fill="BFB1D0"/>
          </w:tcPr>
          <w:p w:rsidR="00497DA0" w:rsidRDefault="00497DA0" w:rsidP="006919A9">
            <w:pPr>
              <w:jc w:val="both"/>
              <w:rPr>
                <w:rFonts w:cs="Calibri"/>
                <w:sz w:val="28"/>
                <w:szCs w:val="28"/>
              </w:rPr>
            </w:pPr>
          </w:p>
        </w:tc>
        <w:tc>
          <w:tcPr>
            <w:tcW w:w="1426" w:type="dxa"/>
            <w:tcBorders>
              <w:top w:val="single" w:sz="8" w:space="0" w:color="9F8AB9"/>
              <w:left w:val="single" w:sz="8" w:space="0" w:color="9F8AB9"/>
              <w:bottom w:val="single" w:sz="8" w:space="0" w:color="9F8AB9"/>
              <w:right w:val="single" w:sz="8" w:space="0" w:color="9F8AB9"/>
            </w:tcBorders>
            <w:shd w:val="clear" w:color="auto" w:fill="BFB1D0"/>
          </w:tcPr>
          <w:p w:rsidR="00497DA0" w:rsidRDefault="00497DA0" w:rsidP="006919A9">
            <w:pPr>
              <w:jc w:val="both"/>
              <w:rPr>
                <w:rFonts w:cs="Calibri"/>
                <w:b/>
                <w:bCs/>
                <w:sz w:val="28"/>
                <w:szCs w:val="28"/>
              </w:rPr>
            </w:pPr>
          </w:p>
        </w:tc>
      </w:tr>
      <w:tr w:rsidR="00497DA0" w:rsidTr="006919A9">
        <w:trPr>
          <w:trHeight w:val="395"/>
          <w:jc w:val="center"/>
        </w:trPr>
        <w:tc>
          <w:tcPr>
            <w:tcW w:w="2045"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 xml:space="preserve">San  Lorenzo </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3.06</w:t>
            </w:r>
          </w:p>
        </w:tc>
        <w:tc>
          <w:tcPr>
            <w:tcW w:w="1426" w:type="dxa"/>
            <w:tcBorders>
              <w:top w:val="single" w:sz="8" w:space="0" w:color="9F8AB9"/>
              <w:left w:val="single" w:sz="8" w:space="0" w:color="9F8AB9"/>
              <w:bottom w:val="single" w:sz="8" w:space="0" w:color="9F8AB9"/>
              <w:right w:val="single" w:sz="8" w:space="0" w:color="9F8AB9"/>
            </w:tcBorders>
            <w:shd w:val="clear" w:color="auto" w:fill="DFD8E8"/>
          </w:tcPr>
          <w:p w:rsidR="00497DA0" w:rsidRDefault="00497DA0" w:rsidP="006919A9">
            <w:pPr>
              <w:jc w:val="both"/>
              <w:rPr>
                <w:rFonts w:cs="Calibri"/>
                <w:sz w:val="28"/>
                <w:szCs w:val="28"/>
              </w:rPr>
            </w:pPr>
          </w:p>
        </w:tc>
        <w:tc>
          <w:tcPr>
            <w:tcW w:w="1431"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0.80</w:t>
            </w:r>
          </w:p>
        </w:tc>
        <w:tc>
          <w:tcPr>
            <w:tcW w:w="1426" w:type="dxa"/>
            <w:tcBorders>
              <w:top w:val="single" w:sz="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77.31</w:t>
            </w:r>
          </w:p>
        </w:tc>
      </w:tr>
      <w:tr w:rsidR="00497DA0" w:rsidTr="006919A9">
        <w:trPr>
          <w:trHeight w:val="383"/>
          <w:jc w:val="center"/>
        </w:trPr>
        <w:tc>
          <w:tcPr>
            <w:tcW w:w="2045"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Las  comunidades</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1.91</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3.00</w:t>
            </w:r>
          </w:p>
        </w:tc>
        <w:tc>
          <w:tcPr>
            <w:tcW w:w="1431"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sz w:val="28"/>
                <w:szCs w:val="28"/>
              </w:rPr>
            </w:pPr>
            <w:r>
              <w:rPr>
                <w:rFonts w:cs="Calibri"/>
                <w:sz w:val="28"/>
                <w:szCs w:val="28"/>
              </w:rPr>
              <w:t>3.23</w:t>
            </w:r>
          </w:p>
        </w:tc>
        <w:tc>
          <w:tcPr>
            <w:tcW w:w="1426" w:type="dxa"/>
            <w:tcBorders>
              <w:top w:val="single" w:sz="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12.37</w:t>
            </w:r>
          </w:p>
        </w:tc>
      </w:tr>
      <w:tr w:rsidR="00497DA0" w:rsidTr="006919A9">
        <w:trPr>
          <w:trHeight w:val="395"/>
          <w:jc w:val="center"/>
        </w:trPr>
        <w:tc>
          <w:tcPr>
            <w:tcW w:w="2045" w:type="dxa"/>
            <w:tcBorders>
              <w:top w:val="single" w:sz="1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 xml:space="preserve">Otros </w:t>
            </w:r>
          </w:p>
        </w:tc>
        <w:tc>
          <w:tcPr>
            <w:tcW w:w="1426" w:type="dxa"/>
            <w:tcBorders>
              <w:top w:val="single" w:sz="18" w:space="0" w:color="9F8AB9"/>
              <w:left w:val="single" w:sz="8" w:space="0" w:color="9F8AB9"/>
              <w:bottom w:val="single" w:sz="8" w:space="0" w:color="9F8AB9"/>
              <w:right w:val="single" w:sz="8" w:space="0" w:color="9F8AB9"/>
            </w:tcBorders>
            <w:shd w:val="clear" w:color="auto" w:fill="BFB1D0"/>
          </w:tcPr>
          <w:p w:rsidR="00497DA0" w:rsidRDefault="00497DA0" w:rsidP="006919A9">
            <w:pPr>
              <w:jc w:val="both"/>
              <w:rPr>
                <w:rFonts w:cs="Calibri"/>
                <w:b/>
                <w:bCs/>
                <w:sz w:val="28"/>
                <w:szCs w:val="28"/>
              </w:rPr>
            </w:pPr>
          </w:p>
        </w:tc>
        <w:tc>
          <w:tcPr>
            <w:tcW w:w="1426" w:type="dxa"/>
            <w:tcBorders>
              <w:top w:val="single" w:sz="1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2.57</w:t>
            </w:r>
          </w:p>
        </w:tc>
        <w:tc>
          <w:tcPr>
            <w:tcW w:w="1431" w:type="dxa"/>
            <w:tcBorders>
              <w:top w:val="single" w:sz="18" w:space="0" w:color="9F8AB9"/>
              <w:left w:val="single" w:sz="8" w:space="0" w:color="9F8AB9"/>
              <w:bottom w:val="single" w:sz="8" w:space="0" w:color="9F8AB9"/>
              <w:right w:val="single" w:sz="8" w:space="0" w:color="9F8AB9"/>
            </w:tcBorders>
            <w:shd w:val="clear" w:color="auto" w:fill="BFB1D0"/>
            <w:hideMark/>
          </w:tcPr>
          <w:p w:rsidR="00497DA0" w:rsidRDefault="00497DA0" w:rsidP="006919A9">
            <w:pPr>
              <w:jc w:val="both"/>
              <w:rPr>
                <w:rFonts w:cs="Calibri"/>
                <w:b/>
                <w:bCs/>
                <w:sz w:val="28"/>
                <w:szCs w:val="28"/>
              </w:rPr>
            </w:pPr>
            <w:r>
              <w:rPr>
                <w:rFonts w:cs="Calibri"/>
                <w:b/>
                <w:bCs/>
                <w:sz w:val="28"/>
                <w:szCs w:val="28"/>
              </w:rPr>
              <w:t>0.80</w:t>
            </w:r>
          </w:p>
        </w:tc>
        <w:tc>
          <w:tcPr>
            <w:tcW w:w="1426" w:type="dxa"/>
            <w:tcBorders>
              <w:top w:val="single" w:sz="18" w:space="0" w:color="9F8AB9"/>
              <w:left w:val="single" w:sz="8" w:space="0" w:color="9F8AB9"/>
              <w:bottom w:val="single" w:sz="8" w:space="0" w:color="9F8AB9"/>
              <w:right w:val="single" w:sz="8" w:space="0" w:color="9F8AB9"/>
            </w:tcBorders>
            <w:shd w:val="clear" w:color="auto" w:fill="DFD8E8"/>
            <w:hideMark/>
          </w:tcPr>
          <w:p w:rsidR="00497DA0" w:rsidRDefault="00497DA0" w:rsidP="006919A9">
            <w:pPr>
              <w:jc w:val="both"/>
              <w:rPr>
                <w:rFonts w:cs="Calibri"/>
                <w:b/>
                <w:bCs/>
                <w:sz w:val="28"/>
                <w:szCs w:val="28"/>
              </w:rPr>
            </w:pPr>
            <w:r>
              <w:rPr>
                <w:rFonts w:cs="Calibri"/>
                <w:b/>
                <w:bCs/>
                <w:sz w:val="28"/>
                <w:szCs w:val="28"/>
              </w:rPr>
              <w:t>0.34</w:t>
            </w:r>
          </w:p>
        </w:tc>
      </w:tr>
    </w:tbl>
    <w:p w:rsidR="00497DA0" w:rsidRDefault="00497DA0" w:rsidP="00497DA0">
      <w:pPr>
        <w:jc w:val="both"/>
        <w:rPr>
          <w:rFonts w:cs="Calibri"/>
          <w:sz w:val="28"/>
          <w:szCs w:val="28"/>
        </w:rPr>
      </w:pPr>
    </w:p>
    <w:p w:rsidR="00497DA0" w:rsidRDefault="00497DA0" w:rsidP="00497DA0">
      <w:pPr>
        <w:jc w:val="both"/>
        <w:rPr>
          <w:rFonts w:cs="Calibri"/>
          <w:sz w:val="28"/>
          <w:szCs w:val="28"/>
        </w:rPr>
      </w:pPr>
      <w:r>
        <w:rPr>
          <w:rFonts w:cs="Calibri"/>
          <w:sz w:val="28"/>
          <w:szCs w:val="28"/>
        </w:rPr>
        <w:t xml:space="preserve">El 31.5% de las empresas comerciales de Riosucio afirman  que el volumen de sus ventas está entre 3.000  y 10.000 unidades. Las empresas con mayor </w:t>
      </w:r>
      <w:r>
        <w:rPr>
          <w:rFonts w:cs="Calibri"/>
          <w:sz w:val="28"/>
          <w:szCs w:val="28"/>
        </w:rPr>
        <w:lastRenderedPageBreak/>
        <w:t>rango de  producción  son las de confecciones debido a sus mercados, regionales, nacionales e internacionales.</w:t>
      </w:r>
      <w:r>
        <w:rPr>
          <w:rFonts w:cs="Calibri"/>
          <w:sz w:val="28"/>
          <w:szCs w:val="28"/>
          <w:vertAlign w:val="superscript"/>
        </w:rPr>
        <w:footnoteReference w:id="12"/>
      </w:r>
    </w:p>
    <w:p w:rsidR="00497DA0" w:rsidRDefault="00497DA0" w:rsidP="00497DA0">
      <w:pPr>
        <w:ind w:firstLine="708"/>
        <w:jc w:val="both"/>
        <w:rPr>
          <w:rFonts w:cs="Calibri"/>
          <w:b/>
          <w:sz w:val="28"/>
          <w:szCs w:val="28"/>
        </w:rPr>
      </w:pPr>
      <w:r>
        <w:rPr>
          <w:rFonts w:cs="Calibri"/>
          <w:b/>
          <w:sz w:val="28"/>
          <w:szCs w:val="28"/>
        </w:rPr>
        <w:t xml:space="preserve">Sector agropecuario: </w:t>
      </w:r>
    </w:p>
    <w:p w:rsidR="00497DA0" w:rsidRDefault="00497DA0" w:rsidP="00497DA0">
      <w:pPr>
        <w:jc w:val="both"/>
        <w:rPr>
          <w:rFonts w:cs="Calibri"/>
          <w:sz w:val="28"/>
          <w:szCs w:val="28"/>
        </w:rPr>
      </w:pPr>
      <w:r>
        <w:rPr>
          <w:rFonts w:cs="Calibri"/>
          <w:sz w:val="28"/>
          <w:szCs w:val="28"/>
        </w:rPr>
        <w:t>La producción agrícola del municipio se basa principalmente en café, caña, pastos, plátano, banano, maíz, fríjol y frutales de clima frío, dichos cultivos se desarrollan en su mayoría en las zonas rurales de los resguardos indígenas del municipio.</w:t>
      </w:r>
    </w:p>
    <w:tbl>
      <w:tblPr>
        <w:tblW w:w="0" w:type="auto"/>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1E0" w:firstRow="1" w:lastRow="1" w:firstColumn="1" w:lastColumn="1" w:noHBand="0" w:noVBand="0"/>
      </w:tblPr>
      <w:tblGrid>
        <w:gridCol w:w="1602"/>
        <w:gridCol w:w="1548"/>
        <w:gridCol w:w="1499"/>
        <w:gridCol w:w="1537"/>
        <w:gridCol w:w="1366"/>
        <w:gridCol w:w="1502"/>
      </w:tblGrid>
      <w:tr w:rsidR="00497DA0" w:rsidTr="006919A9">
        <w:tc>
          <w:tcPr>
            <w:tcW w:w="9054" w:type="dxa"/>
            <w:gridSpan w:val="6"/>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center"/>
              <w:rPr>
                <w:rFonts w:cs="Calibri"/>
                <w:b/>
                <w:bCs/>
                <w:sz w:val="28"/>
                <w:szCs w:val="28"/>
              </w:rPr>
            </w:pPr>
            <w:r>
              <w:rPr>
                <w:rFonts w:cs="Calibri"/>
                <w:b/>
                <w:bCs/>
                <w:sz w:val="28"/>
                <w:szCs w:val="28"/>
              </w:rPr>
              <w:t>ESTIMATIVO DE HECTAREAS DE LOS PRINCIPALES CULTIVOS POR RESGUARDO</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Cultivo</w:t>
            </w:r>
          </w:p>
        </w:tc>
        <w:tc>
          <w:tcPr>
            <w:tcW w:w="1387" w:type="dxa"/>
            <w:tcBorders>
              <w:top w:val="single" w:sz="8" w:space="0" w:color="B3CC82"/>
              <w:left w:val="single" w:sz="8" w:space="0" w:color="B3CC82"/>
              <w:bottom w:val="single" w:sz="8" w:space="0" w:color="B3CC82"/>
              <w:right w:val="single" w:sz="8" w:space="0" w:color="B3CC82"/>
            </w:tcBorders>
            <w:shd w:val="clear" w:color="auto" w:fill="CDDDAC"/>
          </w:tcPr>
          <w:p w:rsidR="00497DA0" w:rsidRDefault="00497DA0" w:rsidP="006919A9">
            <w:pPr>
              <w:jc w:val="both"/>
              <w:rPr>
                <w:rFonts w:cs="Calibri"/>
                <w:b/>
                <w:sz w:val="28"/>
                <w:szCs w:val="28"/>
              </w:rPr>
            </w:pPr>
          </w:p>
          <w:p w:rsidR="00497DA0" w:rsidRDefault="00497DA0" w:rsidP="006919A9">
            <w:pPr>
              <w:jc w:val="both"/>
              <w:rPr>
                <w:rFonts w:cs="Calibri"/>
                <w:b/>
                <w:sz w:val="28"/>
                <w:szCs w:val="28"/>
              </w:rPr>
            </w:pPr>
            <w:r>
              <w:rPr>
                <w:rFonts w:cs="Calibri"/>
                <w:b/>
                <w:sz w:val="28"/>
                <w:szCs w:val="28"/>
              </w:rPr>
              <w:t>Cañamomo y Lomaprieta</w:t>
            </w:r>
          </w:p>
        </w:tc>
        <w:tc>
          <w:tcPr>
            <w:tcW w:w="1476" w:type="dxa"/>
            <w:tcBorders>
              <w:top w:val="single" w:sz="8" w:space="0" w:color="B3CC82"/>
              <w:left w:val="single" w:sz="8" w:space="0" w:color="B3CC82"/>
              <w:bottom w:val="single" w:sz="8" w:space="0" w:color="B3CC82"/>
              <w:right w:val="single" w:sz="8" w:space="0" w:color="B3CC82"/>
            </w:tcBorders>
            <w:shd w:val="clear" w:color="auto" w:fill="CDDDAC"/>
          </w:tcPr>
          <w:p w:rsidR="00497DA0" w:rsidRDefault="00497DA0" w:rsidP="006919A9">
            <w:pPr>
              <w:jc w:val="both"/>
              <w:rPr>
                <w:rFonts w:cs="Calibri"/>
                <w:b/>
                <w:sz w:val="28"/>
                <w:szCs w:val="28"/>
              </w:rPr>
            </w:pPr>
          </w:p>
          <w:p w:rsidR="00497DA0" w:rsidRDefault="00497DA0" w:rsidP="006919A9">
            <w:pPr>
              <w:jc w:val="both"/>
              <w:rPr>
                <w:rFonts w:cs="Calibri"/>
                <w:b/>
                <w:sz w:val="28"/>
                <w:szCs w:val="28"/>
              </w:rPr>
            </w:pPr>
            <w:r>
              <w:rPr>
                <w:rFonts w:cs="Calibri"/>
                <w:b/>
                <w:sz w:val="28"/>
                <w:szCs w:val="28"/>
              </w:rPr>
              <w:t>Escopetera Pirza</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sz w:val="28"/>
                <w:szCs w:val="28"/>
              </w:rPr>
            </w:pPr>
            <w:r>
              <w:rPr>
                <w:rFonts w:cs="Calibri"/>
                <w:b/>
                <w:sz w:val="28"/>
                <w:szCs w:val="28"/>
              </w:rPr>
              <w:t>Nuestra Señora Candelaria de La Montaña</w:t>
            </w:r>
          </w:p>
        </w:tc>
        <w:tc>
          <w:tcPr>
            <w:tcW w:w="1414" w:type="dxa"/>
            <w:tcBorders>
              <w:top w:val="single" w:sz="8" w:space="0" w:color="B3CC82"/>
              <w:left w:val="single" w:sz="8" w:space="0" w:color="B3CC82"/>
              <w:bottom w:val="single" w:sz="8" w:space="0" w:color="B3CC82"/>
              <w:right w:val="single" w:sz="8" w:space="0" w:color="B3CC82"/>
            </w:tcBorders>
            <w:shd w:val="clear" w:color="auto" w:fill="CDDDAC"/>
          </w:tcPr>
          <w:p w:rsidR="00497DA0" w:rsidRDefault="00497DA0" w:rsidP="006919A9">
            <w:pPr>
              <w:jc w:val="both"/>
              <w:rPr>
                <w:rFonts w:cs="Calibri"/>
                <w:b/>
                <w:sz w:val="28"/>
                <w:szCs w:val="28"/>
              </w:rPr>
            </w:pPr>
          </w:p>
          <w:p w:rsidR="00497DA0" w:rsidRDefault="00497DA0" w:rsidP="006919A9">
            <w:pPr>
              <w:jc w:val="both"/>
              <w:rPr>
                <w:rFonts w:cs="Calibri"/>
                <w:b/>
                <w:sz w:val="28"/>
                <w:szCs w:val="28"/>
              </w:rPr>
            </w:pPr>
            <w:r>
              <w:rPr>
                <w:rFonts w:cs="Calibri"/>
                <w:b/>
                <w:sz w:val="28"/>
                <w:szCs w:val="28"/>
              </w:rPr>
              <w:t>San  Lorenzo</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TOTAL</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 xml:space="preserve">Aguacate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1,310</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5,614</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2,136</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0,209</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9,269</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 xml:space="preserve">Ahuyama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0,220</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0,154</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0,084</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0,508</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0,966</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 xml:space="preserve">Arracacha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2,500</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0,609</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2,704</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11,781</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17,594</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 xml:space="preserve">Arveja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 </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 </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1,649</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0,454</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2,103</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 xml:space="preserve">Banano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12,510</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58,931</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5,767</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1,345</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78,553</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 xml:space="preserve">Cacao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21,051</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60,128</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2,548</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6,472</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90,199</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 xml:space="preserve">Caña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561,980</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569,969</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143,523</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251,008</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1.526,480</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lastRenderedPageBreak/>
              <w:t>Caucho</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3,523</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11,649</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 </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 </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15,172</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 xml:space="preserve">Chontaduro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0,889</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 </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28,263</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0,008</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29,160</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 xml:space="preserve">Cítricos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17,315</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17,268</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22,256</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18,615</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75,454</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 xml:space="preserve">Fríjol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8,547</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23,395</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155,525</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68,979</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256,446</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 xml:space="preserve">Guanábana </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4,022</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2,299</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0,981</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0,079</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7,381</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Guayaba</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0,550</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1,057</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0,959</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0,056</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2,622</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Guineo</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0,794</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 </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4,029</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0,410</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5,233</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Maíz</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35,072</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28,641</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99,056</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94,849</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257,619</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Mango</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2,350</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1,511</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1,806</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0,123</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5,790</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Mora</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0,007</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 </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50,136</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6,954</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57,097</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Papaya</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0,150</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0,310</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0,165</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0,067</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0,692</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Pasto</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319,658</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340,162</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2.958,135</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1.160,989</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4.778,945</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Pasto  de corte</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4,106</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6,538</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12,695</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8,960</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32,299</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Piña</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0,079</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0,158</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0,103</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0,125</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0,465</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Plantas medicinales</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1,466</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0,147</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3,114</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0,033</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4,760</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Plátano</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121,286</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76,773</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179,806</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203,544</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581,409</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Rastrojo</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20,170</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22,819</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85,305</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0,744</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129,038</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Tomate</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0,002</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6,883</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0,630</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 </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7,515</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Tomate de árbol</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0,034</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0,219</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32,400</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0,870</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33,523</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lastRenderedPageBreak/>
              <w:t>Yuca</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16,949</w:t>
            </w:r>
          </w:p>
        </w:tc>
        <w:tc>
          <w:tcPr>
            <w:tcW w:w="1476"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84,558</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17,633</w:t>
            </w:r>
          </w:p>
        </w:tc>
        <w:tc>
          <w:tcPr>
            <w:tcW w:w="1414"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sz w:val="28"/>
                <w:szCs w:val="28"/>
              </w:rPr>
            </w:pPr>
            <w:r>
              <w:rPr>
                <w:rFonts w:cs="Calibri"/>
                <w:sz w:val="28"/>
                <w:szCs w:val="28"/>
              </w:rPr>
              <w:t>26,107</w:t>
            </w:r>
          </w:p>
        </w:tc>
        <w:tc>
          <w:tcPr>
            <w:tcW w:w="1519" w:type="dxa"/>
            <w:tcBorders>
              <w:top w:val="single" w:sz="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145,247</w:t>
            </w:r>
          </w:p>
        </w:tc>
      </w:tr>
      <w:tr w:rsidR="00497DA0" w:rsidTr="006919A9">
        <w:tc>
          <w:tcPr>
            <w:tcW w:w="1303"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Hortalizas</w:t>
            </w:r>
          </w:p>
        </w:tc>
        <w:tc>
          <w:tcPr>
            <w:tcW w:w="1387"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2.070</w:t>
            </w:r>
          </w:p>
        </w:tc>
        <w:tc>
          <w:tcPr>
            <w:tcW w:w="1476"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1.334 </w:t>
            </w:r>
          </w:p>
        </w:tc>
        <w:tc>
          <w:tcPr>
            <w:tcW w:w="1955"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 12.331</w:t>
            </w:r>
          </w:p>
        </w:tc>
        <w:tc>
          <w:tcPr>
            <w:tcW w:w="1414"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sz w:val="28"/>
                <w:szCs w:val="28"/>
              </w:rPr>
            </w:pPr>
            <w:r>
              <w:rPr>
                <w:rFonts w:cs="Calibri"/>
                <w:sz w:val="28"/>
                <w:szCs w:val="28"/>
              </w:rPr>
              <w:t>2.456</w:t>
            </w:r>
          </w:p>
        </w:tc>
        <w:tc>
          <w:tcPr>
            <w:tcW w:w="1519" w:type="dxa"/>
            <w:tcBorders>
              <w:top w:val="single" w:sz="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18.191</w:t>
            </w:r>
          </w:p>
        </w:tc>
      </w:tr>
      <w:tr w:rsidR="00497DA0" w:rsidTr="006919A9">
        <w:tc>
          <w:tcPr>
            <w:tcW w:w="1303" w:type="dxa"/>
            <w:tcBorders>
              <w:top w:val="single" w:sz="1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 </w:t>
            </w:r>
          </w:p>
        </w:tc>
        <w:tc>
          <w:tcPr>
            <w:tcW w:w="1387" w:type="dxa"/>
            <w:tcBorders>
              <w:top w:val="single" w:sz="1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1.816,113</w:t>
            </w:r>
          </w:p>
        </w:tc>
        <w:tc>
          <w:tcPr>
            <w:tcW w:w="1476" w:type="dxa"/>
            <w:tcBorders>
              <w:top w:val="single" w:sz="1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1.838,132</w:t>
            </w:r>
          </w:p>
        </w:tc>
        <w:tc>
          <w:tcPr>
            <w:tcW w:w="1955" w:type="dxa"/>
            <w:tcBorders>
              <w:top w:val="single" w:sz="18" w:space="0" w:color="B3CC82"/>
              <w:left w:val="single" w:sz="8" w:space="0" w:color="B3CC82"/>
              <w:bottom w:val="single" w:sz="8" w:space="0" w:color="B3CC82"/>
              <w:right w:val="single" w:sz="8" w:space="0" w:color="B3CC82"/>
            </w:tcBorders>
            <w:shd w:val="clear" w:color="auto" w:fill="CDDDAC"/>
            <w:hideMark/>
          </w:tcPr>
          <w:p w:rsidR="00497DA0" w:rsidRDefault="00497DA0" w:rsidP="006919A9">
            <w:pPr>
              <w:jc w:val="both"/>
              <w:rPr>
                <w:rFonts w:cs="Calibri"/>
                <w:b/>
                <w:bCs/>
                <w:sz w:val="28"/>
                <w:szCs w:val="28"/>
              </w:rPr>
            </w:pPr>
            <w:r>
              <w:rPr>
                <w:rFonts w:cs="Calibri"/>
                <w:b/>
                <w:bCs/>
                <w:sz w:val="28"/>
                <w:szCs w:val="28"/>
              </w:rPr>
              <w:t>5.279,295</w:t>
            </w:r>
          </w:p>
        </w:tc>
        <w:tc>
          <w:tcPr>
            <w:tcW w:w="1414" w:type="dxa"/>
            <w:tcBorders>
              <w:top w:val="single" w:sz="1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2.779,539</w:t>
            </w:r>
          </w:p>
        </w:tc>
        <w:tc>
          <w:tcPr>
            <w:tcW w:w="1519" w:type="dxa"/>
            <w:tcBorders>
              <w:top w:val="single" w:sz="18" w:space="0" w:color="B3CC82"/>
              <w:left w:val="single" w:sz="8" w:space="0" w:color="B3CC82"/>
              <w:bottom w:val="single" w:sz="8" w:space="0" w:color="B3CC82"/>
              <w:right w:val="single" w:sz="8" w:space="0" w:color="B3CC82"/>
            </w:tcBorders>
            <w:shd w:val="clear" w:color="auto" w:fill="E6EED5"/>
            <w:hideMark/>
          </w:tcPr>
          <w:p w:rsidR="00497DA0" w:rsidRDefault="00497DA0" w:rsidP="006919A9">
            <w:pPr>
              <w:jc w:val="both"/>
              <w:rPr>
                <w:rFonts w:cs="Calibri"/>
                <w:b/>
                <w:bCs/>
                <w:sz w:val="28"/>
                <w:szCs w:val="28"/>
              </w:rPr>
            </w:pPr>
            <w:r>
              <w:rPr>
                <w:rFonts w:cs="Calibri"/>
                <w:b/>
                <w:bCs/>
                <w:sz w:val="28"/>
                <w:szCs w:val="28"/>
              </w:rPr>
              <w:t>11.713,080</w:t>
            </w:r>
          </w:p>
        </w:tc>
      </w:tr>
    </w:tbl>
    <w:p w:rsidR="00497DA0" w:rsidRDefault="00497DA0" w:rsidP="00497DA0">
      <w:pPr>
        <w:jc w:val="both"/>
        <w:rPr>
          <w:rFonts w:cs="Calibri"/>
          <w:sz w:val="28"/>
          <w:szCs w:val="28"/>
        </w:rPr>
      </w:pPr>
    </w:p>
    <w:p w:rsidR="00497DA0" w:rsidRDefault="00497DA0" w:rsidP="00497DA0">
      <w:pPr>
        <w:jc w:val="both"/>
        <w:rPr>
          <w:rFonts w:cs="Calibri"/>
          <w:sz w:val="28"/>
          <w:szCs w:val="28"/>
        </w:rPr>
      </w:pPr>
      <w:r>
        <w:rPr>
          <w:rFonts w:cs="Calibri"/>
          <w:sz w:val="28"/>
          <w:szCs w:val="28"/>
        </w:rPr>
        <w:t xml:space="preserve">En el municipio hay 6.715 fincas cafeteras que representan a 4.623 productores, Riosucio se distingue por ofertar una gran variedad de cafés  sociales y especiales por tasa, en promedio la producción de este tipo de cafés es de 1.000.000 kilos por año. Actualmente hay dos asociaciones que están produciendo café para consumo directo: ASICAFE y ASPROCAFE, ambas cuentan con planta de café para </w:t>
      </w:r>
      <w:proofErr w:type="spellStart"/>
      <w:r>
        <w:rPr>
          <w:rFonts w:cs="Calibri"/>
          <w:sz w:val="28"/>
          <w:szCs w:val="28"/>
        </w:rPr>
        <w:t>tostión</w:t>
      </w:r>
      <w:proofErr w:type="spellEnd"/>
      <w:r>
        <w:rPr>
          <w:rFonts w:cs="Calibri"/>
          <w:sz w:val="28"/>
          <w:szCs w:val="28"/>
        </w:rPr>
        <w:t>.</w:t>
      </w:r>
    </w:p>
    <w:p w:rsidR="00497DA0" w:rsidRDefault="00497DA0" w:rsidP="00497DA0">
      <w:pPr>
        <w:jc w:val="both"/>
        <w:rPr>
          <w:rFonts w:cs="Calibri"/>
          <w:sz w:val="28"/>
          <w:szCs w:val="28"/>
        </w:rPr>
      </w:pPr>
      <w:r>
        <w:rPr>
          <w:rFonts w:cs="Calibri"/>
          <w:sz w:val="28"/>
          <w:szCs w:val="28"/>
        </w:rPr>
        <w:t>Otra producción agrícola importante del municipio es la de panela, actualmente en el municipio existen varias organizaciones  de pequeños productores paneleros como  AIMPAS Y AIPAN, la mayoría de los trapiches son de carácter comunitario: En el Resguardo de san Lorenzo existen 60 trapiches comunitarios, en Cañamomo Lomaprieta 150, en Escopetera Pirza 87 y en la Montaña 15.</w:t>
      </w:r>
    </w:p>
    <w:p w:rsidR="00497DA0" w:rsidRDefault="00497DA0" w:rsidP="00497DA0">
      <w:pPr>
        <w:jc w:val="both"/>
        <w:rPr>
          <w:rFonts w:cs="Calibri"/>
          <w:sz w:val="28"/>
          <w:szCs w:val="28"/>
        </w:rPr>
      </w:pPr>
      <w:r>
        <w:rPr>
          <w:rFonts w:cs="Calibri"/>
          <w:sz w:val="28"/>
          <w:szCs w:val="28"/>
        </w:rPr>
        <w:t>Un tercer subsector del sector agropecuario es la ganadería, en la actualidad la producción de leche en el municipio es de 3.2  litros de leche/animal que es muy baja y la producción de carne es en promedio por animal al momento de sacrificio de 430 a 450 kl.</w:t>
      </w:r>
    </w:p>
    <w:p w:rsidR="00497DA0" w:rsidRDefault="00497DA0" w:rsidP="00497DA0">
      <w:pPr>
        <w:jc w:val="both"/>
        <w:rPr>
          <w:rFonts w:cs="Calibri"/>
          <w:sz w:val="28"/>
          <w:szCs w:val="28"/>
        </w:rPr>
      </w:pPr>
      <w:r>
        <w:rPr>
          <w:rFonts w:cs="Calibri"/>
          <w:sz w:val="28"/>
          <w:szCs w:val="28"/>
        </w:rPr>
        <w:t xml:space="preserve">En materia de tenencia de la tierra en el municipio, el 95.9% de las familias de la zona rural residen en su propia  finca, solo un 4.1% son propietarios ausentes.   La relación por resguardos y tenencia de la tierra es la siguiente: en Cañamomo y Lomaprieta  el 97.56% de las familias residen en su propia finca, en Escopetera Pirza el 94.81%, en Nuestra Señora Candelaria de la Montaña el 93% y en San Lorenzo el 97.81%.  Lo que indica que la mayoría de los predios del municipio están habitados por sus propios dueños. El título de propiedad que predomina en el municipio es la adjudicación, la cual corresponde al 77% de los predios; otros títulos son la escritura pública  18%, </w:t>
      </w:r>
      <w:r>
        <w:rPr>
          <w:rFonts w:cs="Calibri"/>
          <w:sz w:val="28"/>
          <w:szCs w:val="28"/>
        </w:rPr>
        <w:lastRenderedPageBreak/>
        <w:t xml:space="preserve">Documento de compraventa 2.3%,  otros el 2.7% (Documento del </w:t>
      </w:r>
      <w:proofErr w:type="spellStart"/>
      <w:r>
        <w:rPr>
          <w:rFonts w:cs="Calibri"/>
          <w:sz w:val="28"/>
          <w:szCs w:val="28"/>
        </w:rPr>
        <w:t>Incora</w:t>
      </w:r>
      <w:proofErr w:type="spellEnd"/>
      <w:r>
        <w:rPr>
          <w:rFonts w:cs="Calibri"/>
          <w:sz w:val="28"/>
          <w:szCs w:val="28"/>
        </w:rPr>
        <w:t>, Ninguno)</w:t>
      </w:r>
    </w:p>
    <w:p w:rsidR="00497DA0" w:rsidRDefault="00497DA0" w:rsidP="00497DA0">
      <w:pPr>
        <w:jc w:val="both"/>
        <w:rPr>
          <w:rFonts w:cs="Calibri"/>
          <w:sz w:val="28"/>
          <w:szCs w:val="28"/>
        </w:rPr>
      </w:pPr>
      <w:r>
        <w:rPr>
          <w:rFonts w:cs="Calibri"/>
          <w:sz w:val="28"/>
          <w:szCs w:val="28"/>
        </w:rPr>
        <w:t xml:space="preserve">El  42.86% de los predios del municipio son menores de una (1)  </w:t>
      </w:r>
      <w:proofErr w:type="spellStart"/>
      <w:r>
        <w:rPr>
          <w:rFonts w:cs="Calibri"/>
          <w:sz w:val="28"/>
          <w:szCs w:val="28"/>
        </w:rPr>
        <w:t>hectarea</w:t>
      </w:r>
      <w:proofErr w:type="spellEnd"/>
      <w:r>
        <w:rPr>
          <w:rFonts w:cs="Calibri"/>
          <w:sz w:val="28"/>
          <w:szCs w:val="28"/>
        </w:rPr>
        <w:t xml:space="preserve">, el 40.4% están entre 1 ha y 3 has y el 16.54 %  son mayores de 3 has.  Estos rangos de área de predios son similares  para cada uno de los resguardos. La mayoría de los predios están compuestos de una o varias parcelas que se encuentran separadas por otras fincas, o en comunidades diferentes.  El 46.74% de los predios están compuestos por  una sola parcela; y el 53.26% de las fincas están conformadas por dos o más predios. </w:t>
      </w:r>
    </w:p>
    <w:p w:rsidR="00497DA0" w:rsidRDefault="00497DA0" w:rsidP="00497DA0">
      <w:pPr>
        <w:jc w:val="both"/>
        <w:rPr>
          <w:rFonts w:cs="Calibri"/>
          <w:sz w:val="28"/>
          <w:szCs w:val="28"/>
        </w:rPr>
      </w:pPr>
      <w:r>
        <w:rPr>
          <w:rFonts w:cs="Calibri"/>
          <w:sz w:val="28"/>
          <w:szCs w:val="28"/>
        </w:rPr>
        <w:t xml:space="preserve">Vale la pena señalar  que la comercialización de los productos agropecuarios se hace principalmente en la plaza de mercado los días sábados y miércoles; existen en el municipio unos pocos intermediaros que controlan el mercado.  También se distribuyen productos para los municipios de  Supía, Caramanta y Quinchía.  Algunos  productos como plátano, mora, cítricos, tomate,  salen del municipio  sin pasar por la plaza de mercado para ser vendidos en otras ciudades  </w:t>
      </w:r>
    </w:p>
    <w:p w:rsidR="00497DA0" w:rsidRDefault="00497DA0" w:rsidP="00497DA0">
      <w:pPr>
        <w:jc w:val="both"/>
        <w:rPr>
          <w:rFonts w:cs="Calibri"/>
          <w:sz w:val="28"/>
          <w:szCs w:val="28"/>
        </w:rPr>
      </w:pPr>
      <w:r>
        <w:rPr>
          <w:rFonts w:cs="Calibri"/>
          <w:sz w:val="28"/>
          <w:szCs w:val="28"/>
        </w:rPr>
        <w:t xml:space="preserve">La comercialización de especies pecuarias se realiza en la feria ganadera que tiene lugar el último miércoles de cada mes.  El ganado vacuno que se comercializa proviene principalmente de la Costa Atlántica,  de los departamentos de Magdalena, Córdoba y Cesar;  al interior del municipio el ganado proviene de  las comunidades de El Oro, El Ruby, </w:t>
      </w:r>
      <w:proofErr w:type="spellStart"/>
      <w:r>
        <w:rPr>
          <w:rFonts w:cs="Calibri"/>
          <w:sz w:val="28"/>
          <w:szCs w:val="28"/>
        </w:rPr>
        <w:t>Cábarga</w:t>
      </w:r>
      <w:proofErr w:type="spellEnd"/>
      <w:r>
        <w:rPr>
          <w:rFonts w:cs="Calibri"/>
          <w:sz w:val="28"/>
          <w:szCs w:val="28"/>
        </w:rPr>
        <w:t xml:space="preserve">, </w:t>
      </w:r>
      <w:proofErr w:type="spellStart"/>
      <w:r>
        <w:rPr>
          <w:rFonts w:cs="Calibri"/>
          <w:sz w:val="28"/>
          <w:szCs w:val="28"/>
        </w:rPr>
        <w:t>Pirza</w:t>
      </w:r>
      <w:proofErr w:type="spellEnd"/>
      <w:r>
        <w:rPr>
          <w:rFonts w:cs="Calibri"/>
          <w:sz w:val="28"/>
          <w:szCs w:val="28"/>
        </w:rPr>
        <w:t xml:space="preserve">, </w:t>
      </w:r>
      <w:proofErr w:type="spellStart"/>
      <w:r>
        <w:rPr>
          <w:rFonts w:cs="Calibri"/>
          <w:sz w:val="28"/>
          <w:szCs w:val="28"/>
        </w:rPr>
        <w:t>Jagüero</w:t>
      </w:r>
      <w:proofErr w:type="spellEnd"/>
      <w:r>
        <w:rPr>
          <w:rFonts w:cs="Calibri"/>
          <w:sz w:val="28"/>
          <w:szCs w:val="28"/>
        </w:rPr>
        <w:t xml:space="preserve">  y Agua Bonita, entre otras. Los cerdos que se comercializan entran principalmente de Jardín Antioquia y de comunidades como Llano Grande, El Ruby, Getsemaní y El Oro.</w:t>
      </w:r>
    </w:p>
    <w:p w:rsidR="00497DA0" w:rsidRDefault="00497DA0" w:rsidP="00497DA0">
      <w:pPr>
        <w:ind w:firstLine="708"/>
        <w:jc w:val="both"/>
        <w:rPr>
          <w:rFonts w:cs="Calibri"/>
          <w:b/>
          <w:sz w:val="28"/>
          <w:szCs w:val="28"/>
        </w:rPr>
      </w:pPr>
      <w:r>
        <w:rPr>
          <w:rFonts w:cs="Calibri"/>
          <w:b/>
          <w:sz w:val="28"/>
          <w:szCs w:val="28"/>
        </w:rPr>
        <w:t xml:space="preserve">Sector minero: </w:t>
      </w:r>
    </w:p>
    <w:p w:rsidR="00497DA0" w:rsidRDefault="00497DA0" w:rsidP="00497DA0">
      <w:pPr>
        <w:jc w:val="both"/>
        <w:rPr>
          <w:rFonts w:cs="Calibri"/>
          <w:sz w:val="28"/>
          <w:szCs w:val="28"/>
        </w:rPr>
      </w:pPr>
      <w:r>
        <w:rPr>
          <w:rFonts w:cs="Calibri"/>
          <w:sz w:val="28"/>
          <w:szCs w:val="28"/>
        </w:rPr>
        <w:t xml:space="preserve">Riosucio históricamente ha sido un municipio que ha estado ligado a la explotación de minerales como el oro, carbón, arcillas y sales entre otros. Actualmente en Riosucio hay varias zonas donde se trabaja minería artesanal para la extracción de oro de filón y aluvión, carbón, arcillas y material de Rio. Los mineros en un 80 % son comuneros de los resguardos y se encuentran </w:t>
      </w:r>
      <w:r>
        <w:rPr>
          <w:rFonts w:cs="Calibri"/>
          <w:sz w:val="28"/>
          <w:szCs w:val="28"/>
        </w:rPr>
        <w:lastRenderedPageBreak/>
        <w:t xml:space="preserve">asociados. En el Resguardo de Cañamomo existe la Asociación de Pequeños Mineros Indígenas de Cañamomo Lomaprieta; </w:t>
      </w:r>
      <w:r>
        <w:rPr>
          <w:rFonts w:cs="Calibri"/>
          <w:b/>
          <w:sz w:val="28"/>
          <w:szCs w:val="28"/>
        </w:rPr>
        <w:t>ASOMICAR</w:t>
      </w:r>
      <w:r>
        <w:rPr>
          <w:rFonts w:cs="Calibri"/>
          <w:sz w:val="28"/>
          <w:szCs w:val="28"/>
        </w:rPr>
        <w:t xml:space="preserve"> en el resguardo de la Montaña es La Asociación de Mineros Indígenas de la Montaña </w:t>
      </w:r>
      <w:r>
        <w:rPr>
          <w:rFonts w:cs="Calibri"/>
          <w:b/>
          <w:sz w:val="28"/>
          <w:szCs w:val="28"/>
        </w:rPr>
        <w:t>ASOMINTAÑA</w:t>
      </w:r>
      <w:r>
        <w:rPr>
          <w:rFonts w:cs="Calibri"/>
          <w:sz w:val="28"/>
          <w:szCs w:val="28"/>
        </w:rPr>
        <w:t xml:space="preserve"> y está en proceso de constitución de una asociación de mineros del Resguardo de Escopetera Pirza.</w:t>
      </w:r>
    </w:p>
    <w:p w:rsidR="00497DA0" w:rsidRDefault="00497DA0" w:rsidP="00497DA0">
      <w:pPr>
        <w:jc w:val="both"/>
        <w:rPr>
          <w:rFonts w:cs="Calibri"/>
          <w:sz w:val="28"/>
          <w:szCs w:val="28"/>
        </w:rPr>
      </w:pPr>
      <w:r>
        <w:rPr>
          <w:rFonts w:cs="Calibri"/>
          <w:sz w:val="28"/>
          <w:szCs w:val="28"/>
        </w:rPr>
        <w:t>En el municipio de Riosucio son aproximadamente 710 familias las que actualmente derivan su sustento de la  minería en sistemas de  trabajo artesanal   (socavones, cúbicos y barequeros que trabajan en las riveras de algunos ríos y quebradas). Se estima de acuerdo a los censos realizados por los resguardos que hay la rededor de 150 puntos de trabajo. En el resguardo de Cañamomo Lomaprieta cuentan con un reglamento interno y se están desarrollando los Planes de manejo Ambiental para este tipo de actividad.</w:t>
      </w:r>
    </w:p>
    <w:p w:rsidR="00497DA0" w:rsidRDefault="00497DA0" w:rsidP="00497DA0">
      <w:pPr>
        <w:jc w:val="both"/>
        <w:rPr>
          <w:rFonts w:cs="Calibri"/>
          <w:sz w:val="28"/>
          <w:szCs w:val="28"/>
        </w:rPr>
      </w:pPr>
      <w:r>
        <w:rPr>
          <w:rFonts w:cs="Calibri"/>
          <w:sz w:val="28"/>
          <w:szCs w:val="28"/>
        </w:rPr>
        <w:t xml:space="preserve">En materia de comercialización de minería en el municipio los mineros venden el mineral a intermediarios en </w:t>
      </w:r>
      <w:proofErr w:type="spellStart"/>
      <w:r>
        <w:rPr>
          <w:rFonts w:cs="Calibri"/>
          <w:sz w:val="28"/>
          <w:szCs w:val="28"/>
        </w:rPr>
        <w:t>Riosucio</w:t>
      </w:r>
      <w:proofErr w:type="spellEnd"/>
      <w:r>
        <w:rPr>
          <w:rFonts w:cs="Calibri"/>
          <w:sz w:val="28"/>
          <w:szCs w:val="28"/>
        </w:rPr>
        <w:t xml:space="preserve"> y </w:t>
      </w:r>
      <w:proofErr w:type="spellStart"/>
      <w:r>
        <w:rPr>
          <w:rFonts w:cs="Calibri"/>
          <w:sz w:val="28"/>
          <w:szCs w:val="28"/>
        </w:rPr>
        <w:t>Supia</w:t>
      </w:r>
      <w:proofErr w:type="spellEnd"/>
      <w:r>
        <w:rPr>
          <w:rFonts w:cs="Calibri"/>
          <w:sz w:val="28"/>
          <w:szCs w:val="28"/>
        </w:rPr>
        <w:t>; a su vez estos intermediarios venden el oro en Medellín y los reportan a nombre de otros municipios. En este sentido el municipio no recibe recursos por regalías de esta actividad comercial.</w:t>
      </w:r>
    </w:p>
    <w:p w:rsidR="00497DA0" w:rsidRDefault="00497DA0" w:rsidP="00497DA0">
      <w:pPr>
        <w:jc w:val="both"/>
        <w:rPr>
          <w:rFonts w:cs="Calibri"/>
          <w:sz w:val="28"/>
          <w:szCs w:val="28"/>
        </w:rPr>
      </w:pPr>
      <w:r>
        <w:rPr>
          <w:rFonts w:cs="Calibri"/>
          <w:sz w:val="28"/>
          <w:szCs w:val="28"/>
        </w:rPr>
        <w:t>En materia de ocupación y empleo por sector económico el DANE arroja las siguientes estadísticas:</w:t>
      </w:r>
    </w:p>
    <w:p w:rsidR="00497DA0" w:rsidRDefault="00497DA0" w:rsidP="00497DA0">
      <w:pPr>
        <w:jc w:val="both"/>
        <w:rPr>
          <w:rFonts w:cs="Calibri"/>
          <w:sz w:val="28"/>
          <w:szCs w:val="28"/>
        </w:rPr>
      </w:pPr>
      <w:r>
        <w:rPr>
          <w:rFonts w:cs="Calibri"/>
          <w:noProof/>
          <w:sz w:val="28"/>
          <w:szCs w:val="28"/>
          <w:lang w:eastAsia="es-CO"/>
        </w:rPr>
        <w:drawing>
          <wp:inline distT="0" distB="0" distL="0" distR="0">
            <wp:extent cx="2933065" cy="2553335"/>
            <wp:effectExtent l="0" t="0" r="63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33065" cy="2553335"/>
                    </a:xfrm>
                    <a:prstGeom prst="rect">
                      <a:avLst/>
                    </a:prstGeom>
                    <a:noFill/>
                    <a:ln>
                      <a:noFill/>
                    </a:ln>
                  </pic:spPr>
                </pic:pic>
              </a:graphicData>
            </a:graphic>
          </wp:inline>
        </w:drawing>
      </w:r>
      <w:r>
        <w:rPr>
          <w:noProof/>
          <w:lang w:eastAsia="es-CO"/>
        </w:rPr>
        <w:drawing>
          <wp:anchor distT="0" distB="0" distL="114300" distR="114300" simplePos="0" relativeHeight="251674624" behindDoc="0" locked="0" layoutInCell="1" allowOverlap="1">
            <wp:simplePos x="0" y="0"/>
            <wp:positionH relativeFrom="column">
              <wp:align>left</wp:align>
            </wp:positionH>
            <wp:positionV relativeFrom="paragraph">
              <wp:posOffset>3175</wp:posOffset>
            </wp:positionV>
            <wp:extent cx="2660650" cy="2553970"/>
            <wp:effectExtent l="0" t="0" r="6350" b="0"/>
            <wp:wrapSquare wrapText="right"/>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0650" cy="2553970"/>
                    </a:xfrm>
                    <a:prstGeom prst="rect">
                      <a:avLst/>
                    </a:prstGeom>
                    <a:noFill/>
                  </pic:spPr>
                </pic:pic>
              </a:graphicData>
            </a:graphic>
          </wp:anchor>
        </w:drawing>
      </w:r>
    </w:p>
    <w:p w:rsidR="00497DA0" w:rsidRDefault="00497DA0" w:rsidP="00497DA0">
      <w:pPr>
        <w:jc w:val="both"/>
        <w:rPr>
          <w:rFonts w:cs="Calibri"/>
          <w:sz w:val="28"/>
          <w:szCs w:val="28"/>
        </w:rPr>
      </w:pPr>
      <w:r>
        <w:rPr>
          <w:rFonts w:cs="Calibri"/>
          <w:sz w:val="28"/>
          <w:szCs w:val="28"/>
        </w:rPr>
        <w:t>11.2 Debilidades:</w:t>
      </w:r>
    </w:p>
    <w:p w:rsidR="00497DA0" w:rsidRDefault="00497DA0" w:rsidP="00497DA0">
      <w:pPr>
        <w:jc w:val="both"/>
        <w:rPr>
          <w:rFonts w:cs="Calibri"/>
          <w:sz w:val="28"/>
          <w:szCs w:val="28"/>
        </w:rPr>
      </w:pPr>
      <w:r>
        <w:rPr>
          <w:rFonts w:cs="Calibri"/>
          <w:sz w:val="28"/>
          <w:szCs w:val="28"/>
        </w:rPr>
        <w:lastRenderedPageBreak/>
        <w:t>Entre las debilidades y aspectos por mejorar identificados en el diagnóstico sobre el desarrollo económico del municipio se encuentran; el atraso tecnológico en maquinaria y sistemas informáticos adecuados (software, computadores, conectividad a internet), la falta de recursos para la capitalización que algunas empresas necesitan para su crecimiento.</w:t>
      </w:r>
    </w:p>
    <w:p w:rsidR="00497DA0" w:rsidRDefault="00497DA0" w:rsidP="00497DA0">
      <w:pPr>
        <w:jc w:val="both"/>
        <w:rPr>
          <w:rFonts w:cs="Calibri"/>
          <w:sz w:val="28"/>
          <w:szCs w:val="28"/>
        </w:rPr>
      </w:pPr>
      <w:r>
        <w:rPr>
          <w:rFonts w:cs="Calibri"/>
          <w:sz w:val="28"/>
          <w:szCs w:val="28"/>
        </w:rPr>
        <w:t>Son deficientes y escasas las estrategias de promoción y mercadeo tanto de los productos agrícolas del municipio, como de los establecimientos comerciales, es necesario que el municipio apoye y capacite a los comerciantes y productores en estrategias de mercadeo.</w:t>
      </w:r>
    </w:p>
    <w:p w:rsidR="00497DA0" w:rsidRDefault="00497DA0" w:rsidP="00497DA0">
      <w:pPr>
        <w:jc w:val="both"/>
        <w:rPr>
          <w:rFonts w:cs="Calibri"/>
          <w:sz w:val="28"/>
          <w:szCs w:val="28"/>
        </w:rPr>
      </w:pPr>
      <w:r>
        <w:rPr>
          <w:rFonts w:cs="Calibri"/>
          <w:sz w:val="28"/>
          <w:szCs w:val="28"/>
        </w:rPr>
        <w:t>La mayoría de comerciantes y agricultores no están capacitados en materia de contaduría y finanzas, por tanto los establecimientos comerciales carecen de una planeación y de un adecuado seguimiento financiero, este hecho dificultad la sostenibilidad en el tiempo de los diferentes negocios. Se deben buscar alianzas estratégicas con entidades como el SENA, para la capacitación en torno a buenas prácticas de negocios.</w:t>
      </w:r>
    </w:p>
    <w:p w:rsidR="00497DA0" w:rsidRDefault="00497DA0" w:rsidP="00497DA0">
      <w:pPr>
        <w:jc w:val="both"/>
        <w:rPr>
          <w:rFonts w:cs="Calibri"/>
          <w:sz w:val="28"/>
          <w:szCs w:val="28"/>
        </w:rPr>
      </w:pPr>
      <w:r>
        <w:rPr>
          <w:rFonts w:cs="Calibri"/>
          <w:sz w:val="28"/>
          <w:szCs w:val="28"/>
        </w:rPr>
        <w:t>Las estrategias que hasta ahora ha implementado el municipio para impulsar el desarrollo industrial del municipio aun son insuficientes, se necesitan políticas públicas que perduren en el tiempo y que estén de acuerdo con las necesidades, requerimientos y vocación económica del municipio</w:t>
      </w:r>
    </w:p>
    <w:p w:rsidR="00497DA0" w:rsidRDefault="00497DA0" w:rsidP="00497DA0">
      <w:pPr>
        <w:jc w:val="both"/>
        <w:rPr>
          <w:rFonts w:cs="Calibri"/>
          <w:sz w:val="28"/>
          <w:szCs w:val="28"/>
        </w:rPr>
      </w:pPr>
      <w:r>
        <w:rPr>
          <w:rFonts w:cs="Calibri"/>
          <w:sz w:val="28"/>
          <w:szCs w:val="28"/>
        </w:rPr>
        <w:t>Los empresarios y comerciantes del municipio deben contar con el apoyo de la administración y del nivel departamental, mayores canales y escenarios para la comercialización de sus productos, esta estrategia fortalecerá el desarrollo sostenible de Riosucio. Es una debilidad para la economía del municipio no tener un diagnóstico riguroso y preciso sobre las actividades económicas y mineras desarrolladas en el municipio, no se vislumbra un escenario claro sobre el cual planear y formular metas estratégicas de crecimiento.</w:t>
      </w:r>
    </w:p>
    <w:p w:rsidR="00497DA0" w:rsidRDefault="00497DA0" w:rsidP="00497DA0">
      <w:pPr>
        <w:jc w:val="both"/>
        <w:rPr>
          <w:rFonts w:cs="Calibri"/>
          <w:sz w:val="28"/>
          <w:szCs w:val="28"/>
        </w:rPr>
      </w:pPr>
      <w:r>
        <w:rPr>
          <w:rFonts w:cs="Calibri"/>
          <w:sz w:val="28"/>
          <w:szCs w:val="28"/>
        </w:rPr>
        <w:t xml:space="preserve">La ola invernal y los efectos del cambio climático han impactado de manera negativa los cultivos y en general toda la producción agrícola del municipio, este hecho es una debilidad importante dado la incertidumbre que generan </w:t>
      </w:r>
      <w:r>
        <w:rPr>
          <w:rFonts w:cs="Calibri"/>
          <w:sz w:val="28"/>
          <w:szCs w:val="28"/>
        </w:rPr>
        <w:lastRenderedPageBreak/>
        <w:t>los fenómenos naturales y la dificultad de planear con base en dicha incertidumbre.</w:t>
      </w:r>
    </w:p>
    <w:p w:rsidR="00497DA0" w:rsidRDefault="00497DA0" w:rsidP="00497DA0">
      <w:pPr>
        <w:jc w:val="both"/>
        <w:rPr>
          <w:rFonts w:cs="Calibri"/>
          <w:sz w:val="28"/>
          <w:szCs w:val="28"/>
        </w:rPr>
      </w:pPr>
      <w:r>
        <w:rPr>
          <w:rFonts w:cs="Calibri"/>
          <w:sz w:val="28"/>
          <w:szCs w:val="28"/>
        </w:rPr>
        <w:t>La informalidad del sector minero es una debilidad tanto para los trabajadores de las minas, como para el municipio que no tiene mecanismos como afrontar los problemas sociales derivados de esta actividad.</w:t>
      </w:r>
    </w:p>
    <w:p w:rsidR="00497DA0" w:rsidRDefault="00497DA0" w:rsidP="00497DA0">
      <w:pPr>
        <w:jc w:val="both"/>
        <w:rPr>
          <w:rFonts w:cs="Calibri"/>
          <w:sz w:val="28"/>
          <w:szCs w:val="28"/>
        </w:rPr>
      </w:pPr>
    </w:p>
    <w:p w:rsidR="00497DA0" w:rsidRDefault="00497DA0" w:rsidP="00497DA0">
      <w:pPr>
        <w:jc w:val="both"/>
        <w:rPr>
          <w:rFonts w:cs="Calibri"/>
          <w:sz w:val="28"/>
          <w:szCs w:val="28"/>
          <w:u w:val="single"/>
        </w:rPr>
      </w:pPr>
      <w:r>
        <w:rPr>
          <w:rFonts w:cs="Calibri"/>
          <w:sz w:val="28"/>
          <w:szCs w:val="28"/>
          <w:u w:val="single"/>
        </w:rPr>
        <w:t>11.3 Potencialidades:</w:t>
      </w:r>
    </w:p>
    <w:p w:rsidR="00497DA0" w:rsidRDefault="00497DA0" w:rsidP="00497DA0">
      <w:pPr>
        <w:jc w:val="both"/>
        <w:rPr>
          <w:rFonts w:cs="Calibri"/>
          <w:sz w:val="28"/>
          <w:szCs w:val="28"/>
        </w:rPr>
      </w:pPr>
      <w:r>
        <w:rPr>
          <w:rFonts w:cs="Calibri"/>
          <w:sz w:val="28"/>
          <w:szCs w:val="28"/>
        </w:rPr>
        <w:t>Entre las fortalezas con las que cuenta el municipio para su desarrollo económico y social están; la oferta de mano de obra, los precios competitivos de sus productos, el potencial agrícola, los  porcentajes de tenencia sobre la tierra y los procesos cooperativos y comunitarios en las zonas rurales del municipio.</w:t>
      </w:r>
    </w:p>
    <w:p w:rsidR="00497DA0" w:rsidRDefault="00497DA0" w:rsidP="00497DA0">
      <w:pPr>
        <w:jc w:val="both"/>
        <w:rPr>
          <w:rFonts w:cs="Calibri"/>
          <w:sz w:val="28"/>
          <w:szCs w:val="28"/>
        </w:rPr>
      </w:pPr>
      <w:r>
        <w:rPr>
          <w:rFonts w:cs="Calibri"/>
          <w:sz w:val="28"/>
          <w:szCs w:val="28"/>
        </w:rPr>
        <w:t xml:space="preserve">Es necesario aprovechar la vocación agrícola del municipio con el fin, no solo de impulsar el desarrollo económico del municipio, sino también para formular estrategias de soberanía alimentaria y la producción agroecológica en las cuales las organizaciones internacionales pueden aportar técnicamente. </w:t>
      </w:r>
    </w:p>
    <w:p w:rsidR="00497DA0" w:rsidRDefault="00497DA0" w:rsidP="00497DA0">
      <w:pPr>
        <w:jc w:val="both"/>
        <w:rPr>
          <w:rFonts w:cs="Calibri"/>
          <w:sz w:val="28"/>
          <w:szCs w:val="28"/>
        </w:rPr>
      </w:pPr>
      <w:r>
        <w:rPr>
          <w:rFonts w:cs="Calibri"/>
          <w:sz w:val="28"/>
          <w:szCs w:val="28"/>
        </w:rPr>
        <w:t>La feria ganadera y otros espacios de concurrencia son escenarios que deben ser aprovechados para que con la intervención de la administración municipal se puedan generar estrategias, convenios y acuerdos para la creación de nuevos canales de comercialización de los productos agropecuarios del municipio.</w:t>
      </w:r>
    </w:p>
    <w:p w:rsidR="00497DA0" w:rsidRPr="00BE2338" w:rsidRDefault="00497DA0" w:rsidP="00497DA0"/>
    <w:p w:rsidR="00497DA0" w:rsidRPr="00BE2338" w:rsidRDefault="00497DA0" w:rsidP="00497DA0">
      <w:pPr>
        <w:ind w:left="720"/>
        <w:jc w:val="both"/>
        <w:rPr>
          <w:rFonts w:cs="Calibri"/>
          <w:sz w:val="28"/>
          <w:szCs w:val="28"/>
        </w:rPr>
      </w:pPr>
    </w:p>
    <w:p w:rsidR="00497DA0" w:rsidRDefault="00497DA0" w:rsidP="00497DA0">
      <w:pPr>
        <w:jc w:val="both"/>
        <w:rPr>
          <w:rFonts w:cs="Calibri"/>
          <w:b/>
          <w:sz w:val="28"/>
          <w:szCs w:val="28"/>
          <w:lang w:val="es-ES_tradnl"/>
        </w:rPr>
      </w:pPr>
    </w:p>
    <w:p w:rsidR="00497DA0" w:rsidRDefault="00497DA0" w:rsidP="00497DA0">
      <w:pPr>
        <w:jc w:val="both"/>
        <w:rPr>
          <w:rFonts w:cs="Calibri"/>
          <w:b/>
          <w:sz w:val="28"/>
          <w:szCs w:val="28"/>
          <w:lang w:val="es-ES_tradnl"/>
        </w:rPr>
      </w:pPr>
    </w:p>
    <w:p w:rsidR="00497DA0" w:rsidRDefault="00497DA0" w:rsidP="00497DA0">
      <w:pPr>
        <w:jc w:val="both"/>
        <w:rPr>
          <w:rFonts w:cs="Calibri"/>
          <w:b/>
          <w:sz w:val="28"/>
          <w:szCs w:val="28"/>
          <w:lang w:val="es-ES_tradnl"/>
        </w:rPr>
      </w:pPr>
    </w:p>
    <w:p w:rsidR="00497DA0" w:rsidRPr="006772A7" w:rsidRDefault="00497DA0" w:rsidP="00497DA0">
      <w:pPr>
        <w:jc w:val="both"/>
        <w:rPr>
          <w:rFonts w:cs="Calibri"/>
          <w:b/>
          <w:sz w:val="28"/>
          <w:szCs w:val="28"/>
          <w:lang w:val="es-ES_tradnl"/>
        </w:rPr>
      </w:pPr>
    </w:p>
    <w:p w:rsidR="00497DA0" w:rsidRPr="006772A7" w:rsidRDefault="00497DA0" w:rsidP="00497DA0">
      <w:pPr>
        <w:jc w:val="both"/>
        <w:rPr>
          <w:rFonts w:cs="Calibri"/>
          <w:sz w:val="28"/>
          <w:szCs w:val="28"/>
        </w:rPr>
      </w:pPr>
    </w:p>
    <w:p w:rsidR="00497DA0" w:rsidRPr="006772A7" w:rsidRDefault="00497DA0" w:rsidP="00497DA0">
      <w:pPr>
        <w:numPr>
          <w:ilvl w:val="0"/>
          <w:numId w:val="21"/>
        </w:numPr>
        <w:jc w:val="both"/>
        <w:rPr>
          <w:rFonts w:cs="Calibri"/>
          <w:b/>
          <w:sz w:val="28"/>
          <w:szCs w:val="28"/>
        </w:rPr>
      </w:pPr>
      <w:r>
        <w:rPr>
          <w:rFonts w:cs="Calibri"/>
          <w:b/>
          <w:sz w:val="28"/>
          <w:szCs w:val="28"/>
        </w:rPr>
        <w:t>Capacidad e</w:t>
      </w:r>
      <w:r w:rsidRPr="006772A7">
        <w:rPr>
          <w:rFonts w:cs="Calibri"/>
          <w:b/>
          <w:sz w:val="28"/>
          <w:szCs w:val="28"/>
        </w:rPr>
        <w:t xml:space="preserve"> infraestructura</w:t>
      </w:r>
      <w:r>
        <w:rPr>
          <w:rFonts w:cs="Calibri"/>
          <w:b/>
          <w:sz w:val="28"/>
          <w:szCs w:val="28"/>
        </w:rPr>
        <w:t xml:space="preserve"> administrativa.</w:t>
      </w:r>
      <w:r w:rsidRPr="006772A7">
        <w:rPr>
          <w:rFonts w:cs="Calibri"/>
          <w:b/>
          <w:sz w:val="28"/>
          <w:szCs w:val="28"/>
        </w:rPr>
        <w:t xml:space="preserve"> </w:t>
      </w:r>
    </w:p>
    <w:p w:rsidR="00497DA0" w:rsidRDefault="00497DA0" w:rsidP="00497DA0">
      <w:pPr>
        <w:jc w:val="both"/>
        <w:rPr>
          <w:rFonts w:cs="Calibri"/>
          <w:sz w:val="28"/>
          <w:szCs w:val="28"/>
        </w:rPr>
      </w:pPr>
      <w:r w:rsidRPr="006772A7">
        <w:rPr>
          <w:rFonts w:cs="Calibri"/>
          <w:sz w:val="28"/>
          <w:szCs w:val="28"/>
        </w:rPr>
        <w:t xml:space="preserve">12.1 Características: </w:t>
      </w:r>
    </w:p>
    <w:p w:rsidR="00497DA0" w:rsidRDefault="00497DA0" w:rsidP="00497DA0">
      <w:pPr>
        <w:jc w:val="both"/>
        <w:rPr>
          <w:rFonts w:cs="Calibri"/>
          <w:sz w:val="28"/>
          <w:szCs w:val="28"/>
        </w:rPr>
      </w:pPr>
    </w:p>
    <w:p w:rsidR="00497DA0" w:rsidRPr="00497DA0" w:rsidRDefault="00497DA0" w:rsidP="00497DA0">
      <w:pPr>
        <w:spacing w:after="0"/>
        <w:jc w:val="center"/>
        <w:rPr>
          <w:rFonts w:ascii="Arial Narrow" w:hAnsi="Arial Narrow"/>
          <w:b/>
          <w:sz w:val="24"/>
          <w:szCs w:val="24"/>
        </w:rPr>
      </w:pPr>
      <w:r w:rsidRPr="00497DA0">
        <w:rPr>
          <w:rFonts w:ascii="Arial Narrow" w:hAnsi="Arial Narrow"/>
          <w:b/>
          <w:sz w:val="24"/>
          <w:szCs w:val="24"/>
        </w:rPr>
        <w:t>Resultados indicadores relacionados con la capacidad institucional</w:t>
      </w:r>
    </w:p>
    <w:p w:rsidR="00497DA0" w:rsidRPr="00497DA0" w:rsidRDefault="00497DA0" w:rsidP="00497DA0">
      <w:pPr>
        <w:spacing w:after="0"/>
        <w:jc w:val="center"/>
        <w:rPr>
          <w:rFonts w:ascii="Arial Narrow" w:hAnsi="Arial Narrow"/>
          <w:b/>
          <w:sz w:val="24"/>
          <w:szCs w:val="24"/>
        </w:rPr>
      </w:pPr>
      <w:r w:rsidRPr="00497DA0">
        <w:rPr>
          <w:rFonts w:ascii="Arial Narrow" w:hAnsi="Arial Narrow"/>
          <w:b/>
          <w:sz w:val="24"/>
          <w:szCs w:val="24"/>
        </w:rPr>
        <w:t>Municipio de Riosucio–Caldas</w:t>
      </w:r>
    </w:p>
    <w:p w:rsidR="00497DA0" w:rsidRPr="00497DA0" w:rsidRDefault="00497DA0" w:rsidP="00497DA0">
      <w:pPr>
        <w:spacing w:after="0"/>
        <w:jc w:val="center"/>
        <w:rPr>
          <w:rFonts w:ascii="Arial Narrow" w:hAnsi="Arial Narrow"/>
          <w:b/>
          <w:i/>
          <w:sz w:val="24"/>
          <w:szCs w:val="24"/>
        </w:rPr>
      </w:pPr>
    </w:p>
    <w:tbl>
      <w:tblPr>
        <w:tblW w:w="8944" w:type="dxa"/>
        <w:tblInd w:w="57" w:type="dxa"/>
        <w:tblCellMar>
          <w:left w:w="70" w:type="dxa"/>
          <w:right w:w="70" w:type="dxa"/>
        </w:tblCellMar>
        <w:tblLook w:val="04A0" w:firstRow="1" w:lastRow="0" w:firstColumn="1" w:lastColumn="0" w:noHBand="0" w:noVBand="1"/>
      </w:tblPr>
      <w:tblGrid>
        <w:gridCol w:w="2281"/>
        <w:gridCol w:w="1418"/>
        <w:gridCol w:w="1701"/>
        <w:gridCol w:w="1843"/>
        <w:gridCol w:w="1701"/>
      </w:tblGrid>
      <w:tr w:rsidR="00497DA0" w:rsidRPr="00497DA0" w:rsidTr="006919A9">
        <w:trPr>
          <w:trHeight w:val="270"/>
        </w:trPr>
        <w:tc>
          <w:tcPr>
            <w:tcW w:w="2281" w:type="dxa"/>
            <w:vMerge w:val="restart"/>
            <w:tcBorders>
              <w:top w:val="single" w:sz="4" w:space="0" w:color="auto"/>
              <w:left w:val="single" w:sz="4" w:space="0" w:color="auto"/>
              <w:right w:val="single" w:sz="4" w:space="0" w:color="auto"/>
            </w:tcBorders>
            <w:shd w:val="clear" w:color="auto" w:fill="D9D9D9"/>
            <w:noWrap/>
            <w:vAlign w:val="center"/>
            <w:hideMark/>
          </w:tcPr>
          <w:p w:rsidR="00497DA0" w:rsidRPr="00497DA0" w:rsidRDefault="00497DA0" w:rsidP="006919A9">
            <w:pPr>
              <w:spacing w:after="0" w:line="240" w:lineRule="auto"/>
              <w:jc w:val="center"/>
              <w:rPr>
                <w:rFonts w:ascii="Arial Narrow" w:eastAsia="Times New Roman" w:hAnsi="Arial Narrow"/>
                <w:color w:val="000000"/>
                <w:szCs w:val="24"/>
                <w:lang w:eastAsia="es-ES"/>
              </w:rPr>
            </w:pPr>
            <w:r w:rsidRPr="00497DA0">
              <w:rPr>
                <w:rFonts w:ascii="Arial Narrow" w:eastAsia="Times New Roman" w:hAnsi="Arial Narrow"/>
                <w:color w:val="000000"/>
                <w:szCs w:val="24"/>
                <w:lang w:eastAsia="es-ES"/>
              </w:rPr>
              <w:t>INDICADOR</w:t>
            </w:r>
          </w:p>
        </w:tc>
        <w:tc>
          <w:tcPr>
            <w:tcW w:w="1418" w:type="dxa"/>
            <w:vMerge w:val="restart"/>
            <w:tcBorders>
              <w:top w:val="single" w:sz="4" w:space="0" w:color="auto"/>
              <w:left w:val="nil"/>
              <w:right w:val="single" w:sz="4" w:space="0" w:color="auto"/>
            </w:tcBorders>
            <w:shd w:val="clear" w:color="auto" w:fill="D9D9D9"/>
            <w:noWrap/>
            <w:vAlign w:val="center"/>
            <w:hideMark/>
          </w:tcPr>
          <w:p w:rsidR="00497DA0" w:rsidRPr="00497DA0" w:rsidRDefault="00497DA0" w:rsidP="006919A9">
            <w:pPr>
              <w:spacing w:after="0" w:line="240" w:lineRule="auto"/>
              <w:jc w:val="center"/>
              <w:rPr>
                <w:rFonts w:ascii="Arial Narrow" w:eastAsia="Times New Roman" w:hAnsi="Arial Narrow"/>
                <w:color w:val="000000"/>
                <w:szCs w:val="24"/>
                <w:lang w:eastAsia="es-ES"/>
              </w:rPr>
            </w:pPr>
            <w:r w:rsidRPr="00497DA0">
              <w:rPr>
                <w:rFonts w:ascii="Arial Narrow" w:eastAsia="Times New Roman" w:hAnsi="Arial Narrow"/>
                <w:color w:val="000000"/>
                <w:szCs w:val="24"/>
                <w:lang w:eastAsia="es-ES"/>
              </w:rPr>
              <w:t>ABREVIATURA</w:t>
            </w:r>
          </w:p>
        </w:tc>
        <w:tc>
          <w:tcPr>
            <w:tcW w:w="5245" w:type="dxa"/>
            <w:gridSpan w:val="3"/>
            <w:tcBorders>
              <w:top w:val="single" w:sz="4" w:space="0" w:color="auto"/>
              <w:left w:val="nil"/>
              <w:bottom w:val="single" w:sz="4" w:space="0" w:color="auto"/>
              <w:right w:val="single" w:sz="4" w:space="0" w:color="auto"/>
            </w:tcBorders>
            <w:shd w:val="clear" w:color="auto" w:fill="D9D9D9"/>
            <w:vAlign w:val="center"/>
          </w:tcPr>
          <w:p w:rsidR="00497DA0" w:rsidRPr="00497DA0" w:rsidRDefault="00497DA0" w:rsidP="006919A9">
            <w:pPr>
              <w:spacing w:after="0" w:line="240" w:lineRule="auto"/>
              <w:jc w:val="center"/>
              <w:rPr>
                <w:rFonts w:ascii="Arial Narrow" w:eastAsia="Times New Roman" w:hAnsi="Arial Narrow"/>
                <w:color w:val="000000"/>
                <w:szCs w:val="24"/>
                <w:lang w:eastAsia="es-ES"/>
              </w:rPr>
            </w:pPr>
            <w:r w:rsidRPr="00497DA0">
              <w:rPr>
                <w:rFonts w:ascii="Arial Narrow" w:eastAsia="Times New Roman" w:hAnsi="Arial Narrow"/>
                <w:color w:val="000000"/>
                <w:szCs w:val="24"/>
                <w:lang w:eastAsia="es-ES"/>
              </w:rPr>
              <w:t>RESULTADOS</w:t>
            </w:r>
          </w:p>
        </w:tc>
      </w:tr>
      <w:tr w:rsidR="00497DA0" w:rsidRPr="00497DA0" w:rsidTr="006919A9">
        <w:trPr>
          <w:trHeight w:val="270"/>
        </w:trPr>
        <w:tc>
          <w:tcPr>
            <w:tcW w:w="2281" w:type="dxa"/>
            <w:vMerge/>
            <w:tcBorders>
              <w:left w:val="single" w:sz="4" w:space="0" w:color="auto"/>
              <w:bottom w:val="single" w:sz="4" w:space="0" w:color="auto"/>
              <w:right w:val="single" w:sz="4" w:space="0" w:color="auto"/>
            </w:tcBorders>
            <w:shd w:val="clear" w:color="auto" w:fill="D9D9D9"/>
            <w:noWrap/>
            <w:vAlign w:val="center"/>
            <w:hideMark/>
          </w:tcPr>
          <w:p w:rsidR="00497DA0" w:rsidRPr="00497DA0" w:rsidRDefault="00497DA0" w:rsidP="006919A9">
            <w:pPr>
              <w:spacing w:after="0" w:line="240" w:lineRule="auto"/>
              <w:jc w:val="center"/>
              <w:rPr>
                <w:rFonts w:ascii="Arial Narrow" w:eastAsia="Times New Roman" w:hAnsi="Arial Narrow"/>
                <w:color w:val="000000"/>
                <w:szCs w:val="24"/>
                <w:lang w:eastAsia="es-ES"/>
              </w:rPr>
            </w:pPr>
          </w:p>
        </w:tc>
        <w:tc>
          <w:tcPr>
            <w:tcW w:w="1418" w:type="dxa"/>
            <w:vMerge/>
            <w:tcBorders>
              <w:left w:val="nil"/>
              <w:bottom w:val="single" w:sz="4" w:space="0" w:color="auto"/>
              <w:right w:val="single" w:sz="4" w:space="0" w:color="auto"/>
            </w:tcBorders>
            <w:shd w:val="clear" w:color="auto" w:fill="D9D9D9"/>
            <w:noWrap/>
            <w:vAlign w:val="center"/>
            <w:hideMark/>
          </w:tcPr>
          <w:p w:rsidR="00497DA0" w:rsidRPr="00497DA0" w:rsidRDefault="00497DA0" w:rsidP="006919A9">
            <w:pPr>
              <w:spacing w:after="0" w:line="240" w:lineRule="auto"/>
              <w:jc w:val="center"/>
              <w:rPr>
                <w:rFonts w:ascii="Arial Narrow" w:eastAsia="Times New Roman" w:hAnsi="Arial Narrow"/>
                <w:color w:val="000000"/>
                <w:szCs w:val="24"/>
                <w:lang w:eastAsia="es-ES"/>
              </w:rPr>
            </w:pPr>
          </w:p>
        </w:tc>
        <w:tc>
          <w:tcPr>
            <w:tcW w:w="1701" w:type="dxa"/>
            <w:tcBorders>
              <w:top w:val="single" w:sz="4" w:space="0" w:color="auto"/>
              <w:left w:val="nil"/>
              <w:bottom w:val="single" w:sz="4" w:space="0" w:color="auto"/>
              <w:right w:val="single" w:sz="4" w:space="0" w:color="auto"/>
            </w:tcBorders>
            <w:shd w:val="clear" w:color="auto" w:fill="D9D9D9"/>
            <w:vAlign w:val="center"/>
          </w:tcPr>
          <w:p w:rsidR="00497DA0" w:rsidRPr="00497DA0" w:rsidRDefault="00497DA0" w:rsidP="006919A9">
            <w:pPr>
              <w:spacing w:after="0" w:line="240" w:lineRule="auto"/>
              <w:jc w:val="center"/>
              <w:rPr>
                <w:rFonts w:ascii="Arial Narrow" w:eastAsia="Times New Roman" w:hAnsi="Arial Narrow"/>
                <w:color w:val="000000"/>
                <w:szCs w:val="24"/>
                <w:lang w:eastAsia="es-ES"/>
              </w:rPr>
            </w:pPr>
            <w:r w:rsidRPr="00497DA0">
              <w:rPr>
                <w:rFonts w:ascii="Arial Narrow" w:eastAsia="Times New Roman" w:hAnsi="Arial Narrow"/>
                <w:color w:val="000000"/>
                <w:szCs w:val="24"/>
                <w:lang w:eastAsia="es-ES"/>
              </w:rPr>
              <w:t>RESULTADO</w:t>
            </w:r>
          </w:p>
          <w:p w:rsidR="00497DA0" w:rsidRPr="00497DA0" w:rsidRDefault="00497DA0" w:rsidP="006919A9">
            <w:pPr>
              <w:spacing w:after="0" w:line="240" w:lineRule="auto"/>
              <w:jc w:val="center"/>
              <w:rPr>
                <w:rFonts w:ascii="Arial Narrow" w:eastAsia="Times New Roman" w:hAnsi="Arial Narrow"/>
                <w:color w:val="000000"/>
                <w:szCs w:val="24"/>
                <w:lang w:eastAsia="es-ES"/>
              </w:rPr>
            </w:pPr>
            <w:r w:rsidRPr="00497DA0">
              <w:rPr>
                <w:rFonts w:ascii="Arial Narrow" w:eastAsia="Times New Roman" w:hAnsi="Arial Narrow"/>
                <w:color w:val="000000"/>
                <w:szCs w:val="24"/>
                <w:lang w:eastAsia="es-ES"/>
              </w:rPr>
              <w:t>MUNICIPIO</w:t>
            </w:r>
          </w:p>
        </w:tc>
        <w:tc>
          <w:tcPr>
            <w:tcW w:w="1843" w:type="dxa"/>
            <w:tcBorders>
              <w:top w:val="single" w:sz="4" w:space="0" w:color="auto"/>
              <w:left w:val="nil"/>
              <w:bottom w:val="single" w:sz="4" w:space="0" w:color="auto"/>
              <w:right w:val="single" w:sz="4" w:space="0" w:color="auto"/>
            </w:tcBorders>
            <w:shd w:val="clear" w:color="auto" w:fill="D9D9D9"/>
            <w:vAlign w:val="center"/>
          </w:tcPr>
          <w:p w:rsidR="00497DA0" w:rsidRPr="00497DA0" w:rsidRDefault="00497DA0" w:rsidP="006919A9">
            <w:pPr>
              <w:spacing w:after="0" w:line="240" w:lineRule="auto"/>
              <w:jc w:val="center"/>
              <w:rPr>
                <w:rFonts w:ascii="Arial Narrow" w:eastAsia="Times New Roman" w:hAnsi="Arial Narrow"/>
                <w:color w:val="000000"/>
                <w:szCs w:val="24"/>
                <w:lang w:eastAsia="es-ES"/>
              </w:rPr>
            </w:pPr>
            <w:r w:rsidRPr="00497DA0">
              <w:rPr>
                <w:rFonts w:ascii="Arial Narrow" w:eastAsia="Times New Roman" w:hAnsi="Arial Narrow"/>
                <w:color w:val="000000"/>
                <w:szCs w:val="24"/>
                <w:lang w:eastAsia="es-ES"/>
              </w:rPr>
              <w:t>POSICIÓN DEPARTAMENTAL</w:t>
            </w:r>
          </w:p>
        </w:tc>
        <w:tc>
          <w:tcPr>
            <w:tcW w:w="1701" w:type="dxa"/>
            <w:tcBorders>
              <w:top w:val="single" w:sz="4" w:space="0" w:color="auto"/>
              <w:left w:val="nil"/>
              <w:bottom w:val="single" w:sz="4" w:space="0" w:color="auto"/>
              <w:right w:val="single" w:sz="4" w:space="0" w:color="auto"/>
            </w:tcBorders>
            <w:shd w:val="clear" w:color="auto" w:fill="D9D9D9"/>
            <w:vAlign w:val="center"/>
          </w:tcPr>
          <w:p w:rsidR="00497DA0" w:rsidRPr="00497DA0" w:rsidRDefault="00497DA0" w:rsidP="006919A9">
            <w:pPr>
              <w:spacing w:after="0" w:line="240" w:lineRule="auto"/>
              <w:jc w:val="center"/>
              <w:rPr>
                <w:rFonts w:ascii="Arial Narrow" w:eastAsia="Times New Roman" w:hAnsi="Arial Narrow"/>
                <w:color w:val="000000"/>
                <w:szCs w:val="24"/>
                <w:lang w:eastAsia="es-ES"/>
              </w:rPr>
            </w:pPr>
            <w:r w:rsidRPr="00497DA0">
              <w:rPr>
                <w:rFonts w:ascii="Arial Narrow" w:eastAsia="Times New Roman" w:hAnsi="Arial Narrow"/>
                <w:color w:val="000000"/>
                <w:szCs w:val="24"/>
                <w:lang w:eastAsia="es-ES"/>
              </w:rPr>
              <w:t>POSICIÓN NACIONAL</w:t>
            </w:r>
          </w:p>
        </w:tc>
      </w:tr>
      <w:tr w:rsidR="00497DA0" w:rsidRPr="00497DA0" w:rsidTr="006919A9">
        <w:trPr>
          <w:trHeight w:val="540"/>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497DA0" w:rsidRPr="00497DA0" w:rsidRDefault="00497DA0" w:rsidP="006919A9">
            <w:pPr>
              <w:spacing w:after="0" w:line="240" w:lineRule="auto"/>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Indicador de desempeño fiscal 2010</w:t>
            </w:r>
          </w:p>
        </w:tc>
        <w:tc>
          <w:tcPr>
            <w:tcW w:w="1418" w:type="dxa"/>
            <w:tcBorders>
              <w:top w:val="nil"/>
              <w:left w:val="nil"/>
              <w:bottom w:val="single" w:sz="4" w:space="0" w:color="auto"/>
              <w:right w:val="single" w:sz="4" w:space="0" w:color="auto"/>
            </w:tcBorders>
            <w:shd w:val="clear" w:color="auto" w:fill="auto"/>
            <w:vAlign w:val="center"/>
            <w:hideMark/>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IDF</w:t>
            </w:r>
          </w:p>
        </w:tc>
        <w:tc>
          <w:tcPr>
            <w:tcW w:w="1701" w:type="dxa"/>
            <w:tcBorders>
              <w:top w:val="nil"/>
              <w:left w:val="nil"/>
              <w:bottom w:val="single" w:sz="4" w:space="0" w:color="auto"/>
              <w:right w:val="single" w:sz="4" w:space="0" w:color="auto"/>
            </w:tcBorders>
            <w:shd w:val="clear" w:color="auto" w:fill="auto"/>
            <w:vAlign w:val="center"/>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60.09</w:t>
            </w:r>
          </w:p>
        </w:tc>
        <w:tc>
          <w:tcPr>
            <w:tcW w:w="1843" w:type="dxa"/>
            <w:tcBorders>
              <w:top w:val="nil"/>
              <w:left w:val="nil"/>
              <w:bottom w:val="single" w:sz="4" w:space="0" w:color="auto"/>
              <w:right w:val="single" w:sz="4" w:space="0" w:color="auto"/>
            </w:tcBorders>
            <w:shd w:val="clear" w:color="auto" w:fill="auto"/>
            <w:vAlign w:val="center"/>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26/27</w:t>
            </w:r>
          </w:p>
        </w:tc>
        <w:tc>
          <w:tcPr>
            <w:tcW w:w="1701" w:type="dxa"/>
            <w:tcBorders>
              <w:top w:val="nil"/>
              <w:left w:val="nil"/>
              <w:bottom w:val="single" w:sz="4" w:space="0" w:color="auto"/>
              <w:right w:val="single" w:sz="4" w:space="0" w:color="auto"/>
            </w:tcBorders>
            <w:shd w:val="clear" w:color="auto" w:fill="auto"/>
            <w:vAlign w:val="center"/>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882/1101</w:t>
            </w:r>
          </w:p>
        </w:tc>
      </w:tr>
      <w:tr w:rsidR="00497DA0" w:rsidRPr="00497DA0" w:rsidTr="006919A9">
        <w:trPr>
          <w:trHeight w:val="540"/>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497DA0" w:rsidRPr="00497DA0" w:rsidRDefault="00497DA0" w:rsidP="006919A9">
            <w:pPr>
              <w:spacing w:after="0" w:line="240" w:lineRule="auto"/>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Índice de desempeño integral municipal 2010</w:t>
            </w:r>
          </w:p>
        </w:tc>
        <w:tc>
          <w:tcPr>
            <w:tcW w:w="1418" w:type="dxa"/>
            <w:tcBorders>
              <w:top w:val="nil"/>
              <w:left w:val="nil"/>
              <w:bottom w:val="single" w:sz="4" w:space="0" w:color="auto"/>
              <w:right w:val="single" w:sz="4" w:space="0" w:color="auto"/>
            </w:tcBorders>
            <w:shd w:val="clear" w:color="auto" w:fill="auto"/>
            <w:vAlign w:val="center"/>
            <w:hideMark/>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IDI</w:t>
            </w:r>
          </w:p>
        </w:tc>
        <w:tc>
          <w:tcPr>
            <w:tcW w:w="1701" w:type="dxa"/>
            <w:tcBorders>
              <w:top w:val="nil"/>
              <w:left w:val="nil"/>
              <w:bottom w:val="single" w:sz="4" w:space="0" w:color="auto"/>
              <w:right w:val="single" w:sz="4" w:space="0" w:color="auto"/>
            </w:tcBorders>
            <w:shd w:val="clear" w:color="auto" w:fill="auto"/>
            <w:vAlign w:val="center"/>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39.2</w:t>
            </w:r>
          </w:p>
        </w:tc>
        <w:tc>
          <w:tcPr>
            <w:tcW w:w="1843" w:type="dxa"/>
            <w:tcBorders>
              <w:top w:val="nil"/>
              <w:left w:val="nil"/>
              <w:bottom w:val="single" w:sz="4" w:space="0" w:color="auto"/>
              <w:right w:val="single" w:sz="4" w:space="0" w:color="auto"/>
            </w:tcBorders>
            <w:shd w:val="clear" w:color="auto" w:fill="auto"/>
            <w:vAlign w:val="center"/>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26/123</w:t>
            </w:r>
          </w:p>
        </w:tc>
        <w:tc>
          <w:tcPr>
            <w:tcW w:w="1701" w:type="dxa"/>
            <w:tcBorders>
              <w:top w:val="nil"/>
              <w:left w:val="nil"/>
              <w:bottom w:val="single" w:sz="4" w:space="0" w:color="auto"/>
              <w:right w:val="single" w:sz="4" w:space="0" w:color="auto"/>
            </w:tcBorders>
            <w:shd w:val="clear" w:color="auto" w:fill="auto"/>
            <w:vAlign w:val="center"/>
          </w:tcPr>
          <w:p w:rsidR="00497DA0" w:rsidRPr="00497DA0" w:rsidRDefault="00497DA0" w:rsidP="006919A9">
            <w:pPr>
              <w:spacing w:after="0" w:line="240" w:lineRule="auto"/>
              <w:jc w:val="center"/>
              <w:rPr>
                <w:rFonts w:ascii="Arial Narrow" w:eastAsia="Times New Roman" w:hAnsi="Arial Narrow"/>
                <w:color w:val="000000"/>
                <w:sz w:val="24"/>
                <w:szCs w:val="24"/>
                <w:lang w:eastAsia="es-ES"/>
              </w:rPr>
            </w:pPr>
            <w:r w:rsidRPr="00497DA0">
              <w:rPr>
                <w:rFonts w:ascii="Arial Narrow" w:eastAsia="Times New Roman" w:hAnsi="Arial Narrow"/>
                <w:color w:val="000000"/>
                <w:sz w:val="24"/>
                <w:szCs w:val="24"/>
                <w:lang w:eastAsia="es-ES"/>
              </w:rPr>
              <w:t>1028/1101</w:t>
            </w:r>
          </w:p>
        </w:tc>
      </w:tr>
    </w:tbl>
    <w:p w:rsidR="00497DA0" w:rsidRPr="00497DA0" w:rsidRDefault="00497DA0" w:rsidP="00497DA0">
      <w:pPr>
        <w:spacing w:before="240"/>
        <w:jc w:val="both"/>
        <w:rPr>
          <w:rFonts w:ascii="Arial Narrow" w:hAnsi="Arial Narrow"/>
          <w:i/>
          <w:sz w:val="24"/>
          <w:szCs w:val="24"/>
        </w:rPr>
      </w:pPr>
      <w:r w:rsidRPr="00497DA0">
        <w:rPr>
          <w:rFonts w:ascii="Arial Narrow" w:hAnsi="Arial Narrow"/>
          <w:i/>
          <w:sz w:val="24"/>
          <w:szCs w:val="24"/>
        </w:rPr>
        <w:t>Fuente: Elaboración propia con base en IGA, IDF e IDI</w:t>
      </w:r>
    </w:p>
    <w:p w:rsidR="00497DA0" w:rsidRPr="00497DA0" w:rsidRDefault="00497DA0" w:rsidP="00497DA0">
      <w:pPr>
        <w:spacing w:before="240"/>
        <w:jc w:val="both"/>
        <w:rPr>
          <w:rFonts w:ascii="Arial Narrow" w:hAnsi="Arial Narrow"/>
          <w:i/>
          <w:sz w:val="24"/>
          <w:szCs w:val="24"/>
        </w:rPr>
      </w:pPr>
      <w:r w:rsidRPr="00497DA0">
        <w:rPr>
          <w:rFonts w:ascii="Arial Narrow" w:hAnsi="Arial Narrow"/>
          <w:i/>
          <w:sz w:val="24"/>
          <w:szCs w:val="24"/>
        </w:rPr>
        <w:t>Dificultades encontradas,</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Reporte oportuno y de calidad de información requerida por el Gobierno nacional y departamental (FUT, SISBEN, SUI, entre otros)</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Estabilidad del personal (aplicación de la carrera administrativa)</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 xml:space="preserve">Profesionalización de la planta </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Disponibilidad de equipamiento como computadores, escritorios, acceso a internet</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Automatización de procesos (banco de proyectos, recaudo tributario, etc.)</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Funcionalidad de sistemas de información</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 xml:space="preserve">Almacenamiento de la información (ley de archivos) </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Estructura administrativa apropiada</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Implementación del Sistema de Gestión de Calidad y Modelo Estándar de Control Interno</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 xml:space="preserve">Socialización y publicación de la información relacionada con la gestión de la administración (páginas web actualizadas, publicaciones, </w:t>
      </w:r>
      <w:proofErr w:type="spellStart"/>
      <w:r w:rsidRPr="00497DA0">
        <w:rPr>
          <w:rFonts w:ascii="Arial Narrow" w:hAnsi="Arial Narrow"/>
          <w:sz w:val="24"/>
          <w:szCs w:val="24"/>
        </w:rPr>
        <w:t>visibilización</w:t>
      </w:r>
      <w:proofErr w:type="spellEnd"/>
      <w:r w:rsidRPr="00497DA0">
        <w:rPr>
          <w:rFonts w:ascii="Arial Narrow" w:hAnsi="Arial Narrow"/>
          <w:sz w:val="24"/>
          <w:szCs w:val="24"/>
        </w:rPr>
        <w:t xml:space="preserve"> de la contratación, etc.)</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lastRenderedPageBreak/>
        <w:t>Facilidades de participación e inclusión de la ciudadanía (servicio al ciudadano, presupuestos participativos, rendición de cuentas, etc.)</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Autofinanciación de gastos de funcionamiento</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Respaldo del servicio de la deuda</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Dependencia de las transferencias de la Nación</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Generación de recursos propios (actualización catastral, recaudo eficaz, promoción de la industria y comercio)</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Magnitud de la inversión pública (Gasto social focalizado)</w:t>
      </w:r>
    </w:p>
    <w:p w:rsidR="00497DA0" w:rsidRPr="00497DA0" w:rsidRDefault="00497DA0" w:rsidP="00497DA0">
      <w:pPr>
        <w:numPr>
          <w:ilvl w:val="0"/>
          <w:numId w:val="25"/>
        </w:numPr>
        <w:jc w:val="both"/>
        <w:rPr>
          <w:rFonts w:ascii="Arial Narrow" w:hAnsi="Arial Narrow"/>
          <w:sz w:val="24"/>
          <w:szCs w:val="24"/>
        </w:rPr>
      </w:pPr>
      <w:r w:rsidRPr="00497DA0">
        <w:rPr>
          <w:rFonts w:ascii="Arial Narrow" w:hAnsi="Arial Narrow"/>
          <w:sz w:val="24"/>
          <w:szCs w:val="24"/>
        </w:rPr>
        <w:t>Capacidad de ahorro</w:t>
      </w:r>
    </w:p>
    <w:p w:rsidR="00497DA0" w:rsidRDefault="00497DA0" w:rsidP="00497DA0">
      <w:pPr>
        <w:jc w:val="both"/>
        <w:rPr>
          <w:rFonts w:cs="Calibri"/>
          <w:sz w:val="28"/>
          <w:szCs w:val="28"/>
        </w:rPr>
      </w:pPr>
      <w:r>
        <w:rPr>
          <w:rFonts w:cs="Calibri"/>
          <w:sz w:val="28"/>
          <w:szCs w:val="28"/>
        </w:rPr>
        <w:t>Estructura Administrativa:</w:t>
      </w:r>
    </w:p>
    <w:p w:rsidR="00497DA0" w:rsidRPr="006772A7" w:rsidRDefault="00497DA0" w:rsidP="00497DA0">
      <w:pPr>
        <w:jc w:val="both"/>
        <w:rPr>
          <w:rFonts w:cs="Calibri"/>
          <w:sz w:val="28"/>
          <w:szCs w:val="28"/>
        </w:rPr>
      </w:pPr>
      <w:r w:rsidRPr="006772A7">
        <w:rPr>
          <w:rFonts w:cs="Calibri"/>
          <w:sz w:val="28"/>
          <w:szCs w:val="28"/>
        </w:rPr>
        <w:t>Mediante Acuerdo Municipal No. 207 del 7 de Abril de 2008, la anterior administración municipal adelantó un proceso de restructuración administrativa,</w:t>
      </w:r>
      <w:r w:rsidRPr="006772A7">
        <w:rPr>
          <w:rStyle w:val="Refdenotaalpie"/>
          <w:rFonts w:cs="Calibri"/>
        </w:rPr>
        <w:footnoteReference w:id="13"/>
      </w:r>
      <w:r w:rsidRPr="006772A7">
        <w:rPr>
          <w:rFonts w:cs="Calibri"/>
          <w:sz w:val="28"/>
          <w:szCs w:val="28"/>
        </w:rPr>
        <w:t xml:space="preserve"> esto con el fin de obtener una estructura administrativa consonante con el programa de gobierno y racionalizar el ejercicio de las funciones públicas, permitiendo así, que los procesos y procedimientos en cada una de las dependencias se desarrollaran con criterios de economía, celeridad, eficiencia y eficacia. Esta nueva estructura administrativa reconoció la importancia de la secretaría de planeación y obras públicas, secretaría de hacienda, secretaría de educación y  secretaría de deportes y cultura, ya que la estructura administrativa anterior al año 2008 solo contemplaba 2 secretarías: la secretaría de política social y la secretaría de gobierno y asuntos administrativos.</w:t>
      </w:r>
    </w:p>
    <w:p w:rsidR="00497DA0" w:rsidRPr="006772A7" w:rsidRDefault="00497DA0" w:rsidP="00497DA0">
      <w:pPr>
        <w:jc w:val="both"/>
        <w:rPr>
          <w:rFonts w:cs="Calibri"/>
          <w:sz w:val="28"/>
          <w:szCs w:val="28"/>
        </w:rPr>
      </w:pPr>
      <w:r w:rsidRPr="006772A7">
        <w:rPr>
          <w:rFonts w:cs="Calibri"/>
          <w:sz w:val="28"/>
          <w:szCs w:val="28"/>
        </w:rPr>
        <w:t xml:space="preserve">Además, se creó de la Secretaría de Desarrollo Económico y Servicios Públicos, como estrategia para impulsar la actividad económica de varios sectores del municipio y se aposto a que esta nueva estructura administrativa permitiera una mejor comunicación entre las dependencias y el despacho del alcalde. Mediante Acuerdo Municipal No.236 del 24 de Diciembre de 2009, el </w:t>
      </w:r>
      <w:r w:rsidRPr="006772A7">
        <w:rPr>
          <w:rFonts w:cs="Calibri"/>
          <w:sz w:val="28"/>
          <w:szCs w:val="28"/>
        </w:rPr>
        <w:lastRenderedPageBreak/>
        <w:t xml:space="preserve">Consejo Municipal complementa y adiciona el Acuerdo Municipal No. 207 de 2008, creando la Biblioteca Municipal, la Oficina de Cultura y Turismo y el Archivo General. </w:t>
      </w:r>
    </w:p>
    <w:p w:rsidR="00497DA0" w:rsidRPr="006772A7" w:rsidRDefault="00497DA0" w:rsidP="00497DA0">
      <w:pPr>
        <w:jc w:val="both"/>
        <w:rPr>
          <w:rFonts w:cs="Calibri"/>
          <w:sz w:val="28"/>
          <w:szCs w:val="28"/>
        </w:rPr>
      </w:pPr>
      <w:r w:rsidRPr="006772A7">
        <w:rPr>
          <w:rFonts w:cs="Calibri"/>
          <w:sz w:val="28"/>
          <w:szCs w:val="28"/>
        </w:rPr>
        <w:t>El organigrama actual de la administración municipal es el siguiente:</w:t>
      </w:r>
    </w:p>
    <w:p w:rsidR="00497DA0" w:rsidRPr="006772A7" w:rsidRDefault="00497DA0" w:rsidP="00497DA0">
      <w:pPr>
        <w:jc w:val="center"/>
        <w:rPr>
          <w:rFonts w:cs="Calibri"/>
          <w:sz w:val="28"/>
          <w:szCs w:val="28"/>
        </w:rPr>
      </w:pPr>
      <w:r>
        <w:rPr>
          <w:rFonts w:cs="Calibri"/>
          <w:noProof/>
          <w:sz w:val="28"/>
          <w:szCs w:val="28"/>
          <w:lang w:eastAsia="es-CO"/>
        </w:rPr>
        <w:drawing>
          <wp:inline distT="0" distB="0" distL="0" distR="0">
            <wp:extent cx="5509895" cy="271335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9895" cy="2713355"/>
                    </a:xfrm>
                    <a:prstGeom prst="rect">
                      <a:avLst/>
                    </a:prstGeom>
                    <a:noFill/>
                    <a:ln>
                      <a:noFill/>
                    </a:ln>
                  </pic:spPr>
                </pic:pic>
              </a:graphicData>
            </a:graphic>
          </wp:inline>
        </w:drawing>
      </w:r>
    </w:p>
    <w:p w:rsidR="00497DA0" w:rsidRPr="006772A7" w:rsidRDefault="00497DA0" w:rsidP="00497DA0">
      <w:pPr>
        <w:jc w:val="both"/>
        <w:rPr>
          <w:rFonts w:cs="Calibri"/>
          <w:sz w:val="28"/>
          <w:szCs w:val="28"/>
        </w:rPr>
      </w:pPr>
    </w:p>
    <w:p w:rsidR="00497DA0" w:rsidRPr="006772A7" w:rsidRDefault="00497DA0" w:rsidP="00497DA0">
      <w:pPr>
        <w:jc w:val="both"/>
        <w:rPr>
          <w:rFonts w:cs="Calibri"/>
          <w:sz w:val="28"/>
          <w:szCs w:val="28"/>
        </w:rPr>
      </w:pPr>
      <w:r w:rsidRPr="006772A7">
        <w:rPr>
          <w:rFonts w:cs="Calibri"/>
          <w:sz w:val="28"/>
          <w:szCs w:val="28"/>
        </w:rPr>
        <w:t>La estructura administrativa municipal es una estructura plana, que permite la comunicación tanto vertical como horizontal, sin embargo, no es una estructura administrativa coherente con los nuevos retos, responsabilidades y competencias que a los municipios les han asignado. Las falencias de la estructura administrativa radican principalmente en: la planeación institucional y estratégica y en el desarrollo del talento humano.</w:t>
      </w:r>
    </w:p>
    <w:p w:rsidR="00497DA0" w:rsidRPr="006772A7" w:rsidRDefault="00497DA0" w:rsidP="00497DA0">
      <w:pPr>
        <w:jc w:val="both"/>
        <w:rPr>
          <w:rFonts w:cs="Calibri"/>
          <w:sz w:val="28"/>
          <w:szCs w:val="28"/>
        </w:rPr>
      </w:pPr>
      <w:r w:rsidRPr="006772A7">
        <w:rPr>
          <w:rFonts w:cs="Calibri"/>
          <w:sz w:val="28"/>
          <w:szCs w:val="28"/>
        </w:rPr>
        <w:t xml:space="preserve"> La administración municipal no tiene la capacidad de adelantar un trabajo de planeación estratégica y de largo plazo. Los funcionarios, especialmente los secretarios de despacho y jefes de oficina se dedican a temas operativos, sus cargas laborales no les permite dedicarse a planear, sino a adelantar actividades del día a día. No se cuenta con un sistema de planeación donde se permita la recopilación de información, el seguimiento y evaluación al cumplimiento del plan de desarrollo, tampoco se tiene una área encargada </w:t>
      </w:r>
      <w:r w:rsidRPr="006772A7">
        <w:rPr>
          <w:rFonts w:cs="Calibri"/>
          <w:sz w:val="28"/>
          <w:szCs w:val="28"/>
        </w:rPr>
        <w:lastRenderedPageBreak/>
        <w:t>de elaborar y diseñar proyectos y la Secretaría de Planeación y Obras Publicas no adelanta ni coordina la planeación institucional.</w:t>
      </w:r>
    </w:p>
    <w:p w:rsidR="00497DA0" w:rsidRPr="006772A7" w:rsidRDefault="00497DA0" w:rsidP="00497DA0">
      <w:pPr>
        <w:jc w:val="both"/>
        <w:rPr>
          <w:rFonts w:cs="Calibri"/>
          <w:sz w:val="28"/>
          <w:szCs w:val="28"/>
        </w:rPr>
      </w:pPr>
      <w:r w:rsidRPr="006772A7">
        <w:rPr>
          <w:rFonts w:cs="Calibri"/>
          <w:sz w:val="28"/>
          <w:szCs w:val="28"/>
        </w:rPr>
        <w:t>En cuanto al desarrollo del talento humano, los comités, planes y programas no impactan positivamente en el recurso humano, no hay un sistema de monitoreo constante que vigile la eficiencia, la eficacia y la calidad, en el cumplimiento de las funciones, y en la prestación de los servicios.  Las acciones que se adelantan en materia de talento humano se han implementado más por dar cumplimiento a la normatividad, que por una valoración y entendimiento real del proceso como un asunto fundamental para el óptimo desarrollo de  la administración municipal.</w:t>
      </w:r>
    </w:p>
    <w:p w:rsidR="00497DA0" w:rsidRPr="006772A7" w:rsidRDefault="00497DA0" w:rsidP="00497DA0">
      <w:pPr>
        <w:jc w:val="both"/>
        <w:rPr>
          <w:rFonts w:cs="Calibri"/>
          <w:sz w:val="28"/>
          <w:szCs w:val="28"/>
        </w:rPr>
      </w:pPr>
      <w:r w:rsidRPr="006772A7">
        <w:rPr>
          <w:rFonts w:cs="Calibri"/>
          <w:sz w:val="28"/>
          <w:szCs w:val="28"/>
        </w:rPr>
        <w:t>La contratación de los funcionarios de la administración municipal se hace directamente desde el despacho mismo, a través de un asesor jurídico, o administrativo, los procesos de contratación a veces  no siguen los procedimientos establecidos por la ley</w:t>
      </w:r>
      <w:r w:rsidRPr="006772A7">
        <w:rPr>
          <w:rStyle w:val="Refdenotaalpie"/>
          <w:rFonts w:cs="Calibri"/>
        </w:rPr>
        <w:footnoteReference w:id="14"/>
      </w:r>
      <w:r w:rsidRPr="006772A7">
        <w:rPr>
          <w:rFonts w:cs="Calibri"/>
          <w:sz w:val="28"/>
          <w:szCs w:val="28"/>
        </w:rPr>
        <w:t>. Los procesos de interventor</w:t>
      </w:r>
      <w:r>
        <w:rPr>
          <w:rFonts w:cs="Calibri"/>
          <w:sz w:val="28"/>
          <w:szCs w:val="28"/>
        </w:rPr>
        <w:t>í</w:t>
      </w:r>
      <w:r w:rsidRPr="006772A7">
        <w:rPr>
          <w:rFonts w:cs="Calibri"/>
          <w:sz w:val="28"/>
          <w:szCs w:val="28"/>
        </w:rPr>
        <w:t>a también han evidenciado falenci</w:t>
      </w:r>
      <w:r>
        <w:rPr>
          <w:rFonts w:cs="Calibri"/>
          <w:sz w:val="28"/>
          <w:szCs w:val="28"/>
        </w:rPr>
        <w:t>as, Tanto la Contraloría Departamental de Caldas como la</w:t>
      </w:r>
      <w:r w:rsidRPr="006772A7">
        <w:rPr>
          <w:rFonts w:cs="Calibri"/>
          <w:sz w:val="28"/>
          <w:szCs w:val="28"/>
        </w:rPr>
        <w:t xml:space="preserve"> General de la República han levantado hallazgos y encontrado falencias en el proceso de contratación e interventoría, obligando a la administración a tomar medidas correctivas. Esta es la actual planta de personal de la administración:</w:t>
      </w:r>
    </w:p>
    <w:tbl>
      <w:tblPr>
        <w:tblW w:w="8240" w:type="dxa"/>
        <w:jc w:val="center"/>
        <w:tblBorders>
          <w:top w:val="single" w:sz="8" w:space="0" w:color="8064A2"/>
          <w:bottom w:val="single" w:sz="8" w:space="0" w:color="8064A2"/>
        </w:tblBorders>
        <w:tblLook w:val="04A0" w:firstRow="1" w:lastRow="0" w:firstColumn="1" w:lastColumn="0" w:noHBand="0" w:noVBand="1"/>
      </w:tblPr>
      <w:tblGrid>
        <w:gridCol w:w="2858"/>
        <w:gridCol w:w="1809"/>
        <w:gridCol w:w="1173"/>
        <w:gridCol w:w="1088"/>
        <w:gridCol w:w="1312"/>
      </w:tblGrid>
      <w:tr w:rsidR="00497DA0" w:rsidRPr="006772A7" w:rsidTr="006919A9">
        <w:trPr>
          <w:trHeight w:val="600"/>
          <w:jc w:val="center"/>
        </w:trPr>
        <w:tc>
          <w:tcPr>
            <w:tcW w:w="3840" w:type="dxa"/>
            <w:tcBorders>
              <w:top w:val="single" w:sz="8" w:space="0" w:color="8064A2"/>
              <w:left w:val="nil"/>
              <w:bottom w:val="single" w:sz="8" w:space="0" w:color="8064A2"/>
              <w:right w:val="nil"/>
            </w:tcBorders>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DENOMINACION DEL EMPLEO</w:t>
            </w:r>
          </w:p>
        </w:tc>
        <w:tc>
          <w:tcPr>
            <w:tcW w:w="1240" w:type="dxa"/>
            <w:tcBorders>
              <w:top w:val="single" w:sz="8" w:space="0" w:color="8064A2"/>
              <w:left w:val="nil"/>
              <w:bottom w:val="single" w:sz="8" w:space="0" w:color="8064A2"/>
              <w:right w:val="nil"/>
            </w:tcBorders>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NIVEL</w:t>
            </w:r>
          </w:p>
        </w:tc>
        <w:tc>
          <w:tcPr>
            <w:tcW w:w="1000" w:type="dxa"/>
            <w:tcBorders>
              <w:top w:val="single" w:sz="8" w:space="0" w:color="8064A2"/>
              <w:left w:val="nil"/>
              <w:bottom w:val="single" w:sz="8" w:space="0" w:color="8064A2"/>
              <w:right w:val="nil"/>
            </w:tcBorders>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CODIGO</w:t>
            </w:r>
          </w:p>
        </w:tc>
        <w:tc>
          <w:tcPr>
            <w:tcW w:w="960" w:type="dxa"/>
            <w:tcBorders>
              <w:top w:val="single" w:sz="8" w:space="0" w:color="8064A2"/>
              <w:left w:val="nil"/>
              <w:bottom w:val="single" w:sz="8" w:space="0" w:color="8064A2"/>
              <w:right w:val="nil"/>
            </w:tcBorders>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GRADO</w:t>
            </w:r>
          </w:p>
        </w:tc>
        <w:tc>
          <w:tcPr>
            <w:tcW w:w="1200" w:type="dxa"/>
            <w:tcBorders>
              <w:top w:val="single" w:sz="8" w:space="0" w:color="8064A2"/>
              <w:left w:val="nil"/>
              <w:bottom w:val="single" w:sz="8" w:space="0" w:color="8064A2"/>
              <w:right w:val="nil"/>
            </w:tcBorders>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NUMERO DE EMPLEO</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ALCALDE</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DIRECTIVO</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005</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00</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SECRETARIO DE DESPACHO</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DIRECTIVO</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020</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01</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SECRETARIO DE DESPACHO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DIRECTIVO</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020</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02</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3</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DIRECTOR LOCAL DE SALUD</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DIRECTIVO</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080</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03</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 xml:space="preserve">JEFE OFICINA ASESORA Y CONTROL </w:t>
            </w:r>
            <w:r w:rsidRPr="006772A7">
              <w:rPr>
                <w:rFonts w:eastAsia="Times New Roman" w:cs="Calibri"/>
                <w:b/>
                <w:bCs/>
                <w:color w:val="000000"/>
                <w:sz w:val="28"/>
                <w:szCs w:val="28"/>
                <w:lang w:val="es-ES" w:eastAsia="es-ES"/>
              </w:rPr>
              <w:lastRenderedPageBreak/>
              <w:t>INTERNO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lastRenderedPageBreak/>
              <w:t>DIRECTIVO</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006</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03</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lastRenderedPageBreak/>
              <w:t>JEFE OFICINA DE CULTURA Y TURISMO</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DIRECTIVO</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006</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04</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SUBSECRETARIO DE DESPACHO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DIRECTIVO</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045</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03</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COMISARIO DE FAMILIA</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PROFESIONAL</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202</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03</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PROFESIONAL UNIVERSITARIO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PROFESIONAL</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219</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02</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ALMACENISTA GENERAL</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PROFESIONAL</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215</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01</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INSPECTOR DE POLICIA DE 3 A 6 CATEGORIA</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TECNICO</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303</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05</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INSPECTOR DE POLICIA RURAL</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TECNICO</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306</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01</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2</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TECNICO ADMINISTRATIVO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TECNICO</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367</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01</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TECNICO ADMINISTRATIVO</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TECNICO</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367</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02</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TECNICO OPERATIVO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TECNICO</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314</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01</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CAPITAN DE BOMBEROS</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411</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04</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51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SECRETARIO EJECUTIVO DEL DESPACHON DEL ALCALDE</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438</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03</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SECRETARIA EJECUTIVA</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425</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02</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AUXILIAR ADMINISTRATIVO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407</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04</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5</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BOMBERO</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475</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04</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5</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AGENTE DE TRANSITO</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403</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01</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2</w:t>
            </w:r>
          </w:p>
        </w:tc>
      </w:tr>
      <w:tr w:rsidR="00497DA0" w:rsidRPr="006772A7" w:rsidTr="006919A9">
        <w:trPr>
          <w:trHeight w:val="300"/>
          <w:jc w:val="center"/>
        </w:trPr>
        <w:tc>
          <w:tcPr>
            <w:tcW w:w="3840" w:type="dxa"/>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CONDUCTOR</w:t>
            </w:r>
          </w:p>
        </w:tc>
        <w:tc>
          <w:tcPr>
            <w:tcW w:w="124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480</w:t>
            </w:r>
          </w:p>
        </w:tc>
        <w:tc>
          <w:tcPr>
            <w:tcW w:w="96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04</w:t>
            </w:r>
          </w:p>
        </w:tc>
        <w:tc>
          <w:tcPr>
            <w:tcW w:w="1200" w:type="dxa"/>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r w:rsidR="00497DA0" w:rsidRPr="006772A7" w:rsidTr="006919A9">
        <w:trPr>
          <w:trHeight w:val="300"/>
          <w:jc w:val="center"/>
        </w:trPr>
        <w:tc>
          <w:tcPr>
            <w:tcW w:w="3840" w:type="dxa"/>
            <w:tcBorders>
              <w:left w:val="nil"/>
              <w:right w:val="nil"/>
            </w:tcBorders>
            <w:shd w:val="clear" w:color="auto" w:fill="DFD8E8"/>
            <w:hideMark/>
          </w:tcPr>
          <w:p w:rsidR="00497DA0" w:rsidRPr="006772A7" w:rsidRDefault="00497DA0" w:rsidP="006919A9">
            <w:pPr>
              <w:spacing w:after="0" w:line="240" w:lineRule="auto"/>
              <w:jc w:val="both"/>
              <w:rPr>
                <w:rFonts w:eastAsia="Times New Roman" w:cs="Calibri"/>
                <w:b/>
                <w:bCs/>
                <w:color w:val="000000"/>
                <w:sz w:val="28"/>
                <w:szCs w:val="28"/>
                <w:lang w:val="es-ES" w:eastAsia="es-ES"/>
              </w:rPr>
            </w:pPr>
            <w:r w:rsidRPr="006772A7">
              <w:rPr>
                <w:rFonts w:eastAsia="Times New Roman" w:cs="Calibri"/>
                <w:b/>
                <w:bCs/>
                <w:color w:val="000000"/>
                <w:sz w:val="28"/>
                <w:szCs w:val="28"/>
                <w:lang w:val="es-ES" w:eastAsia="es-ES"/>
              </w:rPr>
              <w:t>AUXILIAR DE SERVICIOS GENERALES</w:t>
            </w:r>
          </w:p>
        </w:tc>
        <w:tc>
          <w:tcPr>
            <w:tcW w:w="124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ASISTENCIAL</w:t>
            </w:r>
          </w:p>
        </w:tc>
        <w:tc>
          <w:tcPr>
            <w:tcW w:w="10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470</w:t>
            </w:r>
          </w:p>
        </w:tc>
        <w:tc>
          <w:tcPr>
            <w:tcW w:w="96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01</w:t>
            </w:r>
          </w:p>
        </w:tc>
        <w:tc>
          <w:tcPr>
            <w:tcW w:w="1200" w:type="dxa"/>
            <w:tcBorders>
              <w:left w:val="nil"/>
              <w:right w:val="nil"/>
            </w:tcBorders>
            <w:shd w:val="clear" w:color="auto" w:fill="DFD8E8"/>
            <w:noWrap/>
            <w:hideMark/>
          </w:tcPr>
          <w:p w:rsidR="00497DA0" w:rsidRPr="006772A7" w:rsidRDefault="00497DA0" w:rsidP="006919A9">
            <w:pPr>
              <w:spacing w:after="0" w:line="240" w:lineRule="auto"/>
              <w:jc w:val="both"/>
              <w:rPr>
                <w:rFonts w:eastAsia="Times New Roman" w:cs="Calibri"/>
                <w:color w:val="000000"/>
                <w:sz w:val="28"/>
                <w:szCs w:val="28"/>
                <w:lang w:val="es-ES" w:eastAsia="es-ES"/>
              </w:rPr>
            </w:pPr>
            <w:r w:rsidRPr="006772A7">
              <w:rPr>
                <w:rFonts w:eastAsia="Times New Roman" w:cs="Calibri"/>
                <w:color w:val="000000"/>
                <w:sz w:val="28"/>
                <w:szCs w:val="28"/>
                <w:lang w:val="es-ES" w:eastAsia="es-ES"/>
              </w:rPr>
              <w:t>1</w:t>
            </w:r>
          </w:p>
        </w:tc>
      </w:tr>
    </w:tbl>
    <w:p w:rsidR="00497DA0" w:rsidRPr="006772A7" w:rsidRDefault="00497DA0" w:rsidP="00497DA0">
      <w:pPr>
        <w:jc w:val="both"/>
        <w:rPr>
          <w:rFonts w:cs="Calibri"/>
          <w:sz w:val="28"/>
          <w:szCs w:val="28"/>
        </w:rPr>
      </w:pPr>
    </w:p>
    <w:p w:rsidR="00497DA0" w:rsidRPr="006772A7" w:rsidRDefault="00497DA0" w:rsidP="00497DA0">
      <w:pPr>
        <w:jc w:val="both"/>
        <w:rPr>
          <w:rFonts w:cs="Calibri"/>
          <w:sz w:val="28"/>
          <w:szCs w:val="28"/>
        </w:rPr>
      </w:pPr>
      <w:r w:rsidRPr="006772A7">
        <w:rPr>
          <w:rFonts w:cs="Calibri"/>
          <w:sz w:val="28"/>
          <w:szCs w:val="28"/>
        </w:rPr>
        <w:lastRenderedPageBreak/>
        <w:t xml:space="preserve">Con referencia al tema de comunicaciones, el gobierno nacional viene impulsando estrategias como </w:t>
      </w:r>
      <w:r w:rsidRPr="000375EB">
        <w:rPr>
          <w:rFonts w:cs="Calibri"/>
          <w:sz w:val="28"/>
          <w:szCs w:val="28"/>
        </w:rPr>
        <w:t>gobierno en línea y vive digital</w:t>
      </w:r>
      <w:r w:rsidRPr="006772A7">
        <w:rPr>
          <w:rFonts w:cs="Calibri"/>
          <w:sz w:val="28"/>
          <w:szCs w:val="28"/>
        </w:rPr>
        <w:t>, con el fin de democratizar la información, permitiendo la participación y acceso a la información por parte de la comunidad y la transparencia en todos los procesos y actuaciones administrativas.  El Municipio de Riosucio ha intentado articularse a dicha estrategia, sin embargo, el déficit de recursos técnicos y de personal capacitado, han dilatado  el proceso de fortalecimiento en materia de sistemas de información, atención al ciudadano y publicación información.</w:t>
      </w:r>
    </w:p>
    <w:p w:rsidR="00497DA0" w:rsidRDefault="00497DA0" w:rsidP="00497DA0">
      <w:pPr>
        <w:jc w:val="both"/>
        <w:rPr>
          <w:rFonts w:cs="Calibri"/>
          <w:sz w:val="28"/>
          <w:szCs w:val="28"/>
        </w:rPr>
      </w:pPr>
      <w:r w:rsidRPr="006772A7">
        <w:rPr>
          <w:rFonts w:cs="Calibri"/>
          <w:sz w:val="28"/>
          <w:szCs w:val="28"/>
        </w:rPr>
        <w:t xml:space="preserve">Con referencia a la implementación del MECI, se han presentado dificultades, debido a las limitaciones de infraestructura y personal. La asignación de responsabilidades en este proceso, ha llevado a sobrecargar aún más trabajo en el personal de la administración municipal y por tanto ha faltado  rigurosidad en la implementación de dicho modelo de control. La coordinación del MECI requiere de un personal que se dedique exclusivamente a la implementación permanente del modelo con todos sus elementos y al seguimiento constante del mismo. </w:t>
      </w:r>
    </w:p>
    <w:p w:rsidR="00497DA0" w:rsidRPr="006772A7" w:rsidRDefault="00497DA0" w:rsidP="00497DA0">
      <w:pPr>
        <w:jc w:val="both"/>
        <w:rPr>
          <w:rFonts w:cs="Calibri"/>
          <w:sz w:val="28"/>
          <w:szCs w:val="28"/>
        </w:rPr>
      </w:pPr>
      <w:r w:rsidRPr="006772A7">
        <w:rPr>
          <w:rFonts w:cs="Calibri"/>
          <w:sz w:val="28"/>
          <w:szCs w:val="28"/>
        </w:rPr>
        <w:t>Como es bien sabido, dentro del territorio del Municipio de Riosucio existen cuatros resguardos indígenas, los cuales requieren de la articulación y firma de convenios con la administración municipal para la administración y manejo de los recursos que le son girados por parte del Gobierno Nacional, dentro del SGP. En anteriores administraciones municipales se tenía creado el cargo de enlace indígena, con el fin de que fuese esa oficina o funcionario el encargado de la articulación entre la administración municipal y los resguardos indígenas, sin embargo, durante la reestructuración administrativa adelantada por la anterior administración municipal fue suprimido este cargo, el cual quedo en manos de la Secretaría de Gobierno.</w:t>
      </w:r>
    </w:p>
    <w:p w:rsidR="00497DA0" w:rsidRPr="006772A7" w:rsidRDefault="00497DA0" w:rsidP="00497DA0">
      <w:pPr>
        <w:jc w:val="both"/>
        <w:rPr>
          <w:rFonts w:cs="Calibri"/>
          <w:sz w:val="28"/>
          <w:szCs w:val="28"/>
        </w:rPr>
      </w:pPr>
      <w:r w:rsidRPr="006772A7">
        <w:rPr>
          <w:rFonts w:cs="Calibri"/>
          <w:sz w:val="28"/>
          <w:szCs w:val="28"/>
        </w:rPr>
        <w:t xml:space="preserve">Con la restructuración administrativa adelantada por la anterior administración municipal, se creó la Secretaría de Desarrollo Económico y Servicios Públicos la cual sería la dependencia encargada de articular todo lo relacionado con el control y  el seguimiento de la prestación de los servicios </w:t>
      </w:r>
      <w:r w:rsidRPr="006772A7">
        <w:rPr>
          <w:rFonts w:cs="Calibri"/>
          <w:sz w:val="28"/>
          <w:szCs w:val="28"/>
        </w:rPr>
        <w:lastRenderedPageBreak/>
        <w:t>públicos, para que se efectuara en condiciones de eficiencia para la comunidad Riosuceña. Lamentablemente, esta dependencia sólo se centro en cumplir sus funciones con respecto al servicio alumbrado público, pero frene a los demás servicios hubo desentendimiento. Hasta ahora no se ha podido definir cuál es la competencia de cada secretaría frente a los servicios públicos.</w:t>
      </w:r>
    </w:p>
    <w:p w:rsidR="00497DA0" w:rsidRPr="006772A7" w:rsidRDefault="00497DA0" w:rsidP="00497DA0">
      <w:pPr>
        <w:jc w:val="both"/>
        <w:rPr>
          <w:rFonts w:cs="Calibri"/>
          <w:sz w:val="28"/>
          <w:szCs w:val="28"/>
        </w:rPr>
      </w:pPr>
      <w:r w:rsidRPr="006772A7">
        <w:rPr>
          <w:rFonts w:cs="Calibri"/>
          <w:sz w:val="28"/>
          <w:szCs w:val="28"/>
        </w:rPr>
        <w:t>No existe en la estructura administrativa una dependencia encargada de los temas relacionados con el Medio Ambiente, por tanto no existe una política pública frente al tema, ni se han adelantado acciones frente al impacto ambiental del cambio climático y de algunas actividades económicas como la minería artesanal. En materia ambiental, los entes de control han hecho exigencias al Municipio para cumplir con la normatividad vigente en esta materia, lamentablemente no se ha podido dar cumplimiento a dichas exigencias y se ha hecho evidente la falta de voluntad política frente a este tema.</w:t>
      </w:r>
    </w:p>
    <w:p w:rsidR="00497DA0" w:rsidRPr="006772A7" w:rsidRDefault="00497DA0" w:rsidP="00497DA0">
      <w:pPr>
        <w:jc w:val="both"/>
        <w:rPr>
          <w:rFonts w:cs="Calibri"/>
          <w:sz w:val="28"/>
          <w:szCs w:val="28"/>
        </w:rPr>
      </w:pPr>
      <w:r w:rsidRPr="006772A7">
        <w:rPr>
          <w:rFonts w:cs="Calibri"/>
          <w:sz w:val="28"/>
          <w:szCs w:val="28"/>
        </w:rPr>
        <w:t>Hasta ahora el municipio no ha logrado adelantar ninguna gestión en materia de cooperación internacional y la asociación de municipios del alto occidente fue inoperante. Riosucio se encuentra atrasado en materia de cooperación y gestión interinstitucional e interregional, no se han aprovechado estas estrategias como herramientas efectivas para la gestión de recursos y el apoyo técnico para el fortalecimiento institucional.</w:t>
      </w:r>
    </w:p>
    <w:p w:rsidR="00497DA0" w:rsidRPr="006772A7" w:rsidRDefault="00497DA0" w:rsidP="00497DA0">
      <w:pPr>
        <w:jc w:val="both"/>
        <w:rPr>
          <w:rFonts w:cs="Calibri"/>
          <w:sz w:val="28"/>
          <w:szCs w:val="28"/>
        </w:rPr>
      </w:pPr>
      <w:r w:rsidRPr="006772A7">
        <w:rPr>
          <w:rFonts w:cs="Calibri"/>
          <w:sz w:val="28"/>
          <w:szCs w:val="28"/>
          <w:u w:val="single"/>
        </w:rPr>
        <w:t>12.2 Debilidades</w:t>
      </w:r>
      <w:r w:rsidRPr="006772A7">
        <w:rPr>
          <w:rFonts w:cs="Calibri"/>
          <w:sz w:val="28"/>
          <w:szCs w:val="28"/>
        </w:rPr>
        <w:t>:</w:t>
      </w:r>
    </w:p>
    <w:p w:rsidR="00497DA0" w:rsidRPr="006772A7" w:rsidRDefault="00497DA0" w:rsidP="00497DA0">
      <w:pPr>
        <w:jc w:val="both"/>
        <w:rPr>
          <w:rFonts w:cs="Calibri"/>
          <w:sz w:val="28"/>
          <w:szCs w:val="28"/>
        </w:rPr>
      </w:pPr>
      <w:r w:rsidRPr="006772A7">
        <w:rPr>
          <w:rFonts w:cs="Calibri"/>
          <w:sz w:val="28"/>
          <w:szCs w:val="28"/>
        </w:rPr>
        <w:t>En primer lugar es necesario mencionar que como para las demás áreas, la falta de recursos económicos y técnicos son un vacío y una dificultad importante que debe enfrentar la infraestructura administrativa de nuestro municipio. La falta de personal capacitado para la articulación de la administración municipal y las administraciones indígenas es una gran debilidad, dado que desde ahí se pueden estar desconociendo derechos fundamentales para la población indígena de nuestro municipio.</w:t>
      </w:r>
    </w:p>
    <w:p w:rsidR="00497DA0" w:rsidRPr="006772A7" w:rsidRDefault="00497DA0" w:rsidP="00497DA0">
      <w:pPr>
        <w:jc w:val="both"/>
        <w:rPr>
          <w:rFonts w:cs="Calibri"/>
          <w:sz w:val="28"/>
          <w:szCs w:val="28"/>
        </w:rPr>
      </w:pPr>
      <w:r w:rsidRPr="006772A7">
        <w:rPr>
          <w:rFonts w:cs="Calibri"/>
          <w:sz w:val="28"/>
          <w:szCs w:val="28"/>
        </w:rPr>
        <w:lastRenderedPageBreak/>
        <w:t xml:space="preserve">La falta de un estudio técnico con criterio y objetividad para la reestructuración de la infraestructura administrativa municipal, se ha hecho evidente en la ausencia de oficinas y dependencias que se encarguen de temas tan importantes como: el medio ambiente, asuntos indígenas y cooperación y gestión interinstitucional. </w:t>
      </w:r>
    </w:p>
    <w:p w:rsidR="00497DA0" w:rsidRPr="006772A7" w:rsidRDefault="00497DA0" w:rsidP="00497DA0">
      <w:pPr>
        <w:jc w:val="both"/>
        <w:rPr>
          <w:rFonts w:cs="Calibri"/>
          <w:sz w:val="28"/>
          <w:szCs w:val="28"/>
        </w:rPr>
      </w:pPr>
      <w:r w:rsidRPr="006772A7">
        <w:rPr>
          <w:rFonts w:cs="Calibri"/>
          <w:sz w:val="28"/>
          <w:szCs w:val="28"/>
        </w:rPr>
        <w:t>Para el buen funcionamiento de cualquier estructura administrativa es necesaria la buena voluntad política y el compromiso permanente de los funcionarios que laboran en ella, es fundamental implementar con rigurosidad sistemas de información y seguimiento y  modelos de gestión y control. Desafortunadamente la administración municipal de Riosucio, no ha sido eficiente a la hora de adoptar dichos sistemas y modelos, tal es el caso del MECI.</w:t>
      </w:r>
      <w:r w:rsidRPr="006772A7">
        <w:rPr>
          <w:rStyle w:val="Refdenotaalpie"/>
          <w:rFonts w:cs="Calibri"/>
        </w:rPr>
        <w:footnoteReference w:id="15"/>
      </w:r>
    </w:p>
    <w:p w:rsidR="00497DA0" w:rsidRPr="006772A7" w:rsidRDefault="00497DA0" w:rsidP="00497DA0">
      <w:pPr>
        <w:rPr>
          <w:rFonts w:cs="Calibri"/>
          <w:sz w:val="28"/>
          <w:szCs w:val="28"/>
          <w:u w:val="single"/>
        </w:rPr>
      </w:pPr>
      <w:r w:rsidRPr="006772A7">
        <w:rPr>
          <w:rFonts w:cs="Calibri"/>
          <w:sz w:val="28"/>
          <w:szCs w:val="28"/>
          <w:u w:val="single"/>
        </w:rPr>
        <w:t>12.3 Potencialidades:</w:t>
      </w:r>
    </w:p>
    <w:p w:rsidR="00497DA0" w:rsidRPr="006772A7" w:rsidRDefault="00497DA0" w:rsidP="00497DA0">
      <w:pPr>
        <w:jc w:val="both"/>
        <w:rPr>
          <w:rFonts w:cs="Calibri"/>
          <w:sz w:val="28"/>
          <w:szCs w:val="28"/>
        </w:rPr>
      </w:pPr>
      <w:r w:rsidRPr="006772A7">
        <w:rPr>
          <w:rFonts w:cs="Calibri"/>
          <w:sz w:val="28"/>
          <w:szCs w:val="28"/>
        </w:rPr>
        <w:t>A nivel nacional se han creado estrategias y procedimientos que buscan empoderar y fortalecer a los municipios y entidades territoriales en sus sistemas de gestión, por tanto, Gobierno en línea o el modelo MECI son estrategias que los gobiernos locales y particularmente el gobierno municipal de Riosucio deben aprovechar al máximo, es necesario crear una oficina o dependencia que se encargue de optimizar y sacar el mejor provecho a las herramientas entregadas por el gobierno central.</w:t>
      </w:r>
    </w:p>
    <w:p w:rsidR="00497DA0" w:rsidRPr="006772A7" w:rsidRDefault="00497DA0" w:rsidP="00497DA0">
      <w:pPr>
        <w:jc w:val="both"/>
        <w:rPr>
          <w:rFonts w:cs="Calibri"/>
          <w:sz w:val="28"/>
          <w:szCs w:val="28"/>
        </w:rPr>
      </w:pPr>
      <w:r w:rsidRPr="006772A7">
        <w:rPr>
          <w:rFonts w:cs="Calibri"/>
          <w:sz w:val="28"/>
          <w:szCs w:val="28"/>
        </w:rPr>
        <w:t>En el transcurso de la historia de nuestro municipio, siempre han existido diferencias y poca articulación entre la administración municipal y los resguardos indígenas. Si logramos articular los esfuerzos generados al interior de los resguardos, con las acciones realizadas por la administración municipal y crear alianzas estratégicas para la ejecución de proyectos, el municipio obtendrá mejores resultados y mayor impacto en la calidad de vida de la población indígena y rural del municipio.</w:t>
      </w:r>
    </w:p>
    <w:p w:rsidR="00497DA0" w:rsidRPr="006772A7" w:rsidRDefault="00497DA0" w:rsidP="00497DA0">
      <w:pPr>
        <w:jc w:val="both"/>
        <w:rPr>
          <w:rFonts w:cs="Calibri"/>
          <w:sz w:val="28"/>
          <w:szCs w:val="28"/>
        </w:rPr>
      </w:pPr>
      <w:r w:rsidRPr="006772A7">
        <w:rPr>
          <w:rFonts w:cs="Calibri"/>
          <w:sz w:val="28"/>
          <w:szCs w:val="28"/>
        </w:rPr>
        <w:lastRenderedPageBreak/>
        <w:t>Es necesario tratar de crear algunas dependencias y oficinas que son vitales para el desarrollo económico sostenible del municipio; medio ambiente, gestión interinstitucional, asuntos indígenas y talento humano. Estas oficinas, podrán contribuir a responder de manera más eficiente a las necesidades y requerimientos del municipio.</w:t>
      </w:r>
    </w:p>
    <w:p w:rsidR="00497DA0" w:rsidRPr="006772A7" w:rsidRDefault="00497DA0" w:rsidP="00497DA0">
      <w:pPr>
        <w:jc w:val="both"/>
        <w:rPr>
          <w:rFonts w:cs="Calibri"/>
          <w:sz w:val="28"/>
          <w:szCs w:val="28"/>
        </w:rPr>
      </w:pPr>
      <w:r w:rsidRPr="006772A7">
        <w:rPr>
          <w:rFonts w:cs="Calibri"/>
          <w:sz w:val="28"/>
          <w:szCs w:val="28"/>
        </w:rPr>
        <w:t>Finalmente los manuales y directrices elaboradas por la academia a través de entidades como la ESAP son herramientas eficaces para hacer seguimiento, monitoreo y evaluación permanente a los procesos de gestión pública en los entes territoriales. El municipio debe empoderarse de dichas herramientas y solicitar capacitación para hacer una adecuada y efectiva implementación a nivel local.</w:t>
      </w:r>
    </w:p>
    <w:p w:rsidR="00497DA0" w:rsidRPr="006772A7" w:rsidRDefault="00497DA0" w:rsidP="00497DA0">
      <w:pPr>
        <w:numPr>
          <w:ilvl w:val="0"/>
          <w:numId w:val="21"/>
        </w:numPr>
        <w:rPr>
          <w:rFonts w:cs="Calibri"/>
          <w:b/>
          <w:sz w:val="28"/>
          <w:szCs w:val="28"/>
        </w:rPr>
      </w:pPr>
      <w:r w:rsidRPr="006772A7">
        <w:rPr>
          <w:rFonts w:cs="Calibri"/>
          <w:b/>
          <w:sz w:val="28"/>
          <w:szCs w:val="28"/>
        </w:rPr>
        <w:t>Medio Ambiente:</w:t>
      </w:r>
    </w:p>
    <w:p w:rsidR="00497DA0" w:rsidRPr="006772A7" w:rsidRDefault="00497DA0" w:rsidP="00497DA0">
      <w:pPr>
        <w:rPr>
          <w:rFonts w:cs="Calibri"/>
          <w:sz w:val="28"/>
          <w:szCs w:val="28"/>
          <w:u w:val="single"/>
        </w:rPr>
      </w:pPr>
      <w:r w:rsidRPr="006772A7">
        <w:rPr>
          <w:rFonts w:cs="Calibri"/>
          <w:sz w:val="28"/>
          <w:szCs w:val="28"/>
          <w:u w:val="single"/>
        </w:rPr>
        <w:t>13.1 Características:</w:t>
      </w:r>
    </w:p>
    <w:p w:rsidR="00497DA0" w:rsidRPr="006772A7" w:rsidRDefault="00497DA0" w:rsidP="00497DA0">
      <w:pPr>
        <w:jc w:val="both"/>
        <w:rPr>
          <w:rFonts w:cs="Calibri"/>
          <w:sz w:val="28"/>
          <w:szCs w:val="28"/>
          <w:lang w:val="es-ES_tradnl"/>
        </w:rPr>
      </w:pPr>
      <w:r w:rsidRPr="006772A7">
        <w:rPr>
          <w:rFonts w:cs="Calibri"/>
          <w:sz w:val="28"/>
          <w:szCs w:val="28"/>
        </w:rPr>
        <w:t xml:space="preserve">Estructura Hídrica: </w:t>
      </w:r>
      <w:r w:rsidRPr="006772A7">
        <w:rPr>
          <w:rFonts w:cs="Calibri"/>
          <w:sz w:val="28"/>
          <w:szCs w:val="28"/>
          <w:lang w:val="es-ES_tradnl"/>
        </w:rPr>
        <w:t xml:space="preserve">Áreas ubicadas aguas arriba de bocatomas pertenecientes a sistemas de aprovisionamiento de agua, acueductos rurales y urbanos, destinados al consumo humano-doméstico, pecuario, agrícola, piscícola e industrial. Se destaca que en su mayoría los acueductos que operan en un municipio son de tipo comunitario y/o manejados directamente por los resguardos indígenas, por lo cual se carece en algunos casos, de los datos técnicos básicos establecidos para cada </w:t>
      </w:r>
      <w:proofErr w:type="spellStart"/>
      <w:r w:rsidRPr="006772A7">
        <w:rPr>
          <w:rFonts w:cs="Calibri"/>
          <w:sz w:val="28"/>
          <w:szCs w:val="28"/>
          <w:lang w:val="es-ES_tradnl"/>
        </w:rPr>
        <w:t>microcuenca</w:t>
      </w:r>
      <w:proofErr w:type="spellEnd"/>
      <w:r w:rsidRPr="006772A7">
        <w:rPr>
          <w:rFonts w:cs="Calibri"/>
          <w:sz w:val="28"/>
          <w:szCs w:val="28"/>
          <w:lang w:val="es-ES_tradnl"/>
        </w:rPr>
        <w:t xml:space="preserve">, específicamente como caudales </w:t>
      </w:r>
      <w:proofErr w:type="gramStart"/>
      <w:r w:rsidRPr="006772A7">
        <w:rPr>
          <w:rFonts w:cs="Calibri"/>
          <w:sz w:val="28"/>
          <w:szCs w:val="28"/>
          <w:lang w:val="es-ES_tradnl"/>
        </w:rPr>
        <w:t xml:space="preserve">( </w:t>
      </w:r>
      <w:proofErr w:type="spellStart"/>
      <w:r w:rsidRPr="006772A7">
        <w:rPr>
          <w:rFonts w:cs="Calibri"/>
          <w:sz w:val="28"/>
          <w:szCs w:val="28"/>
          <w:lang w:val="es-ES_tradnl"/>
        </w:rPr>
        <w:t>lts</w:t>
      </w:r>
      <w:proofErr w:type="spellEnd"/>
      <w:proofErr w:type="gramEnd"/>
      <w:r w:rsidRPr="006772A7">
        <w:rPr>
          <w:rFonts w:cs="Calibri"/>
          <w:sz w:val="28"/>
          <w:szCs w:val="28"/>
          <w:lang w:val="es-ES_tradnl"/>
        </w:rPr>
        <w:t xml:space="preserve">/ </w:t>
      </w:r>
      <w:proofErr w:type="spellStart"/>
      <w:r w:rsidRPr="006772A7">
        <w:rPr>
          <w:rFonts w:cs="Calibri"/>
          <w:sz w:val="28"/>
          <w:szCs w:val="28"/>
          <w:lang w:val="es-ES_tradnl"/>
        </w:rPr>
        <w:t>seg</w:t>
      </w:r>
      <w:proofErr w:type="spellEnd"/>
      <w:r w:rsidRPr="006772A7">
        <w:rPr>
          <w:rFonts w:cs="Calibri"/>
          <w:sz w:val="28"/>
          <w:szCs w:val="28"/>
          <w:lang w:val="es-ES_tradnl"/>
        </w:rPr>
        <w:t xml:space="preserve">), estado de las mismas y número de usuarios a los cuales provee el sistema. </w:t>
      </w: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Bosques naturales: </w:t>
      </w:r>
      <w:r w:rsidRPr="006772A7">
        <w:rPr>
          <w:rFonts w:cs="Calibri"/>
          <w:sz w:val="28"/>
          <w:szCs w:val="28"/>
        </w:rPr>
        <w:t xml:space="preserve">Bosques Naturales en  El Resguardo Indígena de La Montaña: El Rosario, El Pensil, La Antioqueña, Arroyo Hondo, La Florida, Peñas Blancas, Pavía, San Vicente, Palestina. </w:t>
      </w:r>
      <w:r w:rsidRPr="006772A7">
        <w:rPr>
          <w:rFonts w:cs="Calibri"/>
          <w:sz w:val="28"/>
          <w:szCs w:val="28"/>
          <w:lang w:val="es-ES_tradnl"/>
        </w:rPr>
        <w:t>Bosques Naturales en El Resguardo Indígena de San Lorenzo:</w:t>
      </w:r>
      <w:r w:rsidRPr="006772A7">
        <w:rPr>
          <w:rFonts w:cs="Calibri"/>
          <w:b/>
          <w:sz w:val="28"/>
          <w:szCs w:val="28"/>
          <w:lang w:val="es-ES_tradnl"/>
        </w:rPr>
        <w:t xml:space="preserve"> </w:t>
      </w:r>
      <w:r w:rsidRPr="006772A7">
        <w:rPr>
          <w:rFonts w:cs="Calibri"/>
          <w:sz w:val="28"/>
          <w:szCs w:val="28"/>
          <w:lang w:val="es-ES_tradnl"/>
        </w:rPr>
        <w:t>El Palmar, Tierra Fría (</w:t>
      </w:r>
      <w:proofErr w:type="spellStart"/>
      <w:r w:rsidRPr="006772A7">
        <w:rPr>
          <w:rFonts w:cs="Calibri"/>
          <w:sz w:val="28"/>
          <w:szCs w:val="28"/>
          <w:lang w:val="es-ES_tradnl"/>
        </w:rPr>
        <w:t>Agrovillas</w:t>
      </w:r>
      <w:proofErr w:type="spellEnd"/>
      <w:r w:rsidRPr="006772A7">
        <w:rPr>
          <w:rFonts w:cs="Calibri"/>
          <w:sz w:val="28"/>
          <w:szCs w:val="28"/>
          <w:lang w:val="es-ES_tradnl"/>
        </w:rPr>
        <w:t>), Ovejera (</w:t>
      </w:r>
      <w:proofErr w:type="spellStart"/>
      <w:r w:rsidRPr="006772A7">
        <w:rPr>
          <w:rFonts w:cs="Calibri"/>
          <w:sz w:val="28"/>
          <w:szCs w:val="28"/>
          <w:lang w:val="es-ES_tradnl"/>
        </w:rPr>
        <w:t>Agrovillas</w:t>
      </w:r>
      <w:proofErr w:type="spellEnd"/>
      <w:r w:rsidRPr="006772A7">
        <w:rPr>
          <w:rFonts w:cs="Calibri"/>
          <w:sz w:val="28"/>
          <w:szCs w:val="28"/>
          <w:lang w:val="es-ES_tradnl"/>
        </w:rPr>
        <w:t>), El Roble y Veneros.</w:t>
      </w:r>
    </w:p>
    <w:p w:rsidR="00497DA0" w:rsidRPr="006772A7" w:rsidRDefault="00497DA0" w:rsidP="00497DA0">
      <w:pPr>
        <w:jc w:val="both"/>
        <w:rPr>
          <w:rFonts w:cs="Calibri"/>
          <w:sz w:val="28"/>
          <w:szCs w:val="28"/>
          <w:lang w:val="es-ES_tradnl"/>
        </w:rPr>
      </w:pPr>
      <w:r w:rsidRPr="006772A7">
        <w:rPr>
          <w:rFonts w:cs="Calibri"/>
          <w:sz w:val="28"/>
          <w:szCs w:val="28"/>
          <w:lang w:val="es-ES_tradnl"/>
        </w:rPr>
        <w:t>Biodiversidad: la biodiversidad del municipio puede ser clasificada de la siguiente forma:</w:t>
      </w:r>
    </w:p>
    <w:p w:rsidR="00497DA0" w:rsidRPr="006772A7" w:rsidRDefault="00497DA0" w:rsidP="00497DA0">
      <w:pPr>
        <w:jc w:val="both"/>
        <w:rPr>
          <w:rFonts w:cs="Calibri"/>
          <w:sz w:val="28"/>
          <w:szCs w:val="28"/>
          <w:lang w:val="es-ES_tradnl"/>
        </w:rPr>
      </w:pPr>
    </w:p>
    <w:tbl>
      <w:tblPr>
        <w:tblW w:w="0" w:type="auto"/>
        <w:jc w:val="center"/>
        <w:tblBorders>
          <w:top w:val="single" w:sz="8" w:space="0" w:color="8064A2"/>
          <w:bottom w:val="single" w:sz="8" w:space="0" w:color="8064A2"/>
        </w:tblBorders>
        <w:tblLook w:val="04A0" w:firstRow="1" w:lastRow="0" w:firstColumn="1" w:lastColumn="0" w:noHBand="0" w:noVBand="1"/>
      </w:tblPr>
      <w:tblGrid>
        <w:gridCol w:w="1672"/>
        <w:gridCol w:w="3663"/>
        <w:gridCol w:w="2681"/>
      </w:tblGrid>
      <w:tr w:rsidR="00497DA0" w:rsidRPr="006772A7" w:rsidTr="006919A9">
        <w:trPr>
          <w:jc w:val="center"/>
        </w:trPr>
        <w:tc>
          <w:tcPr>
            <w:tcW w:w="1667" w:type="dxa"/>
            <w:tcBorders>
              <w:top w:val="nil"/>
              <w:bottom w:val="single" w:sz="8" w:space="0" w:color="8064A2"/>
            </w:tcBorders>
          </w:tcPr>
          <w:p w:rsidR="00497DA0" w:rsidRPr="006772A7" w:rsidRDefault="00497DA0" w:rsidP="006919A9">
            <w:pPr>
              <w:pStyle w:val="Sinespaciado"/>
              <w:tabs>
                <w:tab w:val="left" w:pos="709"/>
              </w:tabs>
              <w:jc w:val="center"/>
              <w:rPr>
                <w:rFonts w:cs="Calibri"/>
                <w:b/>
                <w:bCs/>
                <w:color w:val="000000"/>
                <w:sz w:val="28"/>
                <w:szCs w:val="28"/>
              </w:rPr>
            </w:pPr>
            <w:r w:rsidRPr="006772A7">
              <w:rPr>
                <w:rFonts w:cs="Calibri"/>
                <w:b/>
                <w:bCs/>
                <w:color w:val="000000"/>
                <w:sz w:val="28"/>
                <w:szCs w:val="28"/>
              </w:rPr>
              <w:t>ZONA DE VIDA</w:t>
            </w:r>
          </w:p>
        </w:tc>
        <w:tc>
          <w:tcPr>
            <w:tcW w:w="3663" w:type="dxa"/>
            <w:tcBorders>
              <w:top w:val="nil"/>
              <w:bottom w:val="single" w:sz="8" w:space="0" w:color="8064A2"/>
            </w:tcBorders>
          </w:tcPr>
          <w:p w:rsidR="00497DA0" w:rsidRPr="006772A7" w:rsidRDefault="00497DA0" w:rsidP="006919A9">
            <w:pPr>
              <w:pStyle w:val="Sinespaciado"/>
              <w:tabs>
                <w:tab w:val="left" w:pos="709"/>
              </w:tabs>
              <w:jc w:val="center"/>
              <w:rPr>
                <w:rFonts w:cs="Calibri"/>
                <w:b/>
                <w:color w:val="000000"/>
                <w:sz w:val="28"/>
                <w:szCs w:val="28"/>
              </w:rPr>
            </w:pPr>
            <w:r w:rsidRPr="006772A7">
              <w:rPr>
                <w:rFonts w:cs="Calibri"/>
                <w:b/>
                <w:color w:val="000000"/>
                <w:sz w:val="28"/>
                <w:szCs w:val="28"/>
              </w:rPr>
              <w:t>LOCALIZACIÓN</w:t>
            </w:r>
          </w:p>
        </w:tc>
        <w:tc>
          <w:tcPr>
            <w:tcW w:w="2681" w:type="dxa"/>
            <w:tcBorders>
              <w:top w:val="nil"/>
              <w:bottom w:val="single" w:sz="8" w:space="0" w:color="8064A2"/>
            </w:tcBorders>
          </w:tcPr>
          <w:p w:rsidR="00497DA0" w:rsidRPr="006772A7" w:rsidRDefault="00497DA0" w:rsidP="006919A9">
            <w:pPr>
              <w:pStyle w:val="Sinespaciado"/>
              <w:tabs>
                <w:tab w:val="left" w:pos="709"/>
              </w:tabs>
              <w:jc w:val="center"/>
              <w:rPr>
                <w:rFonts w:cs="Calibri"/>
                <w:b/>
                <w:color w:val="000000"/>
                <w:sz w:val="28"/>
                <w:szCs w:val="28"/>
              </w:rPr>
            </w:pPr>
            <w:r w:rsidRPr="006772A7">
              <w:rPr>
                <w:rFonts w:cs="Calibri"/>
                <w:b/>
                <w:color w:val="000000"/>
                <w:sz w:val="28"/>
                <w:szCs w:val="28"/>
              </w:rPr>
              <w:t>LOCALIZACIÓN SEGÚN RESGUARDO</w:t>
            </w:r>
          </w:p>
        </w:tc>
      </w:tr>
      <w:tr w:rsidR="00497DA0" w:rsidRPr="006772A7" w:rsidTr="006919A9">
        <w:trPr>
          <w:jc w:val="center"/>
        </w:trPr>
        <w:tc>
          <w:tcPr>
            <w:tcW w:w="1667" w:type="dxa"/>
            <w:shd w:val="clear" w:color="auto" w:fill="DFD8E8"/>
          </w:tcPr>
          <w:p w:rsidR="00497DA0" w:rsidRPr="006772A7" w:rsidRDefault="00497DA0" w:rsidP="006919A9">
            <w:pPr>
              <w:pStyle w:val="Sinespaciado"/>
              <w:tabs>
                <w:tab w:val="left" w:pos="709"/>
              </w:tabs>
              <w:jc w:val="both"/>
              <w:rPr>
                <w:rFonts w:cs="Calibri"/>
                <w:b/>
                <w:bCs/>
                <w:color w:val="000000"/>
                <w:sz w:val="28"/>
                <w:szCs w:val="28"/>
              </w:rPr>
            </w:pPr>
            <w:r w:rsidRPr="006772A7">
              <w:rPr>
                <w:rFonts w:cs="Calibri"/>
                <w:b/>
                <w:bCs/>
                <w:color w:val="000000"/>
                <w:sz w:val="28"/>
                <w:szCs w:val="28"/>
              </w:rPr>
              <w:t xml:space="preserve">Bosque húmedo </w:t>
            </w:r>
            <w:proofErr w:type="spellStart"/>
            <w:r w:rsidRPr="006772A7">
              <w:rPr>
                <w:rFonts w:cs="Calibri"/>
                <w:b/>
                <w:bCs/>
                <w:color w:val="000000"/>
                <w:sz w:val="28"/>
                <w:szCs w:val="28"/>
              </w:rPr>
              <w:t>premontano</w:t>
            </w:r>
            <w:proofErr w:type="spellEnd"/>
          </w:p>
        </w:tc>
        <w:tc>
          <w:tcPr>
            <w:tcW w:w="3663" w:type="dxa"/>
            <w:shd w:val="clear" w:color="auto" w:fill="DFD8E8"/>
          </w:tcPr>
          <w:p w:rsidR="00497DA0" w:rsidRPr="006772A7" w:rsidRDefault="00497DA0" w:rsidP="006919A9">
            <w:pPr>
              <w:pStyle w:val="Sinespaciado"/>
              <w:tabs>
                <w:tab w:val="left" w:pos="709"/>
              </w:tabs>
              <w:jc w:val="both"/>
              <w:rPr>
                <w:rFonts w:cs="Calibri"/>
                <w:color w:val="000000"/>
                <w:sz w:val="28"/>
                <w:szCs w:val="28"/>
              </w:rPr>
            </w:pPr>
            <w:r w:rsidRPr="006772A7">
              <w:rPr>
                <w:rFonts w:cs="Calibri"/>
                <w:color w:val="000000"/>
                <w:sz w:val="28"/>
                <w:szCs w:val="28"/>
              </w:rPr>
              <w:t>Zona baja del Rio Cauca y desembocadura de los Ríos Supía y Riosucio.</w:t>
            </w:r>
          </w:p>
        </w:tc>
        <w:tc>
          <w:tcPr>
            <w:tcW w:w="2681" w:type="dxa"/>
            <w:shd w:val="clear" w:color="auto" w:fill="DFD8E8"/>
          </w:tcPr>
          <w:p w:rsidR="00497DA0" w:rsidRPr="006772A7" w:rsidRDefault="00497DA0" w:rsidP="006919A9">
            <w:pPr>
              <w:pStyle w:val="Sinespaciado"/>
              <w:tabs>
                <w:tab w:val="left" w:pos="709"/>
              </w:tabs>
              <w:jc w:val="both"/>
              <w:rPr>
                <w:rFonts w:cs="Calibri"/>
                <w:color w:val="000000"/>
                <w:sz w:val="28"/>
                <w:szCs w:val="28"/>
              </w:rPr>
            </w:pPr>
            <w:r w:rsidRPr="006772A7">
              <w:rPr>
                <w:rFonts w:cs="Calibri"/>
                <w:color w:val="000000"/>
                <w:sz w:val="28"/>
                <w:szCs w:val="28"/>
              </w:rPr>
              <w:t xml:space="preserve">Resguardo indígena Cañamomo y Lomaprieta; y Parcialidad indígena de Escopetera - </w:t>
            </w:r>
            <w:proofErr w:type="spellStart"/>
            <w:r w:rsidRPr="006772A7">
              <w:rPr>
                <w:rFonts w:cs="Calibri"/>
                <w:color w:val="000000"/>
                <w:sz w:val="28"/>
                <w:szCs w:val="28"/>
              </w:rPr>
              <w:t>Pirsa</w:t>
            </w:r>
            <w:proofErr w:type="spellEnd"/>
          </w:p>
        </w:tc>
      </w:tr>
      <w:tr w:rsidR="00497DA0" w:rsidRPr="006772A7" w:rsidTr="006919A9">
        <w:trPr>
          <w:jc w:val="center"/>
        </w:trPr>
        <w:tc>
          <w:tcPr>
            <w:tcW w:w="1667" w:type="dxa"/>
          </w:tcPr>
          <w:p w:rsidR="00497DA0" w:rsidRPr="006772A7" w:rsidRDefault="00497DA0" w:rsidP="006919A9">
            <w:pPr>
              <w:pStyle w:val="Sinespaciado"/>
              <w:tabs>
                <w:tab w:val="left" w:pos="709"/>
              </w:tabs>
              <w:jc w:val="both"/>
              <w:rPr>
                <w:rFonts w:cs="Calibri"/>
                <w:b/>
                <w:bCs/>
                <w:color w:val="000000"/>
                <w:sz w:val="28"/>
                <w:szCs w:val="28"/>
              </w:rPr>
            </w:pPr>
            <w:r w:rsidRPr="006772A7">
              <w:rPr>
                <w:rFonts w:cs="Calibri"/>
                <w:b/>
                <w:bCs/>
                <w:color w:val="000000"/>
                <w:sz w:val="28"/>
                <w:szCs w:val="28"/>
              </w:rPr>
              <w:t xml:space="preserve">Bosque muy húmedo </w:t>
            </w:r>
            <w:proofErr w:type="spellStart"/>
            <w:r w:rsidRPr="006772A7">
              <w:rPr>
                <w:rFonts w:cs="Calibri"/>
                <w:b/>
                <w:bCs/>
                <w:color w:val="000000"/>
                <w:sz w:val="28"/>
                <w:szCs w:val="28"/>
              </w:rPr>
              <w:t>premontano</w:t>
            </w:r>
            <w:proofErr w:type="spellEnd"/>
          </w:p>
        </w:tc>
        <w:tc>
          <w:tcPr>
            <w:tcW w:w="3663" w:type="dxa"/>
          </w:tcPr>
          <w:p w:rsidR="00497DA0" w:rsidRPr="006772A7" w:rsidRDefault="00497DA0" w:rsidP="006919A9">
            <w:pPr>
              <w:pStyle w:val="Sinespaciado"/>
              <w:tabs>
                <w:tab w:val="left" w:pos="709"/>
              </w:tabs>
              <w:jc w:val="both"/>
              <w:rPr>
                <w:rFonts w:cs="Calibri"/>
                <w:color w:val="000000"/>
                <w:sz w:val="28"/>
                <w:szCs w:val="28"/>
              </w:rPr>
            </w:pPr>
            <w:r w:rsidRPr="006772A7">
              <w:rPr>
                <w:rFonts w:cs="Calibri"/>
                <w:color w:val="000000"/>
                <w:sz w:val="28"/>
                <w:szCs w:val="28"/>
              </w:rPr>
              <w:t>Zona cafetera del municipio</w:t>
            </w:r>
          </w:p>
        </w:tc>
        <w:tc>
          <w:tcPr>
            <w:tcW w:w="2681" w:type="dxa"/>
          </w:tcPr>
          <w:p w:rsidR="00497DA0" w:rsidRPr="006772A7" w:rsidRDefault="00497DA0" w:rsidP="006919A9">
            <w:pPr>
              <w:pStyle w:val="Sinespaciado"/>
              <w:tabs>
                <w:tab w:val="left" w:pos="709"/>
              </w:tabs>
              <w:jc w:val="both"/>
              <w:rPr>
                <w:rFonts w:cs="Calibri"/>
                <w:color w:val="000000"/>
                <w:sz w:val="28"/>
                <w:szCs w:val="28"/>
              </w:rPr>
            </w:pPr>
            <w:r w:rsidRPr="006772A7">
              <w:rPr>
                <w:rFonts w:cs="Calibri"/>
                <w:color w:val="000000"/>
                <w:sz w:val="28"/>
                <w:szCs w:val="28"/>
              </w:rPr>
              <w:t>Resguardos indígenas de la montaña, San Lorenzo, Cañamomo y Lomaprieta</w:t>
            </w:r>
          </w:p>
        </w:tc>
      </w:tr>
      <w:tr w:rsidR="00497DA0" w:rsidRPr="006772A7" w:rsidTr="006919A9">
        <w:trPr>
          <w:jc w:val="center"/>
        </w:trPr>
        <w:tc>
          <w:tcPr>
            <w:tcW w:w="1667" w:type="dxa"/>
            <w:shd w:val="clear" w:color="auto" w:fill="DFD8E8"/>
          </w:tcPr>
          <w:p w:rsidR="00497DA0" w:rsidRPr="006772A7" w:rsidRDefault="00497DA0" w:rsidP="006919A9">
            <w:pPr>
              <w:pStyle w:val="Sinespaciado"/>
              <w:tabs>
                <w:tab w:val="left" w:pos="709"/>
              </w:tabs>
              <w:jc w:val="both"/>
              <w:rPr>
                <w:rFonts w:cs="Calibri"/>
                <w:b/>
                <w:bCs/>
                <w:color w:val="000000"/>
                <w:sz w:val="28"/>
                <w:szCs w:val="28"/>
              </w:rPr>
            </w:pPr>
            <w:r w:rsidRPr="006772A7">
              <w:rPr>
                <w:rFonts w:cs="Calibri"/>
                <w:b/>
                <w:bCs/>
                <w:color w:val="000000"/>
                <w:sz w:val="28"/>
                <w:szCs w:val="28"/>
              </w:rPr>
              <w:t>Bosque muy húmedo montano bajo</w:t>
            </w:r>
          </w:p>
        </w:tc>
        <w:tc>
          <w:tcPr>
            <w:tcW w:w="3663" w:type="dxa"/>
            <w:shd w:val="clear" w:color="auto" w:fill="DFD8E8"/>
          </w:tcPr>
          <w:p w:rsidR="00497DA0" w:rsidRPr="006772A7" w:rsidRDefault="00497DA0" w:rsidP="006919A9">
            <w:pPr>
              <w:pStyle w:val="Sinespaciado"/>
              <w:tabs>
                <w:tab w:val="left" w:pos="709"/>
              </w:tabs>
              <w:jc w:val="both"/>
              <w:rPr>
                <w:rFonts w:cs="Calibri"/>
                <w:color w:val="000000"/>
                <w:sz w:val="28"/>
                <w:szCs w:val="28"/>
              </w:rPr>
            </w:pPr>
            <w:r w:rsidRPr="006772A7">
              <w:rPr>
                <w:rFonts w:cs="Calibri"/>
                <w:color w:val="000000"/>
                <w:sz w:val="28"/>
                <w:szCs w:val="28"/>
              </w:rPr>
              <w:t>Zona norte y occidental del municipio</w:t>
            </w:r>
          </w:p>
        </w:tc>
        <w:tc>
          <w:tcPr>
            <w:tcW w:w="2681" w:type="dxa"/>
            <w:shd w:val="clear" w:color="auto" w:fill="DFD8E8"/>
          </w:tcPr>
          <w:p w:rsidR="00497DA0" w:rsidRPr="006772A7" w:rsidRDefault="00497DA0" w:rsidP="006919A9">
            <w:pPr>
              <w:pStyle w:val="Sinespaciado"/>
              <w:tabs>
                <w:tab w:val="left" w:pos="709"/>
              </w:tabs>
              <w:jc w:val="both"/>
              <w:rPr>
                <w:rFonts w:cs="Calibri"/>
                <w:color w:val="000000"/>
                <w:sz w:val="28"/>
                <w:szCs w:val="28"/>
              </w:rPr>
            </w:pPr>
            <w:r w:rsidRPr="006772A7">
              <w:rPr>
                <w:rFonts w:cs="Calibri"/>
                <w:color w:val="000000"/>
                <w:sz w:val="28"/>
                <w:szCs w:val="28"/>
              </w:rPr>
              <w:t>Resguardos indígenas de la Montaña y san Lorenzo</w:t>
            </w:r>
          </w:p>
        </w:tc>
      </w:tr>
    </w:tbl>
    <w:p w:rsidR="00497DA0" w:rsidRPr="006772A7" w:rsidRDefault="00497DA0" w:rsidP="00497DA0">
      <w:pPr>
        <w:jc w:val="both"/>
        <w:rPr>
          <w:rFonts w:cs="Calibri"/>
          <w:sz w:val="28"/>
          <w:szCs w:val="28"/>
        </w:rPr>
      </w:pP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Flora y fauna: Hasta el momento la información sobre estos aspectos es escasa, solo se cuenta con inventarios parciales de flora y fauna en algunos sitios aledaños, producto de diferentes estudios liderados especialmente por </w:t>
      </w:r>
      <w:proofErr w:type="spellStart"/>
      <w:r w:rsidRPr="006772A7">
        <w:rPr>
          <w:rFonts w:cs="Calibri"/>
          <w:sz w:val="28"/>
          <w:szCs w:val="28"/>
          <w:lang w:val="es-ES_tradnl"/>
        </w:rPr>
        <w:t>Biopacífico</w:t>
      </w:r>
      <w:proofErr w:type="spellEnd"/>
      <w:r w:rsidRPr="006772A7">
        <w:rPr>
          <w:rFonts w:cs="Calibri"/>
          <w:sz w:val="28"/>
          <w:szCs w:val="28"/>
          <w:lang w:val="es-ES_tradnl"/>
        </w:rPr>
        <w:t xml:space="preserve">, La </w:t>
      </w:r>
      <w:proofErr w:type="spellStart"/>
      <w:r w:rsidRPr="006772A7">
        <w:rPr>
          <w:rFonts w:cs="Calibri"/>
          <w:sz w:val="28"/>
          <w:szCs w:val="28"/>
          <w:lang w:val="es-ES_tradnl"/>
        </w:rPr>
        <w:t>Carder</w:t>
      </w:r>
      <w:proofErr w:type="spellEnd"/>
      <w:r w:rsidRPr="006772A7">
        <w:rPr>
          <w:rFonts w:cs="Calibri"/>
          <w:sz w:val="28"/>
          <w:szCs w:val="28"/>
          <w:lang w:val="es-ES_tradnl"/>
        </w:rPr>
        <w:t xml:space="preserve">, </w:t>
      </w:r>
      <w:proofErr w:type="spellStart"/>
      <w:r w:rsidRPr="006772A7">
        <w:rPr>
          <w:rFonts w:cs="Calibri"/>
          <w:sz w:val="28"/>
          <w:szCs w:val="28"/>
          <w:lang w:val="es-ES_tradnl"/>
        </w:rPr>
        <w:t>Corpocaldas</w:t>
      </w:r>
      <w:proofErr w:type="spellEnd"/>
      <w:r w:rsidRPr="006772A7">
        <w:rPr>
          <w:rFonts w:cs="Calibri"/>
          <w:sz w:val="28"/>
          <w:szCs w:val="28"/>
          <w:lang w:val="es-ES_tradnl"/>
        </w:rPr>
        <w:t xml:space="preserve"> y el Gobierno Canadiense, que arrojan alguna información preliminar. La información sobre fauna es producto de la compilación bibliográfica del municipio, resultado de una especie de expedición dirigida por el profesor del colegio Instituto Nacional Los Fundadores, Fernando Cárdenas y realizada en compañía de algunos educadores del municipio. </w:t>
      </w: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Las especies animales en su mayoría no fueron vistas por expedicionarios, sino que se escribió la información de los nativos de cada una de las regiones vistas y aledañas de donde se tomaron aquellas especies de presencia probable, con base en sus hábitos de migración y las condiciones zoográficas predominantes en el municipio de Riosucio. Se dan a conocer por su nombre vulgar: Gavilán, Pato de Torrente, Pava Barranquera, Guacharaca, Pava Andina, Cuco Americano, Garrapatero Común, Cuco Ardilla, Garrapatero, </w:t>
      </w:r>
      <w:r w:rsidRPr="006772A7">
        <w:rPr>
          <w:rFonts w:cs="Calibri"/>
          <w:sz w:val="28"/>
          <w:szCs w:val="28"/>
          <w:lang w:val="es-ES_tradnl"/>
        </w:rPr>
        <w:lastRenderedPageBreak/>
        <w:t xml:space="preserve">Turpial Cañero, Mayo, Gallito de Ciénaga, </w:t>
      </w:r>
      <w:proofErr w:type="spellStart"/>
      <w:r w:rsidRPr="006772A7">
        <w:rPr>
          <w:rFonts w:cs="Calibri"/>
          <w:sz w:val="28"/>
          <w:szCs w:val="28"/>
          <w:lang w:val="es-ES_tradnl"/>
        </w:rPr>
        <w:t>Barranquero</w:t>
      </w:r>
      <w:proofErr w:type="spellEnd"/>
      <w:r w:rsidRPr="006772A7">
        <w:rPr>
          <w:rFonts w:cs="Calibri"/>
          <w:sz w:val="28"/>
          <w:szCs w:val="28"/>
          <w:lang w:val="es-ES_tradnl"/>
        </w:rPr>
        <w:t>, Águila Pescadora, Perdiz,  Carpintero Real, Carpintero, Carpintero Punteado, Carpintero Real, Carpintero Ahumado.</w:t>
      </w:r>
    </w:p>
    <w:p w:rsidR="00497DA0" w:rsidRPr="006772A7" w:rsidRDefault="00497DA0" w:rsidP="00497DA0">
      <w:pPr>
        <w:jc w:val="both"/>
        <w:rPr>
          <w:rFonts w:cs="Calibri"/>
          <w:sz w:val="28"/>
          <w:szCs w:val="28"/>
        </w:rPr>
      </w:pPr>
      <w:r w:rsidRPr="006772A7">
        <w:rPr>
          <w:rFonts w:cs="Calibri"/>
          <w:sz w:val="28"/>
          <w:szCs w:val="28"/>
          <w:lang w:val="es-ES_tradnl"/>
        </w:rPr>
        <w:t xml:space="preserve">Geología estructural:  </w:t>
      </w:r>
      <w:r w:rsidRPr="006772A7">
        <w:rPr>
          <w:rFonts w:cs="Calibri"/>
          <w:sz w:val="28"/>
          <w:szCs w:val="28"/>
        </w:rPr>
        <w:t xml:space="preserve">En cercanías  al municipio cruzan varias fallas cuyo rumbo predominante es E-W, N-NW, entre las cuales se encuentran la falla Partidas cerca al cerro del Ingrumá y la falla Las Estancias. Falla </w:t>
      </w:r>
      <w:proofErr w:type="spellStart"/>
      <w:r w:rsidRPr="006772A7">
        <w:rPr>
          <w:rFonts w:cs="Calibri"/>
          <w:sz w:val="28"/>
          <w:szCs w:val="28"/>
        </w:rPr>
        <w:t>Almacafé</w:t>
      </w:r>
      <w:proofErr w:type="spellEnd"/>
      <w:r w:rsidRPr="006772A7">
        <w:rPr>
          <w:rFonts w:cs="Calibri"/>
          <w:sz w:val="28"/>
          <w:szCs w:val="28"/>
        </w:rPr>
        <w:t xml:space="preserve">: controla el cauce de la quebrada (La María), y muestra una brecha de falla que afecta el Pórfido </w:t>
      </w:r>
      <w:proofErr w:type="spellStart"/>
      <w:r w:rsidRPr="006772A7">
        <w:rPr>
          <w:rFonts w:cs="Calibri"/>
          <w:sz w:val="28"/>
          <w:szCs w:val="28"/>
        </w:rPr>
        <w:t>Dacítico</w:t>
      </w:r>
      <w:proofErr w:type="spellEnd"/>
      <w:r w:rsidRPr="006772A7">
        <w:rPr>
          <w:rFonts w:cs="Calibri"/>
          <w:sz w:val="28"/>
          <w:szCs w:val="28"/>
        </w:rPr>
        <w:t xml:space="preserve"> del Terraplén y rocas sedimentarias de formación </w:t>
      </w:r>
      <w:proofErr w:type="spellStart"/>
      <w:r w:rsidRPr="006772A7">
        <w:rPr>
          <w:rFonts w:cs="Calibri"/>
          <w:sz w:val="28"/>
          <w:szCs w:val="28"/>
        </w:rPr>
        <w:t>Amagá</w:t>
      </w:r>
      <w:proofErr w:type="spellEnd"/>
      <w:r w:rsidRPr="006772A7">
        <w:rPr>
          <w:rFonts w:cs="Calibri"/>
          <w:sz w:val="28"/>
          <w:szCs w:val="28"/>
        </w:rPr>
        <w:t xml:space="preserve">. Tiene una dirección aproximada de N3OW, su componente </w:t>
      </w:r>
      <w:proofErr w:type="spellStart"/>
      <w:r w:rsidRPr="006772A7">
        <w:rPr>
          <w:rFonts w:cs="Calibri"/>
          <w:sz w:val="28"/>
          <w:szCs w:val="28"/>
        </w:rPr>
        <w:t>embuzamiento</w:t>
      </w:r>
      <w:proofErr w:type="spellEnd"/>
      <w:r w:rsidRPr="006772A7">
        <w:rPr>
          <w:rFonts w:cs="Calibri"/>
          <w:sz w:val="28"/>
          <w:szCs w:val="28"/>
        </w:rPr>
        <w:t xml:space="preserve"> no fue determinado en este sector, correlacionada con la falla Las Estancias. Falla Las Partidas:</w:t>
      </w:r>
      <w:r w:rsidRPr="006772A7">
        <w:rPr>
          <w:rFonts w:cs="Calibri"/>
          <w:b/>
          <w:sz w:val="28"/>
          <w:szCs w:val="28"/>
        </w:rPr>
        <w:t xml:space="preserve"> </w:t>
      </w:r>
      <w:r w:rsidRPr="006772A7">
        <w:rPr>
          <w:rFonts w:cs="Calibri"/>
          <w:sz w:val="28"/>
          <w:szCs w:val="28"/>
        </w:rPr>
        <w:t xml:space="preserve">Se observan planos definidos y evidencia de actividad tectónica, aflora una brecha constituida por clastos pórfido </w:t>
      </w:r>
      <w:proofErr w:type="spellStart"/>
      <w:r w:rsidRPr="006772A7">
        <w:rPr>
          <w:rFonts w:cs="Calibri"/>
          <w:sz w:val="28"/>
          <w:szCs w:val="28"/>
        </w:rPr>
        <w:t>andesíticos</w:t>
      </w:r>
      <w:proofErr w:type="spellEnd"/>
      <w:r w:rsidRPr="006772A7">
        <w:rPr>
          <w:rFonts w:cs="Calibri"/>
          <w:sz w:val="28"/>
          <w:szCs w:val="28"/>
        </w:rPr>
        <w:t xml:space="preserve"> que presentan espejos de falla, los cuales muestran un movimiento normal </w:t>
      </w:r>
      <w:proofErr w:type="spellStart"/>
      <w:r w:rsidRPr="006772A7">
        <w:rPr>
          <w:rFonts w:cs="Calibri"/>
          <w:sz w:val="28"/>
          <w:szCs w:val="28"/>
        </w:rPr>
        <w:t>sinextral</w:t>
      </w:r>
      <w:proofErr w:type="spellEnd"/>
      <w:r w:rsidRPr="006772A7">
        <w:rPr>
          <w:rFonts w:cs="Calibri"/>
          <w:sz w:val="28"/>
          <w:szCs w:val="28"/>
        </w:rPr>
        <w:t xml:space="preserve"> de la falla, controla el cauce de la quebrada Partidas.</w:t>
      </w:r>
    </w:p>
    <w:p w:rsidR="00497DA0" w:rsidRPr="006772A7" w:rsidRDefault="00497DA0" w:rsidP="00497DA0">
      <w:pPr>
        <w:jc w:val="both"/>
        <w:rPr>
          <w:rFonts w:cs="Calibri"/>
          <w:sz w:val="28"/>
          <w:szCs w:val="28"/>
          <w:lang w:val="es-ES_tradnl"/>
        </w:rPr>
      </w:pPr>
      <w:r w:rsidRPr="006772A7">
        <w:rPr>
          <w:rFonts w:cs="Calibri"/>
          <w:sz w:val="28"/>
          <w:szCs w:val="28"/>
        </w:rPr>
        <w:t>Lineamientos:</w:t>
      </w:r>
      <w:r w:rsidRPr="006772A7">
        <w:rPr>
          <w:rFonts w:eastAsia="Times New Roman" w:cs="Calibri"/>
          <w:sz w:val="28"/>
          <w:szCs w:val="28"/>
          <w:lang w:val="es-ES_tradnl" w:eastAsia="es-ES_tradnl"/>
        </w:rPr>
        <w:t xml:space="preserve"> </w:t>
      </w:r>
      <w:r w:rsidRPr="006772A7">
        <w:rPr>
          <w:rFonts w:cs="Calibri"/>
          <w:sz w:val="28"/>
          <w:szCs w:val="28"/>
          <w:lang w:val="es-ES_tradnl"/>
        </w:rPr>
        <w:t xml:space="preserve">Basados en la fotointerpretación  se definieron cuatro lineamientos: el lineamiento </w:t>
      </w:r>
      <w:r w:rsidRPr="006772A7">
        <w:rPr>
          <w:rFonts w:cs="Calibri"/>
          <w:b/>
          <w:sz w:val="28"/>
          <w:szCs w:val="28"/>
          <w:lang w:val="es-ES_tradnl"/>
        </w:rPr>
        <w:t>L1</w:t>
      </w:r>
      <w:r w:rsidRPr="006772A7">
        <w:rPr>
          <w:rFonts w:cs="Calibri"/>
          <w:sz w:val="28"/>
          <w:szCs w:val="28"/>
          <w:lang w:val="es-ES_tradnl"/>
        </w:rPr>
        <w:t xml:space="preserve"> tiene una dirección E-W ubicado sobre el sector de Tumbabarreto, el lineamiento </w:t>
      </w:r>
      <w:r w:rsidRPr="006772A7">
        <w:rPr>
          <w:rFonts w:cs="Calibri"/>
          <w:b/>
          <w:sz w:val="28"/>
          <w:szCs w:val="28"/>
          <w:lang w:val="es-ES_tradnl"/>
        </w:rPr>
        <w:t>L2</w:t>
      </w:r>
      <w:r w:rsidRPr="006772A7">
        <w:rPr>
          <w:rFonts w:cs="Calibri"/>
          <w:sz w:val="28"/>
          <w:szCs w:val="28"/>
          <w:lang w:val="es-ES_tradnl"/>
        </w:rPr>
        <w:t xml:space="preserve"> con dirección N-S marca el cambio de pendiente entre el casco urbano y las laderas del Cerro Ingrumá, el lineamiento  </w:t>
      </w:r>
      <w:r w:rsidRPr="006772A7">
        <w:rPr>
          <w:rFonts w:cs="Calibri"/>
          <w:b/>
          <w:sz w:val="28"/>
          <w:szCs w:val="28"/>
          <w:lang w:val="es-ES_tradnl"/>
        </w:rPr>
        <w:t xml:space="preserve">L3 </w:t>
      </w:r>
      <w:r w:rsidRPr="006772A7">
        <w:rPr>
          <w:rFonts w:cs="Calibri"/>
          <w:sz w:val="28"/>
          <w:szCs w:val="28"/>
          <w:lang w:val="es-ES_tradnl"/>
        </w:rPr>
        <w:t xml:space="preserve">se encuentra sobre el escarpe entre los barrios Hispania y el Carmen y debido a la rectitud del drenaje se determino el lineamiento </w:t>
      </w:r>
      <w:r w:rsidRPr="006772A7">
        <w:rPr>
          <w:rFonts w:cs="Calibri"/>
          <w:b/>
          <w:sz w:val="28"/>
          <w:szCs w:val="28"/>
          <w:lang w:val="es-ES_tradnl"/>
        </w:rPr>
        <w:t>L4</w:t>
      </w:r>
      <w:r w:rsidRPr="006772A7">
        <w:rPr>
          <w:rFonts w:cs="Calibri"/>
          <w:sz w:val="28"/>
          <w:szCs w:val="28"/>
          <w:lang w:val="es-ES_tradnl"/>
        </w:rPr>
        <w:t xml:space="preserve"> sobre la quebrada Norte del Alto del Chocho.</w:t>
      </w:r>
    </w:p>
    <w:p w:rsidR="00497DA0" w:rsidRPr="006772A7" w:rsidRDefault="00497DA0" w:rsidP="00497DA0">
      <w:pPr>
        <w:jc w:val="both"/>
        <w:rPr>
          <w:rFonts w:cs="Calibri"/>
          <w:sz w:val="28"/>
          <w:szCs w:val="28"/>
          <w:u w:val="single"/>
          <w:lang w:val="es-ES_tradnl"/>
        </w:rPr>
      </w:pPr>
      <w:r w:rsidRPr="006772A7">
        <w:rPr>
          <w:rFonts w:cs="Calibri"/>
          <w:sz w:val="28"/>
          <w:szCs w:val="28"/>
          <w:u w:val="single"/>
          <w:lang w:val="es-ES_tradnl"/>
        </w:rPr>
        <w:t>13.2 Debilidades:</w:t>
      </w:r>
    </w:p>
    <w:p w:rsidR="00497DA0" w:rsidRPr="006772A7" w:rsidRDefault="00497DA0" w:rsidP="00497DA0">
      <w:pPr>
        <w:jc w:val="both"/>
        <w:rPr>
          <w:rFonts w:cs="Calibri"/>
          <w:sz w:val="28"/>
          <w:szCs w:val="28"/>
          <w:lang w:val="es-ES_tradnl"/>
        </w:rPr>
      </w:pPr>
      <w:r w:rsidRPr="006772A7">
        <w:rPr>
          <w:rFonts w:cs="Calibri"/>
          <w:sz w:val="28"/>
          <w:szCs w:val="28"/>
        </w:rPr>
        <w:t xml:space="preserve">En materia ambiental las debilidades están determinadas por </w:t>
      </w:r>
      <w:r w:rsidRPr="006772A7">
        <w:rPr>
          <w:rFonts w:cs="Calibri"/>
          <w:sz w:val="28"/>
          <w:szCs w:val="28"/>
          <w:lang w:val="es-ES_tradnl"/>
        </w:rPr>
        <w:t xml:space="preserve">la presencia de elementos materiales o personas que pueden ser dañados en caso de ocurrir un fenómeno natural, se encuentran en este rango las zonas urbanizadas con casas consecutivas, y en donde el número de personas afectadas seria mayor como el Barrio El Espino, Tumbabarreto, El Vergel, La María, El Jardín, Ingrumá, Calle Larga, Rotario, El Carmen, El Banqueo, La Plazuela, entre otros; los locales comerciales, bancos, iglesias, colegios, terminal, centro de rehabilitación, sub-estación eléctrica, sedes de alcaldías y resguardos, ya que </w:t>
      </w:r>
      <w:r w:rsidRPr="006772A7">
        <w:rPr>
          <w:rFonts w:cs="Calibri"/>
          <w:sz w:val="28"/>
          <w:szCs w:val="28"/>
          <w:lang w:val="es-ES_tradnl"/>
        </w:rPr>
        <w:lastRenderedPageBreak/>
        <w:t xml:space="preserve">las pérdidas económicas pueden ser elevadas. También tienen vulnerabilidad alta las vías de comunicación del municipio como la Troncal de Occidente, Avenida Fundadores y la carretera al municipio de Jardín. </w:t>
      </w: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De igual manera, se encuentran en riesgo la viviendas ubicadas por la vía al Talego, algunas casas del Terraplén, Antonio Nariño, El Carmen, San Nicolás y El Ingrumá, aisladas entre sí; el estadero Viña del Mar, El Cementerio y la vía de acceso a él, Plazas de San Sebastián y La Candelaria y el Parque recreativo Los Fundadores. </w:t>
      </w:r>
    </w:p>
    <w:p w:rsidR="00497DA0" w:rsidRPr="006772A7" w:rsidRDefault="00497DA0" w:rsidP="00497DA0">
      <w:pPr>
        <w:jc w:val="both"/>
        <w:rPr>
          <w:rFonts w:cs="Calibri"/>
          <w:b/>
          <w:sz w:val="28"/>
          <w:szCs w:val="28"/>
          <w:lang w:val="es-ES_tradnl"/>
        </w:rPr>
      </w:pPr>
      <w:r w:rsidRPr="006772A7">
        <w:rPr>
          <w:rFonts w:cs="Calibri"/>
          <w:sz w:val="28"/>
          <w:szCs w:val="28"/>
          <w:lang w:val="es-ES_tradnl"/>
        </w:rPr>
        <w:t xml:space="preserve">La localización del municipio en la zona andina le atribuye al mismo una alta meteorización y susceptibilidad al desarrollo de gran diversidad de fenómenos </w:t>
      </w:r>
      <w:proofErr w:type="spellStart"/>
      <w:r w:rsidRPr="006772A7">
        <w:rPr>
          <w:rFonts w:cs="Calibri"/>
          <w:sz w:val="28"/>
          <w:szCs w:val="28"/>
          <w:lang w:val="es-ES_tradnl"/>
        </w:rPr>
        <w:t>denudativos</w:t>
      </w:r>
      <w:proofErr w:type="spellEnd"/>
      <w:r w:rsidRPr="006772A7">
        <w:rPr>
          <w:rFonts w:cs="Calibri"/>
          <w:sz w:val="28"/>
          <w:szCs w:val="28"/>
          <w:lang w:val="es-ES_tradnl"/>
        </w:rPr>
        <w:t xml:space="preserve">, factores como alta pluviosidad, alta pendiente, presencia de formación superficiales poco consolidadas, acción del hombre en su actividad urbanística y/o de explotación de recursos naturales y ocasionalmente la acción sísmica, favorece determinados procesos </w:t>
      </w:r>
      <w:proofErr w:type="spellStart"/>
      <w:r w:rsidRPr="006772A7">
        <w:rPr>
          <w:rFonts w:cs="Calibri"/>
          <w:sz w:val="28"/>
          <w:szCs w:val="28"/>
          <w:lang w:val="es-ES_tradnl"/>
        </w:rPr>
        <w:t>denudativos</w:t>
      </w:r>
      <w:proofErr w:type="spellEnd"/>
      <w:r w:rsidRPr="006772A7">
        <w:rPr>
          <w:rFonts w:cs="Calibri"/>
          <w:sz w:val="28"/>
          <w:szCs w:val="28"/>
          <w:lang w:val="es-ES_tradnl"/>
        </w:rPr>
        <w:t xml:space="preserve"> para el área.</w:t>
      </w: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Ahora bien, a las debilidades propias generadas por las características ambientales del municipio se suma la falta de voluntad política para generar estrategias y acciones preventivas frente al impacto ambiental del desarrollo económico y para formular acciones encaminadas a la protección de la riqueza natural y ambiental del municipio. </w:t>
      </w:r>
    </w:p>
    <w:p w:rsidR="00497DA0" w:rsidRPr="006772A7" w:rsidRDefault="00497DA0" w:rsidP="00497DA0">
      <w:pPr>
        <w:jc w:val="both"/>
        <w:rPr>
          <w:rFonts w:cs="Calibri"/>
          <w:sz w:val="28"/>
          <w:szCs w:val="28"/>
          <w:lang w:val="es-ES_tradnl"/>
        </w:rPr>
      </w:pPr>
      <w:r w:rsidRPr="006772A7">
        <w:rPr>
          <w:rFonts w:cs="Calibri"/>
          <w:sz w:val="28"/>
          <w:szCs w:val="28"/>
          <w:lang w:val="es-ES_tradnl"/>
        </w:rPr>
        <w:t>La falta de conciencia ambiental de algunos riosuceños, y la despreocupación generalizada por este tema, ha limitado la posibilidad de establecer veedurías ciudadanas y  de que la población reclame a la administración municipal, sobre la  formulación de una verdadera política ambiental que contribuya al desarrollo sostenible del municipio.</w:t>
      </w:r>
    </w:p>
    <w:p w:rsidR="00497DA0" w:rsidRPr="006772A7" w:rsidRDefault="00497DA0" w:rsidP="00497DA0">
      <w:pPr>
        <w:jc w:val="both"/>
        <w:rPr>
          <w:rFonts w:cs="Calibri"/>
          <w:sz w:val="28"/>
          <w:szCs w:val="28"/>
          <w:u w:val="single"/>
          <w:lang w:val="es-ES_tradnl"/>
        </w:rPr>
      </w:pPr>
      <w:r w:rsidRPr="006772A7">
        <w:rPr>
          <w:rFonts w:cs="Calibri"/>
          <w:sz w:val="28"/>
          <w:szCs w:val="28"/>
          <w:u w:val="single"/>
          <w:lang w:val="es-ES_tradnl"/>
        </w:rPr>
        <w:t xml:space="preserve">13.3 Potencialidades: </w:t>
      </w:r>
    </w:p>
    <w:p w:rsidR="00497DA0" w:rsidRPr="006772A7" w:rsidRDefault="00497DA0" w:rsidP="00497DA0">
      <w:pPr>
        <w:jc w:val="both"/>
        <w:rPr>
          <w:rFonts w:cs="Calibri"/>
          <w:b/>
          <w:sz w:val="28"/>
          <w:szCs w:val="28"/>
          <w:lang w:val="es-ES_tradnl"/>
        </w:rPr>
      </w:pPr>
      <w:r w:rsidRPr="006772A7">
        <w:rPr>
          <w:rFonts w:cs="Calibri"/>
          <w:sz w:val="28"/>
          <w:szCs w:val="28"/>
          <w:lang w:val="es-ES_tradnl"/>
        </w:rPr>
        <w:t xml:space="preserve">En las zonas de alto riesgo por la ocurrencia de procesos </w:t>
      </w:r>
      <w:proofErr w:type="spellStart"/>
      <w:r w:rsidRPr="006772A7">
        <w:rPr>
          <w:rFonts w:cs="Calibri"/>
          <w:sz w:val="28"/>
          <w:szCs w:val="28"/>
          <w:lang w:val="es-ES_tradnl"/>
        </w:rPr>
        <w:t>denudativos</w:t>
      </w:r>
      <w:proofErr w:type="spellEnd"/>
      <w:r w:rsidRPr="006772A7">
        <w:rPr>
          <w:rFonts w:cs="Calibri"/>
          <w:sz w:val="28"/>
          <w:szCs w:val="28"/>
          <w:lang w:val="es-ES_tradnl"/>
        </w:rPr>
        <w:t xml:space="preserve">, deben realizarse estudios geotécnicos detallados para recomendar obras de control que lleven a la estabilización de los taludes involucrados. Sin embargo, debido a la magnitud y volumen que tienen algunos de ellos como los </w:t>
      </w:r>
      <w:r w:rsidRPr="006772A7">
        <w:rPr>
          <w:rFonts w:cs="Calibri"/>
          <w:sz w:val="28"/>
          <w:szCs w:val="28"/>
          <w:lang w:val="es-ES_tradnl"/>
        </w:rPr>
        <w:lastRenderedPageBreak/>
        <w:t xml:space="preserve">deslizamientos de </w:t>
      </w:r>
      <w:proofErr w:type="spellStart"/>
      <w:r w:rsidRPr="006772A7">
        <w:rPr>
          <w:rFonts w:cs="Calibri"/>
          <w:sz w:val="28"/>
          <w:szCs w:val="28"/>
          <w:lang w:val="es-ES_tradnl"/>
        </w:rPr>
        <w:t>Ubarbá</w:t>
      </w:r>
      <w:proofErr w:type="spellEnd"/>
      <w:r w:rsidRPr="006772A7">
        <w:rPr>
          <w:rFonts w:cs="Calibri"/>
          <w:sz w:val="28"/>
          <w:szCs w:val="28"/>
          <w:lang w:val="es-ES_tradnl"/>
        </w:rPr>
        <w:t xml:space="preserve">, La Zulia, La Palma, La Floresta y </w:t>
      </w:r>
      <w:proofErr w:type="spellStart"/>
      <w:r w:rsidRPr="006772A7">
        <w:rPr>
          <w:rFonts w:cs="Calibri"/>
          <w:sz w:val="28"/>
          <w:szCs w:val="28"/>
          <w:lang w:val="es-ES_tradnl"/>
        </w:rPr>
        <w:t>Cábarga</w:t>
      </w:r>
      <w:proofErr w:type="spellEnd"/>
      <w:r w:rsidRPr="006772A7">
        <w:rPr>
          <w:rFonts w:cs="Calibri"/>
          <w:sz w:val="28"/>
          <w:szCs w:val="28"/>
          <w:lang w:val="es-ES_tradnl"/>
        </w:rPr>
        <w:t xml:space="preserve">, no es viable para el municipio construir obras de control de gran envergadura por sus costos, por tanto, se podrían construir obras para controlar las aguas dentro y fuera de los procesos, para así disminuir su carga hídrica y obras </w:t>
      </w:r>
      <w:proofErr w:type="spellStart"/>
      <w:r w:rsidRPr="006772A7">
        <w:rPr>
          <w:rFonts w:cs="Calibri"/>
          <w:sz w:val="28"/>
          <w:szCs w:val="28"/>
          <w:lang w:val="es-ES_tradnl"/>
        </w:rPr>
        <w:t>bioingenieriles</w:t>
      </w:r>
      <w:proofErr w:type="spellEnd"/>
      <w:r w:rsidRPr="006772A7">
        <w:rPr>
          <w:rFonts w:cs="Calibri"/>
          <w:sz w:val="28"/>
          <w:szCs w:val="28"/>
          <w:lang w:val="es-ES_tradnl"/>
        </w:rPr>
        <w:t xml:space="preserve"> las cuales son relativamente de bajos costos. </w:t>
      </w:r>
    </w:p>
    <w:p w:rsidR="00497DA0" w:rsidRPr="006772A7" w:rsidRDefault="00497DA0" w:rsidP="00497DA0">
      <w:pPr>
        <w:jc w:val="both"/>
        <w:rPr>
          <w:rFonts w:cs="Calibri"/>
          <w:sz w:val="28"/>
          <w:szCs w:val="28"/>
          <w:lang w:val="es-ES_tradnl"/>
        </w:rPr>
      </w:pPr>
      <w:r w:rsidRPr="006772A7">
        <w:rPr>
          <w:rFonts w:cs="Calibri"/>
          <w:sz w:val="28"/>
          <w:szCs w:val="28"/>
          <w:lang w:val="es-ES_tradnl"/>
        </w:rPr>
        <w:t xml:space="preserve">Sobre las comunidades rurales que tienen problemas por procesos </w:t>
      </w:r>
      <w:proofErr w:type="spellStart"/>
      <w:r w:rsidRPr="006772A7">
        <w:rPr>
          <w:rFonts w:cs="Calibri"/>
          <w:sz w:val="28"/>
          <w:szCs w:val="28"/>
          <w:lang w:val="es-ES_tradnl"/>
        </w:rPr>
        <w:t>denudativos</w:t>
      </w:r>
      <w:proofErr w:type="spellEnd"/>
      <w:r w:rsidRPr="006772A7">
        <w:rPr>
          <w:rFonts w:cs="Calibri"/>
          <w:sz w:val="28"/>
          <w:szCs w:val="28"/>
          <w:lang w:val="es-ES_tradnl"/>
        </w:rPr>
        <w:t>, que por su densidad de población y su ubicación sobre pendientes altas se encuentran en un riesgo alto y moderado; es necesario evaluar el estado del sistema de alcantarillado con el objeto a mejorarlo o en tal caso construirlo, para de esta forma contrarrestar el riesgo.</w:t>
      </w:r>
    </w:p>
    <w:p w:rsidR="00497DA0" w:rsidRPr="006772A7" w:rsidRDefault="00497DA0" w:rsidP="00497DA0">
      <w:pPr>
        <w:tabs>
          <w:tab w:val="left" w:pos="-5954"/>
          <w:tab w:val="left" w:pos="567"/>
          <w:tab w:val="left" w:pos="709"/>
        </w:tabs>
        <w:jc w:val="both"/>
        <w:rPr>
          <w:rFonts w:cs="Calibri"/>
          <w:sz w:val="28"/>
          <w:szCs w:val="28"/>
        </w:rPr>
      </w:pPr>
      <w:r w:rsidRPr="006772A7">
        <w:rPr>
          <w:rFonts w:cs="Calibri"/>
          <w:sz w:val="28"/>
          <w:szCs w:val="28"/>
          <w:lang w:val="es-ES_tradnl"/>
        </w:rPr>
        <w:t xml:space="preserve">Es recomendable </w:t>
      </w:r>
      <w:r w:rsidRPr="006772A7">
        <w:rPr>
          <w:rFonts w:cs="Calibri"/>
          <w:sz w:val="28"/>
          <w:szCs w:val="28"/>
        </w:rPr>
        <w:t xml:space="preserve">buscar la reubicación de las viviendas que se encuentran en riesgo alto por procesos </w:t>
      </w:r>
      <w:proofErr w:type="spellStart"/>
      <w:r w:rsidRPr="006772A7">
        <w:rPr>
          <w:rFonts w:cs="Calibri"/>
          <w:sz w:val="28"/>
          <w:szCs w:val="28"/>
        </w:rPr>
        <w:t>denudativos</w:t>
      </w:r>
      <w:proofErr w:type="spellEnd"/>
      <w:r w:rsidRPr="006772A7">
        <w:rPr>
          <w:rFonts w:cs="Calibri"/>
          <w:sz w:val="28"/>
          <w:szCs w:val="28"/>
        </w:rPr>
        <w:t xml:space="preserve">, en los sectores de: parte occidental de </w:t>
      </w:r>
      <w:proofErr w:type="spellStart"/>
      <w:r w:rsidRPr="006772A7">
        <w:rPr>
          <w:rFonts w:cs="Calibri"/>
          <w:sz w:val="28"/>
          <w:szCs w:val="28"/>
        </w:rPr>
        <w:t>Almacafé</w:t>
      </w:r>
      <w:proofErr w:type="spellEnd"/>
      <w:r w:rsidRPr="006772A7">
        <w:rPr>
          <w:rFonts w:cs="Calibri"/>
          <w:sz w:val="28"/>
          <w:szCs w:val="28"/>
        </w:rPr>
        <w:t xml:space="preserve">, el Jardín, San Nicolás,  sector de la bomba </w:t>
      </w:r>
      <w:proofErr w:type="spellStart"/>
      <w:r w:rsidRPr="006772A7">
        <w:rPr>
          <w:rFonts w:cs="Calibri"/>
          <w:sz w:val="28"/>
          <w:szCs w:val="28"/>
        </w:rPr>
        <w:t>Terpel</w:t>
      </w:r>
      <w:proofErr w:type="spellEnd"/>
      <w:r w:rsidRPr="006772A7">
        <w:rPr>
          <w:rFonts w:cs="Calibri"/>
          <w:sz w:val="28"/>
          <w:szCs w:val="28"/>
        </w:rPr>
        <w:t xml:space="preserve"> sobre la carrera 3ª, lotes aledaños al norte del barrio Fundadores; construir o mejorar las obras sobre la Vía Troncal de Occidente, con el fin de mitigar el riesgo alto que se presenta en algunos tramos.</w:t>
      </w:r>
    </w:p>
    <w:p w:rsidR="00497DA0" w:rsidRPr="006772A7" w:rsidRDefault="00497DA0" w:rsidP="00497DA0">
      <w:pPr>
        <w:jc w:val="both"/>
        <w:rPr>
          <w:rFonts w:cs="Calibri"/>
          <w:sz w:val="28"/>
          <w:szCs w:val="28"/>
        </w:rPr>
      </w:pPr>
      <w:r w:rsidRPr="006772A7">
        <w:rPr>
          <w:rFonts w:cs="Calibri"/>
          <w:sz w:val="28"/>
          <w:szCs w:val="28"/>
        </w:rPr>
        <w:t>La administración municipal debe aprovechar el interés que a nivel internacional y nacional se está generando frente al tema del medio amiente, para buscar estrategias y alianzas por medio de las cuales el municipio pueda obtener recursos, físicos, logísticos y técnicos para la formulación de una adecuada política ambiental.</w:t>
      </w:r>
    </w:p>
    <w:p w:rsidR="00497DA0" w:rsidRPr="006772A7" w:rsidRDefault="00497DA0" w:rsidP="00497DA0">
      <w:pPr>
        <w:jc w:val="both"/>
        <w:rPr>
          <w:rFonts w:cs="Calibri"/>
          <w:sz w:val="28"/>
          <w:szCs w:val="28"/>
        </w:rPr>
      </w:pPr>
      <w:r w:rsidRPr="006772A7">
        <w:rPr>
          <w:rFonts w:cs="Calibri"/>
          <w:sz w:val="28"/>
          <w:szCs w:val="28"/>
        </w:rPr>
        <w:t>La importancia que cada día más recobra el tema ambiental, también debe ser aprovechada para la sensibilización y la educación de la población, por medio de campañas frente a este tema. Es necesario que tanto servidores públicos, como  sociedad civil en general se comprometan con la protección decidida e irrestricta del medio ambiente y la prevención de los daños generados por el cambio climático</w:t>
      </w:r>
    </w:p>
    <w:p w:rsidR="00497DA0" w:rsidRPr="006772A7" w:rsidRDefault="00497DA0" w:rsidP="00497DA0">
      <w:pPr>
        <w:numPr>
          <w:ilvl w:val="0"/>
          <w:numId w:val="21"/>
        </w:numPr>
        <w:jc w:val="both"/>
        <w:rPr>
          <w:rFonts w:cs="Calibri"/>
          <w:b/>
          <w:sz w:val="28"/>
          <w:szCs w:val="28"/>
        </w:rPr>
      </w:pPr>
      <w:r w:rsidRPr="006772A7">
        <w:rPr>
          <w:rFonts w:cs="Calibri"/>
          <w:b/>
          <w:sz w:val="28"/>
          <w:szCs w:val="28"/>
        </w:rPr>
        <w:t>Vivienda:</w:t>
      </w:r>
    </w:p>
    <w:p w:rsidR="00497DA0" w:rsidRPr="006772A7" w:rsidRDefault="00497DA0" w:rsidP="00497DA0">
      <w:pPr>
        <w:jc w:val="both"/>
        <w:rPr>
          <w:rFonts w:cs="Calibri"/>
          <w:sz w:val="28"/>
          <w:szCs w:val="28"/>
          <w:u w:val="single"/>
        </w:rPr>
      </w:pPr>
      <w:r w:rsidRPr="006772A7">
        <w:rPr>
          <w:rFonts w:cs="Calibri"/>
          <w:sz w:val="28"/>
          <w:szCs w:val="28"/>
          <w:u w:val="single"/>
        </w:rPr>
        <w:t xml:space="preserve">14.1 </w:t>
      </w:r>
      <w:proofErr w:type="spellStart"/>
      <w:r w:rsidRPr="006772A7">
        <w:rPr>
          <w:rFonts w:cs="Calibri"/>
          <w:sz w:val="28"/>
          <w:szCs w:val="28"/>
          <w:u w:val="single"/>
        </w:rPr>
        <w:t>Caracteristicas</w:t>
      </w:r>
      <w:proofErr w:type="spellEnd"/>
      <w:r w:rsidRPr="006772A7">
        <w:rPr>
          <w:rFonts w:cs="Calibri"/>
          <w:sz w:val="28"/>
          <w:szCs w:val="28"/>
          <w:u w:val="single"/>
        </w:rPr>
        <w:t>:</w:t>
      </w:r>
    </w:p>
    <w:p w:rsidR="00497DA0" w:rsidRPr="006772A7" w:rsidRDefault="00497DA0" w:rsidP="00497DA0">
      <w:pPr>
        <w:jc w:val="both"/>
        <w:rPr>
          <w:rFonts w:cs="Calibri"/>
          <w:sz w:val="28"/>
          <w:szCs w:val="28"/>
          <w:lang w:val="es-ES_tradnl"/>
        </w:rPr>
      </w:pPr>
      <w:r>
        <w:rPr>
          <w:rFonts w:cs="Calibri"/>
          <w:noProof/>
          <w:sz w:val="28"/>
          <w:szCs w:val="28"/>
          <w:lang w:eastAsia="es-CO"/>
        </w:rPr>
        <w:lastRenderedPageBreak/>
        <w:drawing>
          <wp:anchor distT="0" distB="0" distL="114300" distR="114300" simplePos="0" relativeHeight="251669504" behindDoc="0" locked="0" layoutInCell="1" allowOverlap="1">
            <wp:simplePos x="0" y="0"/>
            <wp:positionH relativeFrom="column">
              <wp:posOffset>1466850</wp:posOffset>
            </wp:positionH>
            <wp:positionV relativeFrom="paragraph">
              <wp:posOffset>487680</wp:posOffset>
            </wp:positionV>
            <wp:extent cx="2676525" cy="1590675"/>
            <wp:effectExtent l="0" t="0" r="9525" b="9525"/>
            <wp:wrapSquare wrapText="lef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76525" cy="1590675"/>
                    </a:xfrm>
                    <a:prstGeom prst="rect">
                      <a:avLst/>
                    </a:prstGeom>
                    <a:noFill/>
                    <a:ln>
                      <a:noFill/>
                    </a:ln>
                  </pic:spPr>
                </pic:pic>
              </a:graphicData>
            </a:graphic>
          </wp:anchor>
        </w:drawing>
      </w:r>
      <w:r w:rsidRPr="006772A7">
        <w:rPr>
          <w:rFonts w:cs="Calibri"/>
          <w:sz w:val="28"/>
          <w:szCs w:val="28"/>
          <w:lang w:val="es-ES_tradnl"/>
        </w:rPr>
        <w:t>De acuerdo con cifras DANE, la situación de vivienda en el municipio es la siguiente:</w:t>
      </w:r>
    </w:p>
    <w:p w:rsidR="00497DA0" w:rsidRPr="006772A7" w:rsidRDefault="00497DA0" w:rsidP="00497DA0">
      <w:pPr>
        <w:rPr>
          <w:rFonts w:cs="Calibri"/>
          <w:sz w:val="28"/>
          <w:szCs w:val="28"/>
          <w:lang w:val="es-ES_tradnl"/>
        </w:rPr>
      </w:pPr>
    </w:p>
    <w:p w:rsidR="00497DA0" w:rsidRPr="006772A7" w:rsidRDefault="00497DA0" w:rsidP="00497DA0">
      <w:pPr>
        <w:rPr>
          <w:rFonts w:cs="Calibri"/>
          <w:sz w:val="28"/>
          <w:szCs w:val="28"/>
          <w:lang w:val="es-ES_tradnl"/>
        </w:rPr>
      </w:pPr>
    </w:p>
    <w:p w:rsidR="00497DA0" w:rsidRPr="006772A7" w:rsidRDefault="00497DA0" w:rsidP="00497DA0">
      <w:pPr>
        <w:jc w:val="both"/>
        <w:rPr>
          <w:rFonts w:cs="Calibri"/>
          <w:sz w:val="28"/>
          <w:szCs w:val="28"/>
        </w:rPr>
      </w:pPr>
    </w:p>
    <w:p w:rsidR="00497DA0" w:rsidRPr="006772A7" w:rsidRDefault="00497DA0" w:rsidP="00497DA0">
      <w:pPr>
        <w:rPr>
          <w:rFonts w:cs="Calibri"/>
          <w:sz w:val="28"/>
          <w:szCs w:val="28"/>
        </w:rPr>
      </w:pPr>
    </w:p>
    <w:p w:rsidR="00497DA0" w:rsidRPr="006772A7" w:rsidRDefault="00497DA0" w:rsidP="00497DA0">
      <w:pPr>
        <w:rPr>
          <w:rFonts w:cs="Calibri"/>
          <w:sz w:val="28"/>
          <w:szCs w:val="28"/>
        </w:rPr>
      </w:pPr>
    </w:p>
    <w:p w:rsidR="00497DA0" w:rsidRPr="006772A7" w:rsidRDefault="00497DA0" w:rsidP="00497DA0">
      <w:pPr>
        <w:jc w:val="both"/>
        <w:rPr>
          <w:rFonts w:cs="Calibri"/>
          <w:sz w:val="28"/>
          <w:szCs w:val="28"/>
        </w:rPr>
      </w:pPr>
      <w:r w:rsidRPr="006772A7">
        <w:rPr>
          <w:rFonts w:cs="Calibri"/>
          <w:sz w:val="28"/>
          <w:szCs w:val="28"/>
        </w:rPr>
        <w:t>En cuanto al número de viviendas y servicios públicos por vivienda la relación según DANE es:</w:t>
      </w:r>
    </w:p>
    <w:p w:rsidR="00497DA0" w:rsidRPr="006772A7" w:rsidRDefault="00497DA0" w:rsidP="00497DA0">
      <w:pPr>
        <w:rPr>
          <w:rFonts w:cs="Calibri"/>
          <w:sz w:val="28"/>
          <w:szCs w:val="28"/>
        </w:rPr>
      </w:pPr>
      <w:r>
        <w:rPr>
          <w:rFonts w:cs="Calibri"/>
          <w:noProof/>
          <w:sz w:val="28"/>
          <w:szCs w:val="28"/>
          <w:lang w:eastAsia="es-CO"/>
        </w:rPr>
        <w:drawing>
          <wp:anchor distT="0" distB="0" distL="114300" distR="114300" simplePos="0" relativeHeight="251668480" behindDoc="0" locked="0" layoutInCell="1" allowOverlap="1">
            <wp:simplePos x="0" y="0"/>
            <wp:positionH relativeFrom="column">
              <wp:posOffset>1853565</wp:posOffset>
            </wp:positionH>
            <wp:positionV relativeFrom="paragraph">
              <wp:posOffset>136525</wp:posOffset>
            </wp:positionV>
            <wp:extent cx="2727960" cy="2031365"/>
            <wp:effectExtent l="0" t="0" r="0" b="6985"/>
            <wp:wrapSquare wrapText="right"/>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27960" cy="2031365"/>
                    </a:xfrm>
                    <a:prstGeom prst="rect">
                      <a:avLst/>
                    </a:prstGeom>
                    <a:noFill/>
                    <a:ln>
                      <a:noFill/>
                    </a:ln>
                  </pic:spPr>
                </pic:pic>
              </a:graphicData>
            </a:graphic>
          </wp:anchor>
        </w:drawing>
      </w: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b/>
          <w:sz w:val="28"/>
          <w:szCs w:val="28"/>
          <w:lang w:val="es-ES_tradnl"/>
        </w:rPr>
      </w:pP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b/>
          <w:sz w:val="28"/>
          <w:szCs w:val="28"/>
          <w:lang w:val="es-ES_tradnl"/>
        </w:rPr>
      </w:pPr>
      <w:r w:rsidRPr="006772A7">
        <w:rPr>
          <w:rFonts w:cs="Calibri"/>
          <w:b/>
          <w:sz w:val="28"/>
          <w:szCs w:val="28"/>
          <w:lang w:val="es-ES_tradnl"/>
        </w:rPr>
        <w:t xml:space="preserve"> </w:t>
      </w:r>
    </w:p>
    <w:p w:rsidR="00497DA0" w:rsidRPr="006772A7" w:rsidRDefault="00497DA0" w:rsidP="00497DA0">
      <w:pPr>
        <w:jc w:val="both"/>
        <w:rPr>
          <w:rFonts w:cs="Calibri"/>
          <w:b/>
          <w:sz w:val="28"/>
          <w:szCs w:val="28"/>
          <w:lang w:val="es-ES_tradnl"/>
        </w:rPr>
      </w:pPr>
    </w:p>
    <w:p w:rsidR="00497DA0" w:rsidRPr="006772A7" w:rsidRDefault="00497DA0" w:rsidP="00497DA0">
      <w:pPr>
        <w:jc w:val="both"/>
        <w:rPr>
          <w:rFonts w:cs="Calibri"/>
          <w:sz w:val="28"/>
          <w:szCs w:val="28"/>
          <w:lang w:val="es-ES_tradnl"/>
        </w:rPr>
      </w:pPr>
      <w:r>
        <w:rPr>
          <w:rFonts w:cs="Calibri"/>
          <w:noProof/>
          <w:sz w:val="28"/>
          <w:szCs w:val="28"/>
          <w:lang w:eastAsia="es-CO"/>
        </w:rPr>
        <w:drawing>
          <wp:anchor distT="0" distB="0" distL="114300" distR="114300" simplePos="0" relativeHeight="251670528" behindDoc="1" locked="0" layoutInCell="1" allowOverlap="1">
            <wp:simplePos x="0" y="0"/>
            <wp:positionH relativeFrom="column">
              <wp:posOffset>1562100</wp:posOffset>
            </wp:positionH>
            <wp:positionV relativeFrom="paragraph">
              <wp:posOffset>280035</wp:posOffset>
            </wp:positionV>
            <wp:extent cx="2771775" cy="2066925"/>
            <wp:effectExtent l="0" t="0" r="9525" b="9525"/>
            <wp:wrapTight wrapText="bothSides">
              <wp:wrapPolygon edited="0">
                <wp:start x="0" y="0"/>
                <wp:lineTo x="0" y="21500"/>
                <wp:lineTo x="21526" y="21500"/>
                <wp:lineTo x="21526"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71775" cy="2066925"/>
                    </a:xfrm>
                    <a:prstGeom prst="rect">
                      <a:avLst/>
                    </a:prstGeom>
                    <a:noFill/>
                    <a:ln>
                      <a:noFill/>
                    </a:ln>
                  </pic:spPr>
                </pic:pic>
              </a:graphicData>
            </a:graphic>
          </wp:anchor>
        </w:drawing>
      </w:r>
      <w:r w:rsidRPr="006772A7">
        <w:rPr>
          <w:rFonts w:cs="Calibri"/>
          <w:sz w:val="28"/>
          <w:szCs w:val="28"/>
          <w:lang w:val="es-ES_tradnl"/>
        </w:rPr>
        <w:t>El promedio de personas por hogar es de:</w:t>
      </w: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sz w:val="28"/>
          <w:szCs w:val="28"/>
          <w:lang w:val="es-ES_tradnl"/>
        </w:rPr>
      </w:pPr>
    </w:p>
    <w:p w:rsidR="00497DA0" w:rsidRPr="006772A7" w:rsidRDefault="00497DA0" w:rsidP="00497DA0">
      <w:pPr>
        <w:rPr>
          <w:rFonts w:cs="Calibri"/>
          <w:sz w:val="28"/>
          <w:szCs w:val="28"/>
          <w:lang w:val="es-ES_tradnl"/>
        </w:rPr>
      </w:pP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sz w:val="28"/>
          <w:szCs w:val="28"/>
          <w:lang w:val="es-ES_tradnl"/>
        </w:rPr>
      </w:pPr>
    </w:p>
    <w:p w:rsidR="00497DA0" w:rsidRPr="006772A7" w:rsidRDefault="00497DA0" w:rsidP="00497DA0">
      <w:pPr>
        <w:jc w:val="both"/>
        <w:rPr>
          <w:rFonts w:cs="Calibri"/>
          <w:sz w:val="28"/>
          <w:szCs w:val="28"/>
          <w:lang w:val="es-ES_tradnl"/>
        </w:rPr>
      </w:pPr>
      <w:r w:rsidRPr="006772A7">
        <w:rPr>
          <w:rFonts w:cs="Calibri"/>
          <w:sz w:val="28"/>
          <w:szCs w:val="28"/>
          <w:lang w:val="es-ES_tradnl"/>
        </w:rPr>
        <w:t>El tipo de vivienda es el siguiente:</w:t>
      </w:r>
    </w:p>
    <w:p w:rsidR="00497DA0" w:rsidRPr="006772A7" w:rsidRDefault="00497DA0" w:rsidP="00497DA0">
      <w:pPr>
        <w:jc w:val="center"/>
        <w:rPr>
          <w:rFonts w:cs="Calibri"/>
          <w:sz w:val="28"/>
          <w:szCs w:val="28"/>
          <w:lang w:val="es-ES_tradnl"/>
        </w:rPr>
      </w:pPr>
      <w:r>
        <w:rPr>
          <w:rFonts w:cs="Calibri"/>
          <w:noProof/>
          <w:sz w:val="28"/>
          <w:szCs w:val="28"/>
          <w:lang w:eastAsia="es-CO"/>
        </w:rPr>
        <w:drawing>
          <wp:inline distT="0" distB="0" distL="0" distR="0">
            <wp:extent cx="2647950" cy="2226310"/>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47950" cy="2226310"/>
                    </a:xfrm>
                    <a:prstGeom prst="rect">
                      <a:avLst/>
                    </a:prstGeom>
                    <a:noFill/>
                    <a:ln>
                      <a:noFill/>
                    </a:ln>
                  </pic:spPr>
                </pic:pic>
              </a:graphicData>
            </a:graphic>
          </wp:inline>
        </w:drawing>
      </w:r>
    </w:p>
    <w:p w:rsidR="00497DA0" w:rsidRPr="006772A7" w:rsidRDefault="00497DA0" w:rsidP="00497DA0">
      <w:pPr>
        <w:rPr>
          <w:rFonts w:cs="Calibri"/>
          <w:sz w:val="28"/>
          <w:szCs w:val="28"/>
          <w:lang w:val="es-ES_tradnl"/>
        </w:rPr>
      </w:pPr>
      <w:r>
        <w:rPr>
          <w:rFonts w:cs="Calibri"/>
          <w:noProof/>
          <w:sz w:val="28"/>
          <w:szCs w:val="28"/>
          <w:lang w:eastAsia="es-CO"/>
        </w:rPr>
        <w:drawing>
          <wp:anchor distT="0" distB="0" distL="114300" distR="114300" simplePos="0" relativeHeight="251671552" behindDoc="1" locked="0" layoutInCell="1" allowOverlap="1">
            <wp:simplePos x="0" y="0"/>
            <wp:positionH relativeFrom="column">
              <wp:posOffset>1605915</wp:posOffset>
            </wp:positionH>
            <wp:positionV relativeFrom="paragraph">
              <wp:posOffset>347980</wp:posOffset>
            </wp:positionV>
            <wp:extent cx="2548255" cy="2051685"/>
            <wp:effectExtent l="0" t="0" r="4445" b="5715"/>
            <wp:wrapTight wrapText="bothSides">
              <wp:wrapPolygon edited="0">
                <wp:start x="0" y="0"/>
                <wp:lineTo x="0" y="21460"/>
                <wp:lineTo x="21476" y="21460"/>
                <wp:lineTo x="21476" y="0"/>
                <wp:lineTo x="0" y="0"/>
              </wp:wrapPolygon>
            </wp:wrapTight>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48255" cy="2051685"/>
                    </a:xfrm>
                    <a:prstGeom prst="rect">
                      <a:avLst/>
                    </a:prstGeom>
                    <a:noFill/>
                    <a:ln>
                      <a:noFill/>
                    </a:ln>
                  </pic:spPr>
                </pic:pic>
              </a:graphicData>
            </a:graphic>
          </wp:anchor>
        </w:drawing>
      </w:r>
      <w:r w:rsidRPr="006772A7">
        <w:rPr>
          <w:rFonts w:cs="Calibri"/>
          <w:sz w:val="28"/>
          <w:szCs w:val="28"/>
          <w:lang w:val="es-ES_tradnl"/>
        </w:rPr>
        <w:t>La relación de número de personas por vivienda es la siguiente:</w:t>
      </w:r>
    </w:p>
    <w:p w:rsidR="00497DA0" w:rsidRPr="006772A7" w:rsidRDefault="00497DA0" w:rsidP="00497DA0">
      <w:pPr>
        <w:rPr>
          <w:rFonts w:cs="Calibri"/>
          <w:sz w:val="28"/>
          <w:szCs w:val="28"/>
          <w:lang w:val="es-ES_tradnl"/>
        </w:rPr>
      </w:pPr>
    </w:p>
    <w:p w:rsidR="00497DA0" w:rsidRPr="006772A7" w:rsidRDefault="00497DA0" w:rsidP="00497DA0">
      <w:pPr>
        <w:rPr>
          <w:rFonts w:cs="Calibri"/>
          <w:sz w:val="28"/>
          <w:szCs w:val="28"/>
          <w:lang w:val="es-ES_tradnl"/>
        </w:rPr>
      </w:pPr>
    </w:p>
    <w:p w:rsidR="00497DA0" w:rsidRPr="006772A7" w:rsidRDefault="00497DA0" w:rsidP="00497DA0">
      <w:pPr>
        <w:ind w:firstLine="708"/>
        <w:rPr>
          <w:rFonts w:cs="Calibri"/>
          <w:sz w:val="28"/>
          <w:szCs w:val="28"/>
          <w:lang w:val="es-ES_tradnl"/>
        </w:rPr>
      </w:pPr>
    </w:p>
    <w:p w:rsidR="00497DA0" w:rsidRPr="006772A7" w:rsidRDefault="00497DA0" w:rsidP="00497DA0">
      <w:pPr>
        <w:rPr>
          <w:rFonts w:cs="Calibri"/>
          <w:sz w:val="28"/>
          <w:szCs w:val="28"/>
          <w:lang w:val="es-ES_tradnl"/>
        </w:rPr>
      </w:pPr>
    </w:p>
    <w:p w:rsidR="00497DA0" w:rsidRPr="006772A7" w:rsidRDefault="00497DA0" w:rsidP="00497DA0">
      <w:pPr>
        <w:rPr>
          <w:rFonts w:cs="Calibri"/>
          <w:sz w:val="28"/>
          <w:szCs w:val="28"/>
          <w:lang w:val="es-ES_tradnl"/>
        </w:rPr>
      </w:pPr>
    </w:p>
    <w:p w:rsidR="00497DA0" w:rsidRPr="006772A7" w:rsidRDefault="00497DA0" w:rsidP="00497DA0">
      <w:pPr>
        <w:rPr>
          <w:rFonts w:cs="Calibri"/>
          <w:sz w:val="28"/>
          <w:szCs w:val="28"/>
          <w:lang w:val="es-ES_tradnl"/>
        </w:rPr>
      </w:pPr>
    </w:p>
    <w:p w:rsidR="00497DA0" w:rsidRPr="006772A7" w:rsidRDefault="00497DA0" w:rsidP="00497DA0">
      <w:pPr>
        <w:rPr>
          <w:rFonts w:cs="Calibri"/>
          <w:sz w:val="28"/>
          <w:szCs w:val="28"/>
          <w:lang w:val="es-ES_tradnl"/>
        </w:rPr>
      </w:pPr>
    </w:p>
    <w:p w:rsidR="00497DA0" w:rsidRPr="006772A7" w:rsidRDefault="00497DA0" w:rsidP="00497DA0">
      <w:pPr>
        <w:jc w:val="both"/>
        <w:rPr>
          <w:rFonts w:cs="Calibri"/>
          <w:sz w:val="28"/>
          <w:szCs w:val="28"/>
        </w:rPr>
      </w:pPr>
      <w:r w:rsidRPr="006772A7">
        <w:rPr>
          <w:rFonts w:cs="Calibri"/>
          <w:sz w:val="28"/>
          <w:szCs w:val="28"/>
          <w:lang w:val="es-ES_tradnl"/>
        </w:rPr>
        <w:t xml:space="preserve">Otros datos y estadísticas que contribuyen a establecer un diagnóstico sobre la situación del municipio en vivienda son los siguientes: </w:t>
      </w:r>
      <w:r w:rsidRPr="006772A7">
        <w:rPr>
          <w:rFonts w:cs="Calibri"/>
          <w:sz w:val="28"/>
          <w:szCs w:val="28"/>
          <w:lang w:val="es-ES"/>
        </w:rPr>
        <w:t>Proporción de la población bajo la línea de pobreza: 66%, proporción de la población en hacinamiento 17, 6%</w:t>
      </w:r>
      <w:r w:rsidRPr="006772A7">
        <w:rPr>
          <w:rFonts w:cs="Calibri"/>
          <w:sz w:val="28"/>
          <w:szCs w:val="28"/>
        </w:rPr>
        <w:t xml:space="preserve">, </w:t>
      </w:r>
      <w:r w:rsidRPr="006772A7">
        <w:rPr>
          <w:rFonts w:cs="Calibri"/>
          <w:sz w:val="28"/>
          <w:szCs w:val="28"/>
          <w:lang w:val="es-ES"/>
        </w:rPr>
        <w:t>proporción de viviendas con el servicio de alcantarillado: 76,4%</w:t>
      </w:r>
      <w:r w:rsidRPr="006772A7">
        <w:rPr>
          <w:rFonts w:cs="Calibri"/>
          <w:sz w:val="28"/>
          <w:szCs w:val="28"/>
        </w:rPr>
        <w:t>, número de perros en el municipio 4625, número de gatos en el municipio 2102</w:t>
      </w:r>
    </w:p>
    <w:p w:rsidR="00497DA0" w:rsidRPr="006772A7" w:rsidRDefault="00497DA0" w:rsidP="00497DA0">
      <w:pPr>
        <w:rPr>
          <w:rFonts w:cs="Calibri"/>
          <w:sz w:val="28"/>
          <w:szCs w:val="28"/>
          <w:u w:val="single"/>
        </w:rPr>
      </w:pPr>
      <w:r w:rsidRPr="006772A7">
        <w:rPr>
          <w:rFonts w:cs="Calibri"/>
          <w:sz w:val="28"/>
          <w:szCs w:val="28"/>
          <w:u w:val="single"/>
        </w:rPr>
        <w:t>14.2 Debilidades:</w:t>
      </w:r>
    </w:p>
    <w:p w:rsidR="00497DA0" w:rsidRPr="006772A7" w:rsidRDefault="00497DA0" w:rsidP="00497DA0">
      <w:pPr>
        <w:jc w:val="both"/>
        <w:rPr>
          <w:rFonts w:cs="Calibri"/>
          <w:sz w:val="28"/>
          <w:szCs w:val="28"/>
        </w:rPr>
      </w:pPr>
      <w:r w:rsidRPr="006772A7">
        <w:rPr>
          <w:rFonts w:cs="Calibri"/>
          <w:sz w:val="28"/>
          <w:szCs w:val="28"/>
        </w:rPr>
        <w:lastRenderedPageBreak/>
        <w:t xml:space="preserve">Aunque por los datos encontrados, es posible pensar que el tema de vivienda no es un tema sensible para el de municipio, es necesario generar un diagnóstico más preciso dentro del municipio frente a este tema para poder tener mayores certezas de las necesidades y acciones que se deben desarrollar. </w:t>
      </w:r>
    </w:p>
    <w:p w:rsidR="00497DA0" w:rsidRPr="006772A7" w:rsidRDefault="00497DA0" w:rsidP="00497DA0">
      <w:pPr>
        <w:jc w:val="both"/>
        <w:rPr>
          <w:rFonts w:cs="Calibri"/>
          <w:sz w:val="28"/>
          <w:szCs w:val="28"/>
        </w:rPr>
      </w:pPr>
      <w:r w:rsidRPr="006772A7">
        <w:rPr>
          <w:rFonts w:cs="Calibri"/>
          <w:sz w:val="28"/>
          <w:szCs w:val="28"/>
        </w:rPr>
        <w:t>La ausencia de un diagnóstico claro que contenga criterios de: habitabilidad, hacinamiento, servicios y cohabitación es una falencia para cualquier planeación que la administración municipal quiera hacer en esta área, sobre todo teniendo en cuenta las diferencias tan amplias que existen entre la zona urbana y rural del municipio.</w:t>
      </w:r>
    </w:p>
    <w:p w:rsidR="00497DA0" w:rsidRPr="006772A7" w:rsidRDefault="00497DA0" w:rsidP="00497DA0">
      <w:pPr>
        <w:jc w:val="both"/>
        <w:rPr>
          <w:rFonts w:cs="Calibri"/>
          <w:sz w:val="28"/>
          <w:szCs w:val="28"/>
        </w:rPr>
      </w:pPr>
      <w:r w:rsidRPr="006772A7">
        <w:rPr>
          <w:rFonts w:cs="Calibri"/>
          <w:sz w:val="28"/>
          <w:szCs w:val="28"/>
        </w:rPr>
        <w:t>La falta de una política clara frente al tema de vivienda desde el nivel nacional, impacta de manera negativa a todas las entidades territoriales y limita las posibilidades de generar políticas locales, sobretodo de municipios tan pequeños y de tan escasos recursos. Sin embargo, es necesario de cualquier forma desarrollar acciones encaminadas a garantizar el 100%  de los servicios básicos a cada hogar del municipio.</w:t>
      </w:r>
    </w:p>
    <w:p w:rsidR="00497DA0" w:rsidRPr="006772A7" w:rsidRDefault="00497DA0" w:rsidP="00497DA0">
      <w:pPr>
        <w:jc w:val="both"/>
        <w:rPr>
          <w:rFonts w:cs="Calibri"/>
          <w:sz w:val="28"/>
          <w:szCs w:val="28"/>
        </w:rPr>
      </w:pPr>
      <w:r w:rsidRPr="006772A7">
        <w:rPr>
          <w:rFonts w:cs="Calibri"/>
          <w:sz w:val="28"/>
          <w:szCs w:val="28"/>
        </w:rPr>
        <w:t>Más de la mitad de la población está por debajo de la línea de pobreza, este hecho es una falencia para cualquier municipio y un obstáculo que cualquier entidad que quiera desarrollarse debe superar.</w:t>
      </w:r>
    </w:p>
    <w:p w:rsidR="00497DA0" w:rsidRPr="006772A7" w:rsidRDefault="00497DA0" w:rsidP="00497DA0">
      <w:pPr>
        <w:jc w:val="both"/>
        <w:rPr>
          <w:rFonts w:cs="Calibri"/>
          <w:sz w:val="28"/>
          <w:szCs w:val="28"/>
          <w:u w:val="single"/>
        </w:rPr>
      </w:pPr>
      <w:r w:rsidRPr="006772A7">
        <w:rPr>
          <w:rFonts w:cs="Calibri"/>
          <w:sz w:val="28"/>
          <w:szCs w:val="28"/>
          <w:u w:val="single"/>
        </w:rPr>
        <w:t>14.3 Potencialidades</w:t>
      </w:r>
    </w:p>
    <w:p w:rsidR="00497DA0" w:rsidRPr="006772A7" w:rsidRDefault="00497DA0" w:rsidP="00497DA0">
      <w:pPr>
        <w:jc w:val="both"/>
        <w:rPr>
          <w:rFonts w:cs="Calibri"/>
          <w:sz w:val="28"/>
          <w:szCs w:val="28"/>
        </w:rPr>
      </w:pPr>
      <w:r w:rsidRPr="006772A7">
        <w:rPr>
          <w:rFonts w:cs="Calibri"/>
          <w:sz w:val="28"/>
          <w:szCs w:val="28"/>
        </w:rPr>
        <w:t>Los niveles de acceso a servicios de acueducto y energía eléctrica son un punto importante para cumplir las metas de 100% de cobertura. La voluntad política de la nueva administración y una planeación adecuada y precisa seguro lograrán fortalecer al municipio en materia de vivienda y de servicios públicos.</w:t>
      </w:r>
    </w:p>
    <w:p w:rsidR="00497DA0" w:rsidRPr="006772A7" w:rsidRDefault="00497DA0" w:rsidP="00497DA0">
      <w:pPr>
        <w:numPr>
          <w:ilvl w:val="0"/>
          <w:numId w:val="15"/>
        </w:numPr>
        <w:jc w:val="both"/>
        <w:rPr>
          <w:rFonts w:cs="Calibri"/>
          <w:b/>
          <w:sz w:val="28"/>
          <w:szCs w:val="28"/>
        </w:rPr>
      </w:pPr>
      <w:r w:rsidRPr="006772A7">
        <w:rPr>
          <w:rFonts w:cs="Calibri"/>
          <w:b/>
          <w:sz w:val="28"/>
          <w:szCs w:val="28"/>
        </w:rPr>
        <w:t>Conclusión</w:t>
      </w:r>
    </w:p>
    <w:p w:rsidR="00497DA0" w:rsidRPr="006772A7" w:rsidRDefault="00497DA0" w:rsidP="00497DA0">
      <w:pPr>
        <w:jc w:val="both"/>
        <w:rPr>
          <w:rFonts w:cs="Calibri"/>
          <w:sz w:val="28"/>
          <w:szCs w:val="28"/>
        </w:rPr>
      </w:pPr>
      <w:r w:rsidRPr="006772A7">
        <w:rPr>
          <w:rFonts w:cs="Calibri"/>
          <w:sz w:val="28"/>
          <w:szCs w:val="28"/>
        </w:rPr>
        <w:t xml:space="preserve">Pese a que falta precisión en algunos datos y algunas estadísticas, el anterior diagnostico es una base valiosa para la planeación estratégica del Plan de Desarrollo Municipal 2012 – 2015. Hemos también podido identificar el </w:t>
      </w:r>
      <w:r w:rsidRPr="006772A7">
        <w:rPr>
          <w:rFonts w:cs="Calibri"/>
          <w:sz w:val="28"/>
          <w:szCs w:val="28"/>
        </w:rPr>
        <w:lastRenderedPageBreak/>
        <w:t xml:space="preserve">panorama y estado actual de los diferentes sectores que debe cubrir nuestra administración municipal. </w:t>
      </w:r>
    </w:p>
    <w:p w:rsidR="00497DA0" w:rsidRPr="006772A7" w:rsidRDefault="00497DA0" w:rsidP="00497DA0">
      <w:pPr>
        <w:jc w:val="both"/>
        <w:rPr>
          <w:rFonts w:cs="Calibri"/>
          <w:sz w:val="28"/>
          <w:szCs w:val="28"/>
        </w:rPr>
      </w:pPr>
      <w:r w:rsidRPr="006772A7">
        <w:rPr>
          <w:rFonts w:cs="Calibri"/>
          <w:sz w:val="28"/>
          <w:szCs w:val="28"/>
        </w:rPr>
        <w:t>Hemos identificado además los aspectos más sensibles sobre los cuales debe incidir el presente PMD, a saber: salud, medio ambiente, servicios y educación. Logramos conocer de manera general cuales son las debilidades y los aspectos por superar en cada área de planeación, conocemos ahora algunos vacíos y las causas de los mismos para corregir problemáticas estructurales.</w:t>
      </w:r>
    </w:p>
    <w:p w:rsidR="00497DA0" w:rsidRPr="006772A7" w:rsidRDefault="00497DA0" w:rsidP="00497DA0">
      <w:pPr>
        <w:jc w:val="both"/>
        <w:rPr>
          <w:rFonts w:cs="Calibri"/>
          <w:b/>
          <w:i/>
          <w:sz w:val="28"/>
          <w:szCs w:val="28"/>
        </w:rPr>
      </w:pPr>
      <w:r w:rsidRPr="006772A7">
        <w:rPr>
          <w:rFonts w:cs="Calibri"/>
          <w:sz w:val="28"/>
          <w:szCs w:val="28"/>
        </w:rPr>
        <w:t xml:space="preserve">Sabemos también, que así como tenemos debilidades existen muchos procesos en marcha y muchas herramientas que podemos utilizar para optimizar nuestra planeación y generar estrategias más aterrizadas, oportunas y pertinentes, (la organización indígena del municipio es una oportunidad invaluable para el desarrollo  desde un enfoque diferencial). Este diagnóstico es un importante punto de partida para lograr nuestras metas, teniendo siempre como norte que: </w:t>
      </w:r>
      <w:r w:rsidRPr="006772A7">
        <w:rPr>
          <w:rFonts w:cs="Calibri"/>
          <w:b/>
          <w:i/>
          <w:sz w:val="28"/>
          <w:szCs w:val="28"/>
        </w:rPr>
        <w:t>POR EL RIOSUCIO QUE QUEREMOS, JUNTOS SÍ PODEMOS.</w:t>
      </w:r>
    </w:p>
    <w:p w:rsidR="00F732F7" w:rsidRDefault="00F732F7"/>
    <w:sectPr w:rsidR="00F732F7" w:rsidSect="00BC76D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3F6" w:rsidRDefault="00CF53F6" w:rsidP="00497DA0">
      <w:pPr>
        <w:spacing w:after="0" w:line="240" w:lineRule="auto"/>
      </w:pPr>
      <w:r>
        <w:separator/>
      </w:r>
    </w:p>
  </w:endnote>
  <w:endnote w:type="continuationSeparator" w:id="0">
    <w:p w:rsidR="00CF53F6" w:rsidRDefault="00CF53F6" w:rsidP="00497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3F6" w:rsidRDefault="00CF53F6" w:rsidP="00497DA0">
      <w:pPr>
        <w:spacing w:after="0" w:line="240" w:lineRule="auto"/>
      </w:pPr>
      <w:r>
        <w:separator/>
      </w:r>
    </w:p>
  </w:footnote>
  <w:footnote w:type="continuationSeparator" w:id="0">
    <w:p w:rsidR="00CF53F6" w:rsidRDefault="00CF53F6" w:rsidP="00497DA0">
      <w:pPr>
        <w:spacing w:after="0" w:line="240" w:lineRule="auto"/>
      </w:pPr>
      <w:r>
        <w:continuationSeparator/>
      </w:r>
    </w:p>
  </w:footnote>
  <w:footnote w:id="1">
    <w:p w:rsidR="00497DA0" w:rsidRDefault="00497DA0" w:rsidP="00497DA0">
      <w:pPr>
        <w:pStyle w:val="Textonotapie"/>
      </w:pPr>
      <w:r>
        <w:rPr>
          <w:rStyle w:val="Refdenotaalpie"/>
        </w:rPr>
        <w:footnoteRef/>
      </w:r>
      <w:r>
        <w:t xml:space="preserve"> Datos extraídos del Departamento Nacional de Estadística DANE, fechados a 2010. </w:t>
      </w:r>
      <w:hyperlink r:id="rId1" w:history="1">
        <w:r w:rsidRPr="001E71F6">
          <w:rPr>
            <w:rStyle w:val="Hipervnculo"/>
          </w:rPr>
          <w:t>http://www.dane.gov.co/files/censo2005/PERFIL_PDF_CG2005/17614T7T000.PDF</w:t>
        </w:r>
      </w:hyperlink>
    </w:p>
  </w:footnote>
  <w:footnote w:id="2">
    <w:p w:rsidR="00497DA0" w:rsidRDefault="00497DA0" w:rsidP="00497DA0">
      <w:pPr>
        <w:pStyle w:val="Textonotapie"/>
      </w:pPr>
      <w:r>
        <w:rPr>
          <w:rStyle w:val="Refdenotaalpie"/>
        </w:rPr>
        <w:footnoteRef/>
      </w:r>
      <w:r>
        <w:t xml:space="preserve"> Datos extraídos del Registro Único de Población Desplazada RUPD del Departamento para la Prosperidad Social, con corte a 2011.</w:t>
      </w:r>
      <w:r w:rsidRPr="008675E6">
        <w:t xml:space="preserve"> </w:t>
      </w:r>
      <w:hyperlink r:id="rId2" w:history="1">
        <w:r>
          <w:rPr>
            <w:rStyle w:val="Hipervnculo"/>
          </w:rPr>
          <w:t>http://www.dps.gov.co/contenido/contenido.aspx?catID=621&amp;conID=556</w:t>
        </w:r>
      </w:hyperlink>
    </w:p>
  </w:footnote>
  <w:footnote w:id="3">
    <w:p w:rsidR="00497DA0" w:rsidRDefault="00497DA0" w:rsidP="00497DA0">
      <w:pPr>
        <w:pStyle w:val="Textonotapie"/>
      </w:pPr>
      <w:r>
        <w:rPr>
          <w:rStyle w:val="Refdenotaalpie"/>
        </w:rPr>
        <w:footnoteRef/>
      </w:r>
      <w:r>
        <w:t xml:space="preserve">Alcaldía de Rio sucio – Caldas. </w:t>
      </w:r>
      <w:hyperlink r:id="rId3" w:history="1">
        <w:r>
          <w:rPr>
            <w:rStyle w:val="Hipervnculo"/>
          </w:rPr>
          <w:t>http://www.riosucio-caldas.gov.co/nuestromunicipio.shtml?apc=myxx-1-&amp;x=2744724&amp;als[ESTADO__]=myxx-1-</w:t>
        </w:r>
      </w:hyperlink>
      <w:r>
        <w:t xml:space="preserve"> 2012.</w:t>
      </w:r>
    </w:p>
  </w:footnote>
  <w:footnote w:id="4">
    <w:p w:rsidR="00497DA0" w:rsidRDefault="00497DA0" w:rsidP="00497DA0">
      <w:pPr>
        <w:pStyle w:val="Textonotapie"/>
      </w:pPr>
      <w:r>
        <w:rPr>
          <w:rStyle w:val="Refdenotaalpie"/>
        </w:rPr>
        <w:footnoteRef/>
      </w:r>
      <w:r>
        <w:t xml:space="preserve">  Dado que el promedio de homicidios por cada 100.000 habitantes es inferior a 10, es posible afirmar que Riosucio se encuentra dentro del margen de normalidad de indicadores de violencia en comparación a toda América Latina.</w:t>
      </w:r>
    </w:p>
  </w:footnote>
  <w:footnote w:id="5">
    <w:p w:rsidR="00497DA0" w:rsidRPr="00693AAC" w:rsidRDefault="00497DA0" w:rsidP="00497DA0">
      <w:pPr>
        <w:pStyle w:val="Textonotapie"/>
        <w:jc w:val="both"/>
      </w:pPr>
      <w:r>
        <w:rPr>
          <w:rStyle w:val="Refdenotaalpie"/>
        </w:rPr>
        <w:footnoteRef/>
      </w:r>
      <w:r>
        <w:t xml:space="preserve"> </w:t>
      </w:r>
      <w:r w:rsidRPr="00693AAC">
        <w:t>En Cañamomo y Lomaprieta se atendieron  325 casos, además de los delitos contra la familia llaman la atención, la calumnia con un total de 50, lesiones personales con 45 y hurto con un total de 30 casos. En San Lorenzo se atendieron 253 asuntos penales destacándose la agresión verbal y física con 72 casos, calumnia con 34, abuso de confianza 28 y amenazas 17,</w:t>
      </w:r>
      <w:r>
        <w:t>.</w:t>
      </w:r>
      <w:r w:rsidRPr="00693AAC">
        <w:t>En el resguardo indígena Nuestra Señora Candelaria de la Montaña se atendieron 58 casos penales durante el año 2011, en primer reglón se encuentran las agresiones a la integridad personal con 27, el hurto con  17, en tercer lugar la calumnia reporta un total de 7 casos atendidos</w:t>
      </w:r>
      <w:r>
        <w:t xml:space="preserve">. </w:t>
      </w:r>
      <w:r w:rsidRPr="00693AAC">
        <w:t>Finalmente el resguardo de Escopetera Pirza a través de su comisión jurídica atendió un total de 11 casos el año 2011, destacándose agresiones físicas y verbales.</w:t>
      </w:r>
    </w:p>
    <w:p w:rsidR="00497DA0" w:rsidRDefault="00497DA0" w:rsidP="00497DA0">
      <w:pPr>
        <w:pStyle w:val="Textonotapie"/>
      </w:pPr>
    </w:p>
  </w:footnote>
  <w:footnote w:id="6">
    <w:p w:rsidR="00497DA0" w:rsidRPr="00ED1118" w:rsidRDefault="00497DA0" w:rsidP="00497DA0">
      <w:pPr>
        <w:pStyle w:val="Textonotapie"/>
        <w:jc w:val="both"/>
        <w:rPr>
          <w:bCs/>
        </w:rPr>
      </w:pPr>
      <w:r>
        <w:rPr>
          <w:rStyle w:val="Refdenotaalpie"/>
        </w:rPr>
        <w:footnoteRef/>
      </w:r>
      <w:r>
        <w:t xml:space="preserve"> </w:t>
      </w:r>
      <w:r w:rsidRPr="00ED1118">
        <w:rPr>
          <w:bCs/>
          <w:sz w:val="18"/>
          <w:szCs w:val="18"/>
        </w:rPr>
        <w:t>Importante mencionar que el municipio en el 2011 adelanto la identificación de  1000 personas en estas condiciones, información que está siendo sistematizada en el software del ministerio de salud; y se reactivo el comité de discapacidad</w:t>
      </w:r>
    </w:p>
  </w:footnote>
  <w:footnote w:id="7">
    <w:p w:rsidR="00497DA0" w:rsidRDefault="00497DA0" w:rsidP="00497DA0">
      <w:pPr>
        <w:pStyle w:val="Textonotapie"/>
        <w:jc w:val="both"/>
      </w:pPr>
      <w:r>
        <w:rPr>
          <w:rStyle w:val="Refdenotaalpie"/>
        </w:rPr>
        <w:footnoteRef/>
      </w:r>
      <w:r>
        <w:t xml:space="preserve"> </w:t>
      </w:r>
      <w:r w:rsidRPr="00ED1118">
        <w:t>El Municipio de Riosucio  hay incidencia y prevalencia en casos  de muertes perinatales, mortalidad materna e infantil por causas evitables, es así que la salud de la población infantil en el municipio de Riosucio Caldas ha estado permeada por una variedad de proble</w:t>
      </w:r>
      <w:r>
        <w:t>mas de salud que de forma rizomá</w:t>
      </w:r>
      <w:r w:rsidRPr="00ED1118">
        <w:t>tica han emergido a través del tiempo en las diferentes comunidades tanto de la zona urbana como rural del municipio, entre ellas han tenido mayor pre</w:t>
      </w:r>
      <w:r>
        <w:t xml:space="preserve">valencia las enfermedades </w:t>
      </w:r>
      <w:proofErr w:type="spellStart"/>
      <w:r>
        <w:t>diarré</w:t>
      </w:r>
      <w:r w:rsidRPr="00ED1118">
        <w:t>icas</w:t>
      </w:r>
      <w:proofErr w:type="spellEnd"/>
      <w:r w:rsidRPr="00ED1118">
        <w:t xml:space="preserve"> agudas, enfermedades respiratorias, problemas de desnutrición, el maltrato infantil en todas sus variedades y aquellos derivados como consecuencias de una maternidad no segura.</w:t>
      </w:r>
    </w:p>
  </w:footnote>
  <w:footnote w:id="8">
    <w:p w:rsidR="00497DA0" w:rsidRDefault="00497DA0" w:rsidP="00497DA0">
      <w:pPr>
        <w:pStyle w:val="Textonotapie"/>
      </w:pPr>
      <w:r>
        <w:rPr>
          <w:rStyle w:val="Refdenotaalpie"/>
        </w:rPr>
        <w:footnoteRef/>
      </w:r>
      <w:r>
        <w:t xml:space="preserve"> Tomado de la pagina web de la Corporación Carnaval de Riosucio. </w:t>
      </w:r>
      <w:hyperlink r:id="rId4" w:history="1">
        <w:r>
          <w:rPr>
            <w:rStyle w:val="Hipervnculo"/>
          </w:rPr>
          <w:t>http://www.carnavalriosucio.org/website/index.php?option=com_content&amp;view=article&amp;id=111&amp;Itemid=112</w:t>
        </w:r>
      </w:hyperlink>
    </w:p>
  </w:footnote>
  <w:footnote w:id="9">
    <w:p w:rsidR="00497DA0" w:rsidRDefault="00497DA0" w:rsidP="00497DA0">
      <w:pPr>
        <w:pStyle w:val="Textonotapie"/>
      </w:pPr>
      <w:r>
        <w:rPr>
          <w:rStyle w:val="Refdenotaalpie"/>
        </w:rPr>
        <w:footnoteRef/>
      </w:r>
      <w:r>
        <w:t xml:space="preserve"> Indicadores de Goce Efectivo de Derechos establecidos por la Honorable Corte Constitucional en auto 116 de 2009.</w:t>
      </w:r>
    </w:p>
  </w:footnote>
  <w:footnote w:id="10">
    <w:p w:rsidR="00497DA0" w:rsidRDefault="00497DA0" w:rsidP="00497DA0">
      <w:pPr>
        <w:pStyle w:val="Textonotapie"/>
      </w:pPr>
      <w:r>
        <w:rPr>
          <w:rStyle w:val="Refdenotaalpie"/>
        </w:rPr>
        <w:footnoteRef/>
      </w:r>
      <w:r>
        <w:t xml:space="preserve"> Ley 387/97</w:t>
      </w:r>
    </w:p>
  </w:footnote>
  <w:footnote w:id="11">
    <w:p w:rsidR="00497DA0" w:rsidRDefault="00497DA0" w:rsidP="00497DA0">
      <w:pPr>
        <w:pStyle w:val="Textonotapie"/>
      </w:pPr>
      <w:r>
        <w:rPr>
          <w:rStyle w:val="Refdenotaalpie"/>
        </w:rPr>
        <w:footnoteRef/>
      </w:r>
      <w:r>
        <w:t xml:space="preserve"> Ley 1448 de 2011</w:t>
      </w:r>
    </w:p>
  </w:footnote>
  <w:footnote w:id="12">
    <w:p w:rsidR="00497DA0" w:rsidRDefault="00497DA0" w:rsidP="00497DA0">
      <w:pPr>
        <w:pStyle w:val="Textonotapie"/>
        <w:jc w:val="both"/>
      </w:pPr>
      <w:r>
        <w:rPr>
          <w:rStyle w:val="Refdenotaalpie"/>
        </w:rPr>
        <w:footnoteRef/>
      </w:r>
      <w:r>
        <w:t>Las empresas de confecciones en particular están trabajando bajo el esquema de maquilas para otras empresas comercializadoras, lo que determina  que el canal de comercialización depende especialmente del sistema de contratación que las regula.</w:t>
      </w:r>
    </w:p>
    <w:p w:rsidR="00497DA0" w:rsidRDefault="00497DA0" w:rsidP="00497DA0">
      <w:pPr>
        <w:pStyle w:val="Textonotapie"/>
      </w:pPr>
    </w:p>
  </w:footnote>
  <w:footnote w:id="13">
    <w:p w:rsidR="00497DA0" w:rsidRDefault="00497DA0" w:rsidP="00497DA0">
      <w:pPr>
        <w:pStyle w:val="Textonotapie"/>
      </w:pPr>
      <w:r>
        <w:rPr>
          <w:rStyle w:val="Refdenotaalpie"/>
        </w:rPr>
        <w:footnoteRef/>
      </w:r>
      <w:r>
        <w:t xml:space="preserve"> De acuerdo con las evaluaciones hechas hasta el momento, no hay evidencia de un estudio técnico y serio que valide la reestructura administrativa impulsada por la anterior administración. </w:t>
      </w:r>
    </w:p>
  </w:footnote>
  <w:footnote w:id="14">
    <w:p w:rsidR="00497DA0" w:rsidRDefault="00497DA0" w:rsidP="00497DA0">
      <w:pPr>
        <w:pStyle w:val="Textonotapie"/>
      </w:pPr>
      <w:r>
        <w:rPr>
          <w:rStyle w:val="Refdenotaalpie"/>
        </w:rPr>
        <w:footnoteRef/>
      </w:r>
      <w:r>
        <w:t xml:space="preserve"> Los contenidos que debe tener cada empleo  son regulados por la ley 909 de 2004.</w:t>
      </w:r>
    </w:p>
  </w:footnote>
  <w:footnote w:id="15">
    <w:p w:rsidR="00497DA0" w:rsidRDefault="00497DA0" w:rsidP="00497DA0">
      <w:pPr>
        <w:pStyle w:val="Textonotapie"/>
      </w:pPr>
      <w:r>
        <w:rPr>
          <w:rStyle w:val="Refdenotaalpie"/>
        </w:rPr>
        <w:footnoteRef/>
      </w:r>
      <w:r>
        <w:t xml:space="preserve"> Aunque existen múltiples manuales y normatividades frente al tema de gestión, estos resultan ser solo documentos ya que no se implementan con rigor.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B36018A"/>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2247BC"/>
    <w:multiLevelType w:val="hybridMultilevel"/>
    <w:tmpl w:val="78281D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06E31ED"/>
    <w:multiLevelType w:val="hybridMultilevel"/>
    <w:tmpl w:val="35A0C9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B020854"/>
    <w:multiLevelType w:val="hybridMultilevel"/>
    <w:tmpl w:val="5EE4C78A"/>
    <w:lvl w:ilvl="0" w:tplc="A90CDBC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3C18B7"/>
    <w:multiLevelType w:val="hybridMultilevel"/>
    <w:tmpl w:val="BF90A492"/>
    <w:lvl w:ilvl="0" w:tplc="240A000F">
      <w:start w:val="1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E724C68"/>
    <w:multiLevelType w:val="hybridMultilevel"/>
    <w:tmpl w:val="E8EE9E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17E460D"/>
    <w:multiLevelType w:val="multilevel"/>
    <w:tmpl w:val="31AC0420"/>
    <w:lvl w:ilvl="0">
      <w:start w:val="5"/>
      <w:numFmt w:val="decimal"/>
      <w:lvlText w:val="%1."/>
      <w:lvlJc w:val="left"/>
      <w:pPr>
        <w:ind w:left="450" w:hanging="45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7">
    <w:nsid w:val="12D35667"/>
    <w:multiLevelType w:val="hybridMultilevel"/>
    <w:tmpl w:val="D618CD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39E5A31"/>
    <w:multiLevelType w:val="hybridMultilevel"/>
    <w:tmpl w:val="41466D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C2A327A"/>
    <w:multiLevelType w:val="hybridMultilevel"/>
    <w:tmpl w:val="775472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nsid w:val="1C4C39B0"/>
    <w:multiLevelType w:val="hybridMultilevel"/>
    <w:tmpl w:val="D186A24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1">
    <w:nsid w:val="1DC532B5"/>
    <w:multiLevelType w:val="hybridMultilevel"/>
    <w:tmpl w:val="08C0E7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3BB082D"/>
    <w:multiLevelType w:val="hybridMultilevel"/>
    <w:tmpl w:val="A0BA92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2D642356"/>
    <w:multiLevelType w:val="hybridMultilevel"/>
    <w:tmpl w:val="14125174"/>
    <w:lvl w:ilvl="0" w:tplc="3AE833F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FDC461B"/>
    <w:multiLevelType w:val="multilevel"/>
    <w:tmpl w:val="334A176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357F1890"/>
    <w:multiLevelType w:val="hybridMultilevel"/>
    <w:tmpl w:val="1ABE41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82A6DE1"/>
    <w:multiLevelType w:val="hybridMultilevel"/>
    <w:tmpl w:val="2B8AC06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nsid w:val="3A7E3F69"/>
    <w:multiLevelType w:val="hybridMultilevel"/>
    <w:tmpl w:val="7256E6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2BF23A1"/>
    <w:multiLevelType w:val="multilevel"/>
    <w:tmpl w:val="334A176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75F1C1A"/>
    <w:multiLevelType w:val="hybridMultilevel"/>
    <w:tmpl w:val="90325B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5C416EBD"/>
    <w:multiLevelType w:val="hybridMultilevel"/>
    <w:tmpl w:val="0DF026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8641C40"/>
    <w:multiLevelType w:val="hybridMultilevel"/>
    <w:tmpl w:val="0542019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nsid w:val="7BF06C96"/>
    <w:multiLevelType w:val="hybridMultilevel"/>
    <w:tmpl w:val="07F45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
  </w:num>
  <w:num w:numId="4">
    <w:abstractNumId w:val="21"/>
  </w:num>
  <w:num w:numId="5">
    <w:abstractNumId w:val="5"/>
  </w:num>
  <w:num w:numId="6">
    <w:abstractNumId w:val="12"/>
  </w:num>
  <w:num w:numId="7">
    <w:abstractNumId w:val="1"/>
  </w:num>
  <w:num w:numId="8">
    <w:abstractNumId w:val="11"/>
  </w:num>
  <w:num w:numId="9">
    <w:abstractNumId w:val="20"/>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0"/>
  </w:num>
  <w:num w:numId="15">
    <w:abstractNumId w:val="4"/>
  </w:num>
  <w:num w:numId="16">
    <w:abstractNumId w:val="8"/>
  </w:num>
  <w:num w:numId="17">
    <w:abstractNumId w:val="3"/>
  </w:num>
  <w:num w:numId="18">
    <w:abstractNumId w:val="13"/>
  </w:num>
  <w:num w:numId="19">
    <w:abstractNumId w:val="15"/>
  </w:num>
  <w:num w:numId="20">
    <w:abstractNumId w:val="7"/>
  </w:num>
  <w:num w:numId="21">
    <w:abstractNumId w:val="1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B00"/>
    <w:rsid w:val="00137B00"/>
    <w:rsid w:val="001E253E"/>
    <w:rsid w:val="00497DA0"/>
    <w:rsid w:val="006B63D9"/>
    <w:rsid w:val="00B6628E"/>
    <w:rsid w:val="00CF53F6"/>
    <w:rsid w:val="00F732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DA0"/>
    <w:rPr>
      <w:rFonts w:ascii="Calibri" w:eastAsia="Calibri" w:hAnsi="Calibri" w:cs="Times New Roman"/>
    </w:rPr>
  </w:style>
  <w:style w:type="paragraph" w:styleId="Ttulo1">
    <w:name w:val="heading 1"/>
    <w:basedOn w:val="Normal"/>
    <w:next w:val="Normal"/>
    <w:link w:val="Ttulo1Car"/>
    <w:uiPriority w:val="9"/>
    <w:qFormat/>
    <w:rsid w:val="00497DA0"/>
    <w:pPr>
      <w:keepNext/>
      <w:spacing w:before="240" w:after="60"/>
      <w:outlineLvl w:val="0"/>
    </w:pPr>
    <w:rPr>
      <w:rFonts w:ascii="Cambria" w:eastAsia="Times New Roman" w:hAnsi="Cambria"/>
      <w:b/>
      <w:bCs/>
      <w:kern w:val="32"/>
      <w:sz w:val="32"/>
      <w:szCs w:val="32"/>
      <w:lang w:val="x-none"/>
    </w:rPr>
  </w:style>
  <w:style w:type="paragraph" w:styleId="Ttulo2">
    <w:name w:val="heading 2"/>
    <w:basedOn w:val="Normal"/>
    <w:next w:val="Normal"/>
    <w:link w:val="Ttulo2Car"/>
    <w:uiPriority w:val="9"/>
    <w:unhideWhenUsed/>
    <w:qFormat/>
    <w:rsid w:val="00497DA0"/>
    <w:pPr>
      <w:keepNext/>
      <w:spacing w:before="240" w:after="60"/>
      <w:outlineLvl w:val="1"/>
    </w:pPr>
    <w:rPr>
      <w:rFonts w:ascii="Cambria" w:eastAsia="Times New Roman" w:hAnsi="Cambria"/>
      <w:b/>
      <w:bCs/>
      <w:i/>
      <w:iCs/>
      <w:sz w:val="28"/>
      <w:szCs w:val="28"/>
      <w:lang w:val="x-none"/>
    </w:rPr>
  </w:style>
  <w:style w:type="paragraph" w:styleId="Ttulo3">
    <w:name w:val="heading 3"/>
    <w:basedOn w:val="Normal"/>
    <w:next w:val="Normal"/>
    <w:link w:val="Ttulo3Car"/>
    <w:uiPriority w:val="9"/>
    <w:unhideWhenUsed/>
    <w:qFormat/>
    <w:rsid w:val="00497DA0"/>
    <w:pPr>
      <w:keepNext/>
      <w:spacing w:before="240" w:after="60"/>
      <w:outlineLvl w:val="2"/>
    </w:pPr>
    <w:rPr>
      <w:rFonts w:ascii="Cambria" w:eastAsia="Times New Roman" w:hAnsi="Cambria"/>
      <w:b/>
      <w:bCs/>
      <w:sz w:val="26"/>
      <w:szCs w:val="26"/>
      <w:lang w:val="x-none"/>
    </w:rPr>
  </w:style>
  <w:style w:type="paragraph" w:styleId="Ttulo4">
    <w:name w:val="heading 4"/>
    <w:basedOn w:val="Normal"/>
    <w:next w:val="Normal"/>
    <w:link w:val="Ttulo4Car"/>
    <w:uiPriority w:val="9"/>
    <w:unhideWhenUsed/>
    <w:qFormat/>
    <w:rsid w:val="00497DA0"/>
    <w:pPr>
      <w:keepNext/>
      <w:spacing w:before="240" w:after="60"/>
      <w:outlineLvl w:val="3"/>
    </w:pPr>
    <w:rPr>
      <w:rFonts w:eastAsia="Times New Roman"/>
      <w:b/>
      <w:bCs/>
      <w:sz w:val="28"/>
      <w:szCs w:val="28"/>
      <w:lang w:val="x-none"/>
    </w:rPr>
  </w:style>
  <w:style w:type="paragraph" w:styleId="Ttulo5">
    <w:name w:val="heading 5"/>
    <w:basedOn w:val="Normal"/>
    <w:next w:val="Normal"/>
    <w:link w:val="Ttulo5Car"/>
    <w:uiPriority w:val="9"/>
    <w:unhideWhenUsed/>
    <w:qFormat/>
    <w:rsid w:val="00497DA0"/>
    <w:pPr>
      <w:spacing w:before="240" w:after="60"/>
      <w:outlineLvl w:val="4"/>
    </w:pPr>
    <w:rPr>
      <w:rFonts w:eastAsia="Times New Roman"/>
      <w:b/>
      <w:bCs/>
      <w:i/>
      <w:iCs/>
      <w:sz w:val="26"/>
      <w:szCs w:val="26"/>
      <w:lang w:val="x-none"/>
    </w:rPr>
  </w:style>
  <w:style w:type="paragraph" w:styleId="Ttulo6">
    <w:name w:val="heading 6"/>
    <w:basedOn w:val="Normal"/>
    <w:next w:val="Normal"/>
    <w:link w:val="Ttulo6Car"/>
    <w:uiPriority w:val="9"/>
    <w:unhideWhenUsed/>
    <w:qFormat/>
    <w:rsid w:val="00497DA0"/>
    <w:pPr>
      <w:spacing w:before="240" w:after="60"/>
      <w:outlineLvl w:val="5"/>
    </w:pPr>
    <w:rPr>
      <w:rFonts w:eastAsia="Times New Roman"/>
      <w:b/>
      <w:bCs/>
      <w:lang w:val="x-none"/>
    </w:rPr>
  </w:style>
  <w:style w:type="paragraph" w:styleId="Ttulo7">
    <w:name w:val="heading 7"/>
    <w:basedOn w:val="Normal"/>
    <w:next w:val="Normal"/>
    <w:link w:val="Ttulo7Car"/>
    <w:uiPriority w:val="9"/>
    <w:unhideWhenUsed/>
    <w:qFormat/>
    <w:rsid w:val="00497DA0"/>
    <w:pPr>
      <w:spacing w:before="240" w:after="60"/>
      <w:outlineLvl w:val="6"/>
    </w:pPr>
    <w:rPr>
      <w:rFonts w:eastAsia="Times New Roman"/>
      <w:sz w:val="24"/>
      <w:szCs w:val="24"/>
      <w:lang w:val="x-none"/>
    </w:rPr>
  </w:style>
  <w:style w:type="paragraph" w:styleId="Ttulo8">
    <w:name w:val="heading 8"/>
    <w:basedOn w:val="Normal"/>
    <w:next w:val="Normal"/>
    <w:link w:val="Ttulo8Car"/>
    <w:uiPriority w:val="9"/>
    <w:unhideWhenUsed/>
    <w:qFormat/>
    <w:rsid w:val="00497DA0"/>
    <w:pPr>
      <w:spacing w:before="240" w:after="60"/>
      <w:outlineLvl w:val="7"/>
    </w:pPr>
    <w:rPr>
      <w:rFonts w:eastAsia="Times New Roman"/>
      <w:i/>
      <w:iCs/>
      <w:sz w:val="24"/>
      <w:szCs w:val="24"/>
      <w:lang w:val="x-none"/>
    </w:rPr>
  </w:style>
  <w:style w:type="paragraph" w:styleId="Ttulo9">
    <w:name w:val="heading 9"/>
    <w:basedOn w:val="Normal"/>
    <w:next w:val="Normal"/>
    <w:link w:val="Ttulo9Car"/>
    <w:uiPriority w:val="9"/>
    <w:unhideWhenUsed/>
    <w:qFormat/>
    <w:rsid w:val="00497DA0"/>
    <w:pPr>
      <w:spacing w:before="240" w:after="60"/>
      <w:outlineLvl w:val="8"/>
    </w:pPr>
    <w:rPr>
      <w:rFonts w:ascii="Cambria" w:eastAsia="Times New Roman" w:hAnsi="Cambria"/>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7DA0"/>
    <w:rPr>
      <w:rFonts w:ascii="Cambria" w:eastAsia="Times New Roman" w:hAnsi="Cambria" w:cs="Times New Roman"/>
      <w:b/>
      <w:bCs/>
      <w:kern w:val="32"/>
      <w:sz w:val="32"/>
      <w:szCs w:val="32"/>
      <w:lang w:val="x-none"/>
    </w:rPr>
  </w:style>
  <w:style w:type="character" w:customStyle="1" w:styleId="Ttulo2Car">
    <w:name w:val="Título 2 Car"/>
    <w:basedOn w:val="Fuentedeprrafopredeter"/>
    <w:link w:val="Ttulo2"/>
    <w:uiPriority w:val="9"/>
    <w:rsid w:val="00497DA0"/>
    <w:rPr>
      <w:rFonts w:ascii="Cambria" w:eastAsia="Times New Roman" w:hAnsi="Cambria" w:cs="Times New Roman"/>
      <w:b/>
      <w:bCs/>
      <w:i/>
      <w:iCs/>
      <w:sz w:val="28"/>
      <w:szCs w:val="28"/>
      <w:lang w:val="x-none"/>
    </w:rPr>
  </w:style>
  <w:style w:type="character" w:customStyle="1" w:styleId="Ttulo3Car">
    <w:name w:val="Título 3 Car"/>
    <w:basedOn w:val="Fuentedeprrafopredeter"/>
    <w:link w:val="Ttulo3"/>
    <w:uiPriority w:val="9"/>
    <w:rsid w:val="00497DA0"/>
    <w:rPr>
      <w:rFonts w:ascii="Cambria" w:eastAsia="Times New Roman" w:hAnsi="Cambria" w:cs="Times New Roman"/>
      <w:b/>
      <w:bCs/>
      <w:sz w:val="26"/>
      <w:szCs w:val="26"/>
      <w:lang w:val="x-none"/>
    </w:rPr>
  </w:style>
  <w:style w:type="character" w:customStyle="1" w:styleId="Ttulo4Car">
    <w:name w:val="Título 4 Car"/>
    <w:basedOn w:val="Fuentedeprrafopredeter"/>
    <w:link w:val="Ttulo4"/>
    <w:uiPriority w:val="9"/>
    <w:rsid w:val="00497DA0"/>
    <w:rPr>
      <w:rFonts w:ascii="Calibri" w:eastAsia="Times New Roman" w:hAnsi="Calibri" w:cs="Times New Roman"/>
      <w:b/>
      <w:bCs/>
      <w:sz w:val="28"/>
      <w:szCs w:val="28"/>
      <w:lang w:val="x-none"/>
    </w:rPr>
  </w:style>
  <w:style w:type="character" w:customStyle="1" w:styleId="Ttulo5Car">
    <w:name w:val="Título 5 Car"/>
    <w:basedOn w:val="Fuentedeprrafopredeter"/>
    <w:link w:val="Ttulo5"/>
    <w:uiPriority w:val="9"/>
    <w:rsid w:val="00497DA0"/>
    <w:rPr>
      <w:rFonts w:ascii="Calibri" w:eastAsia="Times New Roman" w:hAnsi="Calibri" w:cs="Times New Roman"/>
      <w:b/>
      <w:bCs/>
      <w:i/>
      <w:iCs/>
      <w:sz w:val="26"/>
      <w:szCs w:val="26"/>
      <w:lang w:val="x-none"/>
    </w:rPr>
  </w:style>
  <w:style w:type="character" w:customStyle="1" w:styleId="Ttulo6Car">
    <w:name w:val="Título 6 Car"/>
    <w:basedOn w:val="Fuentedeprrafopredeter"/>
    <w:link w:val="Ttulo6"/>
    <w:uiPriority w:val="9"/>
    <w:rsid w:val="00497DA0"/>
    <w:rPr>
      <w:rFonts w:ascii="Calibri" w:eastAsia="Times New Roman" w:hAnsi="Calibri" w:cs="Times New Roman"/>
      <w:b/>
      <w:bCs/>
      <w:lang w:val="x-none"/>
    </w:rPr>
  </w:style>
  <w:style w:type="character" w:customStyle="1" w:styleId="Ttulo7Car">
    <w:name w:val="Título 7 Car"/>
    <w:basedOn w:val="Fuentedeprrafopredeter"/>
    <w:link w:val="Ttulo7"/>
    <w:uiPriority w:val="9"/>
    <w:rsid w:val="00497DA0"/>
    <w:rPr>
      <w:rFonts w:ascii="Calibri" w:eastAsia="Times New Roman" w:hAnsi="Calibri" w:cs="Times New Roman"/>
      <w:sz w:val="24"/>
      <w:szCs w:val="24"/>
      <w:lang w:val="x-none"/>
    </w:rPr>
  </w:style>
  <w:style w:type="character" w:customStyle="1" w:styleId="Ttulo8Car">
    <w:name w:val="Título 8 Car"/>
    <w:basedOn w:val="Fuentedeprrafopredeter"/>
    <w:link w:val="Ttulo8"/>
    <w:uiPriority w:val="9"/>
    <w:rsid w:val="00497DA0"/>
    <w:rPr>
      <w:rFonts w:ascii="Calibri" w:eastAsia="Times New Roman" w:hAnsi="Calibri" w:cs="Times New Roman"/>
      <w:i/>
      <w:iCs/>
      <w:sz w:val="24"/>
      <w:szCs w:val="24"/>
      <w:lang w:val="x-none"/>
    </w:rPr>
  </w:style>
  <w:style w:type="character" w:customStyle="1" w:styleId="Ttulo9Car">
    <w:name w:val="Título 9 Car"/>
    <w:basedOn w:val="Fuentedeprrafopredeter"/>
    <w:link w:val="Ttulo9"/>
    <w:uiPriority w:val="9"/>
    <w:rsid w:val="00497DA0"/>
    <w:rPr>
      <w:rFonts w:ascii="Cambria" w:eastAsia="Times New Roman" w:hAnsi="Cambria" w:cs="Times New Roman"/>
      <w:lang w:val="x-none"/>
    </w:rPr>
  </w:style>
  <w:style w:type="paragraph" w:styleId="Prrafodelista">
    <w:name w:val="List Paragraph"/>
    <w:basedOn w:val="Normal"/>
    <w:uiPriority w:val="34"/>
    <w:qFormat/>
    <w:rsid w:val="00497DA0"/>
    <w:pPr>
      <w:ind w:left="720"/>
      <w:contextualSpacing/>
    </w:pPr>
  </w:style>
  <w:style w:type="paragraph" w:styleId="Textonotapie">
    <w:name w:val="footnote text"/>
    <w:basedOn w:val="Normal"/>
    <w:link w:val="TextonotapieCar"/>
    <w:uiPriority w:val="99"/>
    <w:semiHidden/>
    <w:unhideWhenUsed/>
    <w:rsid w:val="00497DA0"/>
    <w:rPr>
      <w:sz w:val="20"/>
      <w:szCs w:val="20"/>
      <w:lang w:val="x-none" w:eastAsia="x-none"/>
    </w:rPr>
  </w:style>
  <w:style w:type="character" w:customStyle="1" w:styleId="TextonotapieCar">
    <w:name w:val="Texto nota pie Car"/>
    <w:basedOn w:val="Fuentedeprrafopredeter"/>
    <w:link w:val="Textonotapie"/>
    <w:uiPriority w:val="99"/>
    <w:semiHidden/>
    <w:rsid w:val="00497DA0"/>
    <w:rPr>
      <w:rFonts w:ascii="Calibri" w:eastAsia="Calibri" w:hAnsi="Calibri" w:cs="Times New Roman"/>
      <w:sz w:val="20"/>
      <w:szCs w:val="20"/>
      <w:lang w:val="x-none" w:eastAsia="x-none"/>
    </w:rPr>
  </w:style>
  <w:style w:type="character" w:styleId="Refdenotaalpie">
    <w:name w:val="footnote reference"/>
    <w:uiPriority w:val="99"/>
    <w:semiHidden/>
    <w:unhideWhenUsed/>
    <w:rsid w:val="00497DA0"/>
    <w:rPr>
      <w:vertAlign w:val="superscript"/>
    </w:rPr>
  </w:style>
  <w:style w:type="character" w:styleId="Hipervnculo">
    <w:name w:val="Hyperlink"/>
    <w:uiPriority w:val="99"/>
    <w:unhideWhenUsed/>
    <w:rsid w:val="00497DA0"/>
    <w:rPr>
      <w:color w:val="0000FF"/>
      <w:u w:val="single"/>
    </w:rPr>
  </w:style>
  <w:style w:type="table" w:styleId="Tablaconcuadrcula">
    <w:name w:val="Table Grid"/>
    <w:basedOn w:val="Tablanormal"/>
    <w:uiPriority w:val="59"/>
    <w:rsid w:val="00497DA0"/>
    <w:pPr>
      <w:spacing w:after="0" w:line="240" w:lineRule="auto"/>
    </w:pPr>
    <w:rPr>
      <w:rFonts w:ascii="Calibri" w:eastAsia="Calibri" w:hAnsi="Calibri" w:cs="Times New Roman"/>
      <w:sz w:val="20"/>
      <w:szCs w:val="20"/>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497DA0"/>
    <w:pPr>
      <w:spacing w:after="0" w:line="240" w:lineRule="auto"/>
    </w:pPr>
    <w:rPr>
      <w:rFonts w:ascii="Tahoma" w:hAnsi="Tahoma"/>
      <w:sz w:val="16"/>
      <w:szCs w:val="16"/>
      <w:lang w:val="x-none" w:eastAsia="x-none"/>
    </w:rPr>
  </w:style>
  <w:style w:type="character" w:customStyle="1" w:styleId="TextodegloboCar">
    <w:name w:val="Texto de globo Car"/>
    <w:basedOn w:val="Fuentedeprrafopredeter"/>
    <w:link w:val="Textodeglobo"/>
    <w:uiPriority w:val="99"/>
    <w:semiHidden/>
    <w:rsid w:val="00497DA0"/>
    <w:rPr>
      <w:rFonts w:ascii="Tahoma" w:eastAsia="Calibri" w:hAnsi="Tahoma" w:cs="Times New Roman"/>
      <w:sz w:val="16"/>
      <w:szCs w:val="16"/>
      <w:lang w:val="x-none" w:eastAsia="x-none"/>
    </w:rPr>
  </w:style>
  <w:style w:type="table" w:styleId="Sombreadoclaro-nfasis2">
    <w:name w:val="Light Shading Accent 2"/>
    <w:basedOn w:val="Tablanormal"/>
    <w:uiPriority w:val="60"/>
    <w:rsid w:val="00497DA0"/>
    <w:pPr>
      <w:spacing w:after="0" w:line="240" w:lineRule="auto"/>
    </w:pPr>
    <w:rPr>
      <w:rFonts w:ascii="Calibri" w:eastAsia="Calibri" w:hAnsi="Calibri" w:cs="Times New Roman"/>
      <w:color w:val="943634"/>
      <w:sz w:val="20"/>
      <w:szCs w:val="20"/>
      <w:lang w:eastAsia="es-CO"/>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claro-nfasis11">
    <w:name w:val="Sombreado claro - Énfasis 11"/>
    <w:basedOn w:val="Tablanormal"/>
    <w:uiPriority w:val="60"/>
    <w:rsid w:val="00497DA0"/>
    <w:pPr>
      <w:spacing w:after="0" w:line="240" w:lineRule="auto"/>
    </w:pPr>
    <w:rPr>
      <w:rFonts w:ascii="Calibri" w:eastAsia="Calibri" w:hAnsi="Calibri" w:cs="Times New Roman"/>
      <w:color w:val="365F91"/>
      <w:sz w:val="20"/>
      <w:szCs w:val="20"/>
      <w:lang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claro1">
    <w:name w:val="Sombreado claro1"/>
    <w:basedOn w:val="Tablanormal"/>
    <w:uiPriority w:val="60"/>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domedio1-nfasis4">
    <w:name w:val="Medium Shading 1 Accent 4"/>
    <w:basedOn w:val="Tablanormal"/>
    <w:uiPriority w:val="63"/>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uadrculamedia1-nfasis1">
    <w:name w:val="Medium Grid 1 Accent 1"/>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Encabezado">
    <w:name w:val="header"/>
    <w:basedOn w:val="Normal"/>
    <w:link w:val="EncabezadoCar"/>
    <w:uiPriority w:val="99"/>
    <w:semiHidden/>
    <w:unhideWhenUsed/>
    <w:rsid w:val="00497DA0"/>
    <w:pPr>
      <w:tabs>
        <w:tab w:val="center" w:pos="4419"/>
        <w:tab w:val="right" w:pos="8838"/>
      </w:tabs>
    </w:pPr>
    <w:rPr>
      <w:lang w:val="x-none"/>
    </w:rPr>
  </w:style>
  <w:style w:type="character" w:customStyle="1" w:styleId="EncabezadoCar">
    <w:name w:val="Encabezado Car"/>
    <w:basedOn w:val="Fuentedeprrafopredeter"/>
    <w:link w:val="Encabezado"/>
    <w:uiPriority w:val="99"/>
    <w:semiHidden/>
    <w:rsid w:val="00497DA0"/>
    <w:rPr>
      <w:rFonts w:ascii="Calibri" w:eastAsia="Calibri" w:hAnsi="Calibri" w:cs="Times New Roman"/>
      <w:lang w:val="x-none"/>
    </w:rPr>
  </w:style>
  <w:style w:type="paragraph" w:styleId="Piedepgina">
    <w:name w:val="footer"/>
    <w:basedOn w:val="Normal"/>
    <w:link w:val="PiedepginaCar"/>
    <w:uiPriority w:val="99"/>
    <w:semiHidden/>
    <w:unhideWhenUsed/>
    <w:rsid w:val="00497DA0"/>
    <w:pPr>
      <w:tabs>
        <w:tab w:val="center" w:pos="4419"/>
        <w:tab w:val="right" w:pos="8838"/>
      </w:tabs>
    </w:pPr>
    <w:rPr>
      <w:lang w:val="x-none"/>
    </w:rPr>
  </w:style>
  <w:style w:type="character" w:customStyle="1" w:styleId="PiedepginaCar">
    <w:name w:val="Pie de página Car"/>
    <w:basedOn w:val="Fuentedeprrafopredeter"/>
    <w:link w:val="Piedepgina"/>
    <w:uiPriority w:val="99"/>
    <w:semiHidden/>
    <w:rsid w:val="00497DA0"/>
    <w:rPr>
      <w:rFonts w:ascii="Calibri" w:eastAsia="Calibri" w:hAnsi="Calibri" w:cs="Times New Roman"/>
      <w:lang w:val="x-none"/>
    </w:rPr>
  </w:style>
  <w:style w:type="table" w:styleId="Sombreadoclaro-nfasis4">
    <w:name w:val="Light Shading Accent 4"/>
    <w:basedOn w:val="Tablanormal"/>
    <w:uiPriority w:val="60"/>
    <w:rsid w:val="00497DA0"/>
    <w:pPr>
      <w:spacing w:after="0" w:line="240" w:lineRule="auto"/>
    </w:pPr>
    <w:rPr>
      <w:rFonts w:ascii="Calibri" w:eastAsia="Calibri" w:hAnsi="Calibri" w:cs="Times New Roman"/>
      <w:color w:val="5F497A"/>
      <w:sz w:val="20"/>
      <w:szCs w:val="20"/>
      <w:lang w:eastAsia="es-CO"/>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Sombreadoclaro-nfasis12">
    <w:name w:val="Sombreado claro - Énfasis 12"/>
    <w:basedOn w:val="Tablanormal"/>
    <w:uiPriority w:val="60"/>
    <w:rsid w:val="00497DA0"/>
    <w:pPr>
      <w:spacing w:after="0" w:line="240" w:lineRule="auto"/>
    </w:pPr>
    <w:rPr>
      <w:rFonts w:ascii="Calibri" w:eastAsia="Calibri" w:hAnsi="Calibri" w:cs="Times New Roman"/>
      <w:color w:val="365F91"/>
      <w:sz w:val="20"/>
      <w:szCs w:val="20"/>
      <w:lang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claro-nfasis5">
    <w:name w:val="Light Shading Accent 5"/>
    <w:basedOn w:val="Tablanormal"/>
    <w:uiPriority w:val="60"/>
    <w:rsid w:val="00497DA0"/>
    <w:pPr>
      <w:spacing w:after="0" w:line="240" w:lineRule="auto"/>
    </w:pPr>
    <w:rPr>
      <w:rFonts w:ascii="Calibri" w:eastAsia="Calibri" w:hAnsi="Calibri" w:cs="Times New Roman"/>
      <w:color w:val="31849B"/>
      <w:sz w:val="20"/>
      <w:szCs w:val="20"/>
      <w:lang w:eastAsia="es-CO"/>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stamedia1-nfasis2">
    <w:name w:val="Medium List 1 Accent 2"/>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stamedia2-nfasis6">
    <w:name w:val="Medium List 2 Accent 6"/>
    <w:basedOn w:val="Tablanormal"/>
    <w:uiPriority w:val="66"/>
    <w:rsid w:val="00497DA0"/>
    <w:pPr>
      <w:spacing w:after="0" w:line="240" w:lineRule="auto"/>
    </w:pPr>
    <w:rPr>
      <w:rFonts w:ascii="Cambria" w:eastAsia="Times New Roman" w:hAnsi="Cambria" w:cs="Times New Roman"/>
      <w:color w:val="000000"/>
      <w:sz w:val="20"/>
      <w:szCs w:val="20"/>
      <w:lang w:eastAsia="es-CO"/>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497DA0"/>
    <w:pPr>
      <w:spacing w:after="0" w:line="240" w:lineRule="auto"/>
    </w:pPr>
    <w:rPr>
      <w:rFonts w:ascii="Cambria" w:eastAsia="Times New Roman" w:hAnsi="Cambria" w:cs="Times New Roman"/>
      <w:color w:val="000000"/>
      <w:sz w:val="20"/>
      <w:szCs w:val="20"/>
      <w:lang w:eastAsia="es-CO"/>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uadrculamedia1-nfasis2">
    <w:name w:val="Medium Grid 1 Accent 2"/>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Sombreadoclaro-nfasis6">
    <w:name w:val="Light Shading Accent 6"/>
    <w:basedOn w:val="Tablanormal"/>
    <w:uiPriority w:val="60"/>
    <w:rsid w:val="00497DA0"/>
    <w:pPr>
      <w:spacing w:after="0" w:line="240" w:lineRule="auto"/>
    </w:pPr>
    <w:rPr>
      <w:rFonts w:ascii="Calibri" w:eastAsia="Calibri" w:hAnsi="Calibri" w:cs="Times New Roman"/>
      <w:color w:val="E36C0A"/>
      <w:sz w:val="20"/>
      <w:szCs w:val="20"/>
      <w:lang w:eastAsia="es-CO"/>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stamedia1-nfasis6">
    <w:name w:val="Medium List 1 Accent 6"/>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Cuadrculamedia1-nfasis6">
    <w:name w:val="Medium Grid 1 Accent 6"/>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Listamedia1-nfasis3">
    <w:name w:val="Medium List 1 Accent 3"/>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Cuadrculamedia1-nfasis4">
    <w:name w:val="Medium Grid 1 Accent 4"/>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Cuadrculamedia1-nfasis3">
    <w:name w:val="Medium Grid 1 Accent 3"/>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styleId="Lista">
    <w:name w:val="List"/>
    <w:basedOn w:val="Normal"/>
    <w:uiPriority w:val="99"/>
    <w:unhideWhenUsed/>
    <w:rsid w:val="00497DA0"/>
    <w:pPr>
      <w:ind w:left="283" w:hanging="283"/>
      <w:contextualSpacing/>
    </w:pPr>
  </w:style>
  <w:style w:type="paragraph" w:styleId="Lista2">
    <w:name w:val="List 2"/>
    <w:basedOn w:val="Normal"/>
    <w:uiPriority w:val="99"/>
    <w:unhideWhenUsed/>
    <w:rsid w:val="00497DA0"/>
    <w:pPr>
      <w:ind w:left="566" w:hanging="283"/>
      <w:contextualSpacing/>
    </w:pPr>
  </w:style>
  <w:style w:type="paragraph" w:styleId="Lista3">
    <w:name w:val="List 3"/>
    <w:basedOn w:val="Normal"/>
    <w:uiPriority w:val="99"/>
    <w:unhideWhenUsed/>
    <w:rsid w:val="00497DA0"/>
    <w:pPr>
      <w:ind w:left="849" w:hanging="283"/>
      <w:contextualSpacing/>
    </w:pPr>
  </w:style>
  <w:style w:type="paragraph" w:styleId="Listaconvietas2">
    <w:name w:val="List Bullet 2"/>
    <w:basedOn w:val="Normal"/>
    <w:uiPriority w:val="99"/>
    <w:unhideWhenUsed/>
    <w:rsid w:val="00497DA0"/>
    <w:pPr>
      <w:numPr>
        <w:numId w:val="12"/>
      </w:numPr>
      <w:contextualSpacing/>
    </w:pPr>
  </w:style>
  <w:style w:type="paragraph" w:styleId="Epgrafe">
    <w:name w:val="caption"/>
    <w:basedOn w:val="Normal"/>
    <w:next w:val="Normal"/>
    <w:uiPriority w:val="35"/>
    <w:unhideWhenUsed/>
    <w:qFormat/>
    <w:rsid w:val="00497DA0"/>
    <w:rPr>
      <w:b/>
      <w:bCs/>
      <w:sz w:val="20"/>
      <w:szCs w:val="20"/>
    </w:rPr>
  </w:style>
  <w:style w:type="paragraph" w:styleId="Textoindependiente">
    <w:name w:val="Body Text"/>
    <w:basedOn w:val="Normal"/>
    <w:link w:val="TextoindependienteCar"/>
    <w:uiPriority w:val="99"/>
    <w:unhideWhenUsed/>
    <w:rsid w:val="00497DA0"/>
    <w:pPr>
      <w:spacing w:after="120"/>
    </w:pPr>
    <w:rPr>
      <w:lang w:val="x-none"/>
    </w:rPr>
  </w:style>
  <w:style w:type="character" w:customStyle="1" w:styleId="TextoindependienteCar">
    <w:name w:val="Texto independiente Car"/>
    <w:basedOn w:val="Fuentedeprrafopredeter"/>
    <w:link w:val="Textoindependiente"/>
    <w:uiPriority w:val="99"/>
    <w:rsid w:val="00497DA0"/>
    <w:rPr>
      <w:rFonts w:ascii="Calibri" w:eastAsia="Calibri" w:hAnsi="Calibri" w:cs="Times New Roman"/>
      <w:lang w:val="x-none"/>
    </w:rPr>
  </w:style>
  <w:style w:type="paragraph" w:styleId="Sangradetextonormal">
    <w:name w:val="Body Text Indent"/>
    <w:basedOn w:val="Normal"/>
    <w:link w:val="SangradetextonormalCar"/>
    <w:uiPriority w:val="99"/>
    <w:semiHidden/>
    <w:unhideWhenUsed/>
    <w:rsid w:val="00497DA0"/>
    <w:pPr>
      <w:spacing w:after="120"/>
      <w:ind w:left="283"/>
    </w:pPr>
    <w:rPr>
      <w:lang w:val="x-none"/>
    </w:rPr>
  </w:style>
  <w:style w:type="character" w:customStyle="1" w:styleId="SangradetextonormalCar">
    <w:name w:val="Sangría de texto normal Car"/>
    <w:basedOn w:val="Fuentedeprrafopredeter"/>
    <w:link w:val="Sangradetextonormal"/>
    <w:uiPriority w:val="99"/>
    <w:semiHidden/>
    <w:rsid w:val="00497DA0"/>
    <w:rPr>
      <w:rFonts w:ascii="Calibri" w:eastAsia="Calibri" w:hAnsi="Calibri" w:cs="Times New Roman"/>
      <w:lang w:val="x-none"/>
    </w:rPr>
  </w:style>
  <w:style w:type="paragraph" w:styleId="Textoindependienteprimerasangra2">
    <w:name w:val="Body Text First Indent 2"/>
    <w:basedOn w:val="Sangradetextonormal"/>
    <w:link w:val="Textoindependienteprimerasangra2Car"/>
    <w:uiPriority w:val="99"/>
    <w:unhideWhenUsed/>
    <w:rsid w:val="00497DA0"/>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497DA0"/>
    <w:rPr>
      <w:rFonts w:ascii="Calibri" w:eastAsia="Calibri" w:hAnsi="Calibri" w:cs="Times New Roman"/>
      <w:lang w:val="x-none"/>
    </w:rPr>
  </w:style>
  <w:style w:type="table" w:styleId="Sombreadoclaro-nfasis3">
    <w:name w:val="Light Shading Accent 3"/>
    <w:basedOn w:val="Tablanormal"/>
    <w:uiPriority w:val="60"/>
    <w:rsid w:val="00497DA0"/>
    <w:pPr>
      <w:spacing w:after="0" w:line="240" w:lineRule="auto"/>
    </w:pPr>
    <w:rPr>
      <w:rFonts w:ascii="Calibri" w:eastAsia="Calibri" w:hAnsi="Calibri" w:cs="Times New Roman"/>
      <w:color w:val="76923C"/>
      <w:sz w:val="20"/>
      <w:szCs w:val="20"/>
      <w:lang w:eastAsia="es-C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Sinespaciado">
    <w:name w:val="No Spacing"/>
    <w:uiPriority w:val="1"/>
    <w:qFormat/>
    <w:rsid w:val="00497DA0"/>
    <w:pPr>
      <w:spacing w:after="0" w:line="240" w:lineRule="auto"/>
    </w:pPr>
    <w:rPr>
      <w:rFonts w:ascii="Calibri" w:eastAsia="Times New Roman" w:hAnsi="Calibri" w:cs="Times New Roman"/>
      <w:lang w:val="es-ES_tradnl" w:eastAsia="es-ES_tradnl"/>
    </w:rPr>
  </w:style>
  <w:style w:type="table" w:styleId="Listamedia1-nfasis4">
    <w:name w:val="Medium List 1 Accent 4"/>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Sombreadoclaro2">
    <w:name w:val="Sombreado claro2"/>
    <w:basedOn w:val="Tablanormal"/>
    <w:uiPriority w:val="60"/>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uadrculaclara-nfasis11">
    <w:name w:val="Cuadrícula clara - Énfasis 11"/>
    <w:basedOn w:val="Tablanormal"/>
    <w:uiPriority w:val="62"/>
    <w:rsid w:val="00497DA0"/>
    <w:pPr>
      <w:spacing w:after="0" w:line="240" w:lineRule="auto"/>
    </w:pPr>
    <w:rPr>
      <w:rFonts w:ascii="Calibri" w:eastAsia="Calibri" w:hAnsi="Calibri" w:cs="Times New Roman"/>
      <w:lang w:val="es-MX"/>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497DA0"/>
    <w:pPr>
      <w:autoSpaceDE w:val="0"/>
      <w:autoSpaceDN w:val="0"/>
      <w:adjustRightInd w:val="0"/>
      <w:spacing w:after="0" w:line="240" w:lineRule="auto"/>
    </w:pPr>
    <w:rPr>
      <w:rFonts w:ascii="Wingdings" w:eastAsia="Calibri" w:hAnsi="Wingdings" w:cs="Wingdings"/>
      <w:color w:val="000000"/>
      <w:sz w:val="24"/>
      <w:szCs w:val="24"/>
      <w:lang w:eastAsia="es-CO"/>
    </w:rPr>
  </w:style>
  <w:style w:type="table" w:customStyle="1" w:styleId="Tablaconcuadrcula1">
    <w:name w:val="Tabla con cuadrícula1"/>
    <w:basedOn w:val="Tablanormal"/>
    <w:uiPriority w:val="59"/>
    <w:rsid w:val="00497DA0"/>
    <w:pPr>
      <w:spacing w:after="0" w:line="240" w:lineRule="auto"/>
    </w:pPr>
    <w:rPr>
      <w:rFonts w:ascii="Calibri" w:eastAsia="Times New Roman" w:hAnsi="Calibri" w:cs="Times New Roman"/>
      <w:lang w:val="es-ES"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DA0"/>
    <w:rPr>
      <w:rFonts w:ascii="Calibri" w:eastAsia="Calibri" w:hAnsi="Calibri" w:cs="Times New Roman"/>
    </w:rPr>
  </w:style>
  <w:style w:type="paragraph" w:styleId="Ttulo1">
    <w:name w:val="heading 1"/>
    <w:basedOn w:val="Normal"/>
    <w:next w:val="Normal"/>
    <w:link w:val="Ttulo1Car"/>
    <w:uiPriority w:val="9"/>
    <w:qFormat/>
    <w:rsid w:val="00497DA0"/>
    <w:pPr>
      <w:keepNext/>
      <w:spacing w:before="240" w:after="60"/>
      <w:outlineLvl w:val="0"/>
    </w:pPr>
    <w:rPr>
      <w:rFonts w:ascii="Cambria" w:eastAsia="Times New Roman" w:hAnsi="Cambria"/>
      <w:b/>
      <w:bCs/>
      <w:kern w:val="32"/>
      <w:sz w:val="32"/>
      <w:szCs w:val="32"/>
      <w:lang w:val="x-none"/>
    </w:rPr>
  </w:style>
  <w:style w:type="paragraph" w:styleId="Ttulo2">
    <w:name w:val="heading 2"/>
    <w:basedOn w:val="Normal"/>
    <w:next w:val="Normal"/>
    <w:link w:val="Ttulo2Car"/>
    <w:uiPriority w:val="9"/>
    <w:unhideWhenUsed/>
    <w:qFormat/>
    <w:rsid w:val="00497DA0"/>
    <w:pPr>
      <w:keepNext/>
      <w:spacing w:before="240" w:after="60"/>
      <w:outlineLvl w:val="1"/>
    </w:pPr>
    <w:rPr>
      <w:rFonts w:ascii="Cambria" w:eastAsia="Times New Roman" w:hAnsi="Cambria"/>
      <w:b/>
      <w:bCs/>
      <w:i/>
      <w:iCs/>
      <w:sz w:val="28"/>
      <w:szCs w:val="28"/>
      <w:lang w:val="x-none"/>
    </w:rPr>
  </w:style>
  <w:style w:type="paragraph" w:styleId="Ttulo3">
    <w:name w:val="heading 3"/>
    <w:basedOn w:val="Normal"/>
    <w:next w:val="Normal"/>
    <w:link w:val="Ttulo3Car"/>
    <w:uiPriority w:val="9"/>
    <w:unhideWhenUsed/>
    <w:qFormat/>
    <w:rsid w:val="00497DA0"/>
    <w:pPr>
      <w:keepNext/>
      <w:spacing w:before="240" w:after="60"/>
      <w:outlineLvl w:val="2"/>
    </w:pPr>
    <w:rPr>
      <w:rFonts w:ascii="Cambria" w:eastAsia="Times New Roman" w:hAnsi="Cambria"/>
      <w:b/>
      <w:bCs/>
      <w:sz w:val="26"/>
      <w:szCs w:val="26"/>
      <w:lang w:val="x-none"/>
    </w:rPr>
  </w:style>
  <w:style w:type="paragraph" w:styleId="Ttulo4">
    <w:name w:val="heading 4"/>
    <w:basedOn w:val="Normal"/>
    <w:next w:val="Normal"/>
    <w:link w:val="Ttulo4Car"/>
    <w:uiPriority w:val="9"/>
    <w:unhideWhenUsed/>
    <w:qFormat/>
    <w:rsid w:val="00497DA0"/>
    <w:pPr>
      <w:keepNext/>
      <w:spacing w:before="240" w:after="60"/>
      <w:outlineLvl w:val="3"/>
    </w:pPr>
    <w:rPr>
      <w:rFonts w:eastAsia="Times New Roman"/>
      <w:b/>
      <w:bCs/>
      <w:sz w:val="28"/>
      <w:szCs w:val="28"/>
      <w:lang w:val="x-none"/>
    </w:rPr>
  </w:style>
  <w:style w:type="paragraph" w:styleId="Ttulo5">
    <w:name w:val="heading 5"/>
    <w:basedOn w:val="Normal"/>
    <w:next w:val="Normal"/>
    <w:link w:val="Ttulo5Car"/>
    <w:uiPriority w:val="9"/>
    <w:unhideWhenUsed/>
    <w:qFormat/>
    <w:rsid w:val="00497DA0"/>
    <w:pPr>
      <w:spacing w:before="240" w:after="60"/>
      <w:outlineLvl w:val="4"/>
    </w:pPr>
    <w:rPr>
      <w:rFonts w:eastAsia="Times New Roman"/>
      <w:b/>
      <w:bCs/>
      <w:i/>
      <w:iCs/>
      <w:sz w:val="26"/>
      <w:szCs w:val="26"/>
      <w:lang w:val="x-none"/>
    </w:rPr>
  </w:style>
  <w:style w:type="paragraph" w:styleId="Ttulo6">
    <w:name w:val="heading 6"/>
    <w:basedOn w:val="Normal"/>
    <w:next w:val="Normal"/>
    <w:link w:val="Ttulo6Car"/>
    <w:uiPriority w:val="9"/>
    <w:unhideWhenUsed/>
    <w:qFormat/>
    <w:rsid w:val="00497DA0"/>
    <w:pPr>
      <w:spacing w:before="240" w:after="60"/>
      <w:outlineLvl w:val="5"/>
    </w:pPr>
    <w:rPr>
      <w:rFonts w:eastAsia="Times New Roman"/>
      <w:b/>
      <w:bCs/>
      <w:lang w:val="x-none"/>
    </w:rPr>
  </w:style>
  <w:style w:type="paragraph" w:styleId="Ttulo7">
    <w:name w:val="heading 7"/>
    <w:basedOn w:val="Normal"/>
    <w:next w:val="Normal"/>
    <w:link w:val="Ttulo7Car"/>
    <w:uiPriority w:val="9"/>
    <w:unhideWhenUsed/>
    <w:qFormat/>
    <w:rsid w:val="00497DA0"/>
    <w:pPr>
      <w:spacing w:before="240" w:after="60"/>
      <w:outlineLvl w:val="6"/>
    </w:pPr>
    <w:rPr>
      <w:rFonts w:eastAsia="Times New Roman"/>
      <w:sz w:val="24"/>
      <w:szCs w:val="24"/>
      <w:lang w:val="x-none"/>
    </w:rPr>
  </w:style>
  <w:style w:type="paragraph" w:styleId="Ttulo8">
    <w:name w:val="heading 8"/>
    <w:basedOn w:val="Normal"/>
    <w:next w:val="Normal"/>
    <w:link w:val="Ttulo8Car"/>
    <w:uiPriority w:val="9"/>
    <w:unhideWhenUsed/>
    <w:qFormat/>
    <w:rsid w:val="00497DA0"/>
    <w:pPr>
      <w:spacing w:before="240" w:after="60"/>
      <w:outlineLvl w:val="7"/>
    </w:pPr>
    <w:rPr>
      <w:rFonts w:eastAsia="Times New Roman"/>
      <w:i/>
      <w:iCs/>
      <w:sz w:val="24"/>
      <w:szCs w:val="24"/>
      <w:lang w:val="x-none"/>
    </w:rPr>
  </w:style>
  <w:style w:type="paragraph" w:styleId="Ttulo9">
    <w:name w:val="heading 9"/>
    <w:basedOn w:val="Normal"/>
    <w:next w:val="Normal"/>
    <w:link w:val="Ttulo9Car"/>
    <w:uiPriority w:val="9"/>
    <w:unhideWhenUsed/>
    <w:qFormat/>
    <w:rsid w:val="00497DA0"/>
    <w:pPr>
      <w:spacing w:before="240" w:after="60"/>
      <w:outlineLvl w:val="8"/>
    </w:pPr>
    <w:rPr>
      <w:rFonts w:ascii="Cambria" w:eastAsia="Times New Roman" w:hAnsi="Cambria"/>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7DA0"/>
    <w:rPr>
      <w:rFonts w:ascii="Cambria" w:eastAsia="Times New Roman" w:hAnsi="Cambria" w:cs="Times New Roman"/>
      <w:b/>
      <w:bCs/>
      <w:kern w:val="32"/>
      <w:sz w:val="32"/>
      <w:szCs w:val="32"/>
      <w:lang w:val="x-none"/>
    </w:rPr>
  </w:style>
  <w:style w:type="character" w:customStyle="1" w:styleId="Ttulo2Car">
    <w:name w:val="Título 2 Car"/>
    <w:basedOn w:val="Fuentedeprrafopredeter"/>
    <w:link w:val="Ttulo2"/>
    <w:uiPriority w:val="9"/>
    <w:rsid w:val="00497DA0"/>
    <w:rPr>
      <w:rFonts w:ascii="Cambria" w:eastAsia="Times New Roman" w:hAnsi="Cambria" w:cs="Times New Roman"/>
      <w:b/>
      <w:bCs/>
      <w:i/>
      <w:iCs/>
      <w:sz w:val="28"/>
      <w:szCs w:val="28"/>
      <w:lang w:val="x-none"/>
    </w:rPr>
  </w:style>
  <w:style w:type="character" w:customStyle="1" w:styleId="Ttulo3Car">
    <w:name w:val="Título 3 Car"/>
    <w:basedOn w:val="Fuentedeprrafopredeter"/>
    <w:link w:val="Ttulo3"/>
    <w:uiPriority w:val="9"/>
    <w:rsid w:val="00497DA0"/>
    <w:rPr>
      <w:rFonts w:ascii="Cambria" w:eastAsia="Times New Roman" w:hAnsi="Cambria" w:cs="Times New Roman"/>
      <w:b/>
      <w:bCs/>
      <w:sz w:val="26"/>
      <w:szCs w:val="26"/>
      <w:lang w:val="x-none"/>
    </w:rPr>
  </w:style>
  <w:style w:type="character" w:customStyle="1" w:styleId="Ttulo4Car">
    <w:name w:val="Título 4 Car"/>
    <w:basedOn w:val="Fuentedeprrafopredeter"/>
    <w:link w:val="Ttulo4"/>
    <w:uiPriority w:val="9"/>
    <w:rsid w:val="00497DA0"/>
    <w:rPr>
      <w:rFonts w:ascii="Calibri" w:eastAsia="Times New Roman" w:hAnsi="Calibri" w:cs="Times New Roman"/>
      <w:b/>
      <w:bCs/>
      <w:sz w:val="28"/>
      <w:szCs w:val="28"/>
      <w:lang w:val="x-none"/>
    </w:rPr>
  </w:style>
  <w:style w:type="character" w:customStyle="1" w:styleId="Ttulo5Car">
    <w:name w:val="Título 5 Car"/>
    <w:basedOn w:val="Fuentedeprrafopredeter"/>
    <w:link w:val="Ttulo5"/>
    <w:uiPriority w:val="9"/>
    <w:rsid w:val="00497DA0"/>
    <w:rPr>
      <w:rFonts w:ascii="Calibri" w:eastAsia="Times New Roman" w:hAnsi="Calibri" w:cs="Times New Roman"/>
      <w:b/>
      <w:bCs/>
      <w:i/>
      <w:iCs/>
      <w:sz w:val="26"/>
      <w:szCs w:val="26"/>
      <w:lang w:val="x-none"/>
    </w:rPr>
  </w:style>
  <w:style w:type="character" w:customStyle="1" w:styleId="Ttulo6Car">
    <w:name w:val="Título 6 Car"/>
    <w:basedOn w:val="Fuentedeprrafopredeter"/>
    <w:link w:val="Ttulo6"/>
    <w:uiPriority w:val="9"/>
    <w:rsid w:val="00497DA0"/>
    <w:rPr>
      <w:rFonts w:ascii="Calibri" w:eastAsia="Times New Roman" w:hAnsi="Calibri" w:cs="Times New Roman"/>
      <w:b/>
      <w:bCs/>
      <w:lang w:val="x-none"/>
    </w:rPr>
  </w:style>
  <w:style w:type="character" w:customStyle="1" w:styleId="Ttulo7Car">
    <w:name w:val="Título 7 Car"/>
    <w:basedOn w:val="Fuentedeprrafopredeter"/>
    <w:link w:val="Ttulo7"/>
    <w:uiPriority w:val="9"/>
    <w:rsid w:val="00497DA0"/>
    <w:rPr>
      <w:rFonts w:ascii="Calibri" w:eastAsia="Times New Roman" w:hAnsi="Calibri" w:cs="Times New Roman"/>
      <w:sz w:val="24"/>
      <w:szCs w:val="24"/>
      <w:lang w:val="x-none"/>
    </w:rPr>
  </w:style>
  <w:style w:type="character" w:customStyle="1" w:styleId="Ttulo8Car">
    <w:name w:val="Título 8 Car"/>
    <w:basedOn w:val="Fuentedeprrafopredeter"/>
    <w:link w:val="Ttulo8"/>
    <w:uiPriority w:val="9"/>
    <w:rsid w:val="00497DA0"/>
    <w:rPr>
      <w:rFonts w:ascii="Calibri" w:eastAsia="Times New Roman" w:hAnsi="Calibri" w:cs="Times New Roman"/>
      <w:i/>
      <w:iCs/>
      <w:sz w:val="24"/>
      <w:szCs w:val="24"/>
      <w:lang w:val="x-none"/>
    </w:rPr>
  </w:style>
  <w:style w:type="character" w:customStyle="1" w:styleId="Ttulo9Car">
    <w:name w:val="Título 9 Car"/>
    <w:basedOn w:val="Fuentedeprrafopredeter"/>
    <w:link w:val="Ttulo9"/>
    <w:uiPriority w:val="9"/>
    <w:rsid w:val="00497DA0"/>
    <w:rPr>
      <w:rFonts w:ascii="Cambria" w:eastAsia="Times New Roman" w:hAnsi="Cambria" w:cs="Times New Roman"/>
      <w:lang w:val="x-none"/>
    </w:rPr>
  </w:style>
  <w:style w:type="paragraph" w:styleId="Prrafodelista">
    <w:name w:val="List Paragraph"/>
    <w:basedOn w:val="Normal"/>
    <w:uiPriority w:val="34"/>
    <w:qFormat/>
    <w:rsid w:val="00497DA0"/>
    <w:pPr>
      <w:ind w:left="720"/>
      <w:contextualSpacing/>
    </w:pPr>
  </w:style>
  <w:style w:type="paragraph" w:styleId="Textonotapie">
    <w:name w:val="footnote text"/>
    <w:basedOn w:val="Normal"/>
    <w:link w:val="TextonotapieCar"/>
    <w:uiPriority w:val="99"/>
    <w:semiHidden/>
    <w:unhideWhenUsed/>
    <w:rsid w:val="00497DA0"/>
    <w:rPr>
      <w:sz w:val="20"/>
      <w:szCs w:val="20"/>
      <w:lang w:val="x-none" w:eastAsia="x-none"/>
    </w:rPr>
  </w:style>
  <w:style w:type="character" w:customStyle="1" w:styleId="TextonotapieCar">
    <w:name w:val="Texto nota pie Car"/>
    <w:basedOn w:val="Fuentedeprrafopredeter"/>
    <w:link w:val="Textonotapie"/>
    <w:uiPriority w:val="99"/>
    <w:semiHidden/>
    <w:rsid w:val="00497DA0"/>
    <w:rPr>
      <w:rFonts w:ascii="Calibri" w:eastAsia="Calibri" w:hAnsi="Calibri" w:cs="Times New Roman"/>
      <w:sz w:val="20"/>
      <w:szCs w:val="20"/>
      <w:lang w:val="x-none" w:eastAsia="x-none"/>
    </w:rPr>
  </w:style>
  <w:style w:type="character" w:styleId="Refdenotaalpie">
    <w:name w:val="footnote reference"/>
    <w:uiPriority w:val="99"/>
    <w:semiHidden/>
    <w:unhideWhenUsed/>
    <w:rsid w:val="00497DA0"/>
    <w:rPr>
      <w:vertAlign w:val="superscript"/>
    </w:rPr>
  </w:style>
  <w:style w:type="character" w:styleId="Hipervnculo">
    <w:name w:val="Hyperlink"/>
    <w:uiPriority w:val="99"/>
    <w:unhideWhenUsed/>
    <w:rsid w:val="00497DA0"/>
    <w:rPr>
      <w:color w:val="0000FF"/>
      <w:u w:val="single"/>
    </w:rPr>
  </w:style>
  <w:style w:type="table" w:styleId="Tablaconcuadrcula">
    <w:name w:val="Table Grid"/>
    <w:basedOn w:val="Tablanormal"/>
    <w:uiPriority w:val="59"/>
    <w:rsid w:val="00497DA0"/>
    <w:pPr>
      <w:spacing w:after="0" w:line="240" w:lineRule="auto"/>
    </w:pPr>
    <w:rPr>
      <w:rFonts w:ascii="Calibri" w:eastAsia="Calibri" w:hAnsi="Calibri" w:cs="Times New Roman"/>
      <w:sz w:val="20"/>
      <w:szCs w:val="20"/>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497DA0"/>
    <w:pPr>
      <w:spacing w:after="0" w:line="240" w:lineRule="auto"/>
    </w:pPr>
    <w:rPr>
      <w:rFonts w:ascii="Tahoma" w:hAnsi="Tahoma"/>
      <w:sz w:val="16"/>
      <w:szCs w:val="16"/>
      <w:lang w:val="x-none" w:eastAsia="x-none"/>
    </w:rPr>
  </w:style>
  <w:style w:type="character" w:customStyle="1" w:styleId="TextodegloboCar">
    <w:name w:val="Texto de globo Car"/>
    <w:basedOn w:val="Fuentedeprrafopredeter"/>
    <w:link w:val="Textodeglobo"/>
    <w:uiPriority w:val="99"/>
    <w:semiHidden/>
    <w:rsid w:val="00497DA0"/>
    <w:rPr>
      <w:rFonts w:ascii="Tahoma" w:eastAsia="Calibri" w:hAnsi="Tahoma" w:cs="Times New Roman"/>
      <w:sz w:val="16"/>
      <w:szCs w:val="16"/>
      <w:lang w:val="x-none" w:eastAsia="x-none"/>
    </w:rPr>
  </w:style>
  <w:style w:type="table" w:styleId="Sombreadoclaro-nfasis2">
    <w:name w:val="Light Shading Accent 2"/>
    <w:basedOn w:val="Tablanormal"/>
    <w:uiPriority w:val="60"/>
    <w:rsid w:val="00497DA0"/>
    <w:pPr>
      <w:spacing w:after="0" w:line="240" w:lineRule="auto"/>
    </w:pPr>
    <w:rPr>
      <w:rFonts w:ascii="Calibri" w:eastAsia="Calibri" w:hAnsi="Calibri" w:cs="Times New Roman"/>
      <w:color w:val="943634"/>
      <w:sz w:val="20"/>
      <w:szCs w:val="20"/>
      <w:lang w:eastAsia="es-CO"/>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claro-nfasis11">
    <w:name w:val="Sombreado claro - Énfasis 11"/>
    <w:basedOn w:val="Tablanormal"/>
    <w:uiPriority w:val="60"/>
    <w:rsid w:val="00497DA0"/>
    <w:pPr>
      <w:spacing w:after="0" w:line="240" w:lineRule="auto"/>
    </w:pPr>
    <w:rPr>
      <w:rFonts w:ascii="Calibri" w:eastAsia="Calibri" w:hAnsi="Calibri" w:cs="Times New Roman"/>
      <w:color w:val="365F91"/>
      <w:sz w:val="20"/>
      <w:szCs w:val="20"/>
      <w:lang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claro1">
    <w:name w:val="Sombreado claro1"/>
    <w:basedOn w:val="Tablanormal"/>
    <w:uiPriority w:val="60"/>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domedio1-nfasis4">
    <w:name w:val="Medium Shading 1 Accent 4"/>
    <w:basedOn w:val="Tablanormal"/>
    <w:uiPriority w:val="63"/>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uadrculamedia1-nfasis1">
    <w:name w:val="Medium Grid 1 Accent 1"/>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Encabezado">
    <w:name w:val="header"/>
    <w:basedOn w:val="Normal"/>
    <w:link w:val="EncabezadoCar"/>
    <w:uiPriority w:val="99"/>
    <w:semiHidden/>
    <w:unhideWhenUsed/>
    <w:rsid w:val="00497DA0"/>
    <w:pPr>
      <w:tabs>
        <w:tab w:val="center" w:pos="4419"/>
        <w:tab w:val="right" w:pos="8838"/>
      </w:tabs>
    </w:pPr>
    <w:rPr>
      <w:lang w:val="x-none"/>
    </w:rPr>
  </w:style>
  <w:style w:type="character" w:customStyle="1" w:styleId="EncabezadoCar">
    <w:name w:val="Encabezado Car"/>
    <w:basedOn w:val="Fuentedeprrafopredeter"/>
    <w:link w:val="Encabezado"/>
    <w:uiPriority w:val="99"/>
    <w:semiHidden/>
    <w:rsid w:val="00497DA0"/>
    <w:rPr>
      <w:rFonts w:ascii="Calibri" w:eastAsia="Calibri" w:hAnsi="Calibri" w:cs="Times New Roman"/>
      <w:lang w:val="x-none"/>
    </w:rPr>
  </w:style>
  <w:style w:type="paragraph" w:styleId="Piedepgina">
    <w:name w:val="footer"/>
    <w:basedOn w:val="Normal"/>
    <w:link w:val="PiedepginaCar"/>
    <w:uiPriority w:val="99"/>
    <w:semiHidden/>
    <w:unhideWhenUsed/>
    <w:rsid w:val="00497DA0"/>
    <w:pPr>
      <w:tabs>
        <w:tab w:val="center" w:pos="4419"/>
        <w:tab w:val="right" w:pos="8838"/>
      </w:tabs>
    </w:pPr>
    <w:rPr>
      <w:lang w:val="x-none"/>
    </w:rPr>
  </w:style>
  <w:style w:type="character" w:customStyle="1" w:styleId="PiedepginaCar">
    <w:name w:val="Pie de página Car"/>
    <w:basedOn w:val="Fuentedeprrafopredeter"/>
    <w:link w:val="Piedepgina"/>
    <w:uiPriority w:val="99"/>
    <w:semiHidden/>
    <w:rsid w:val="00497DA0"/>
    <w:rPr>
      <w:rFonts w:ascii="Calibri" w:eastAsia="Calibri" w:hAnsi="Calibri" w:cs="Times New Roman"/>
      <w:lang w:val="x-none"/>
    </w:rPr>
  </w:style>
  <w:style w:type="table" w:styleId="Sombreadoclaro-nfasis4">
    <w:name w:val="Light Shading Accent 4"/>
    <w:basedOn w:val="Tablanormal"/>
    <w:uiPriority w:val="60"/>
    <w:rsid w:val="00497DA0"/>
    <w:pPr>
      <w:spacing w:after="0" w:line="240" w:lineRule="auto"/>
    </w:pPr>
    <w:rPr>
      <w:rFonts w:ascii="Calibri" w:eastAsia="Calibri" w:hAnsi="Calibri" w:cs="Times New Roman"/>
      <w:color w:val="5F497A"/>
      <w:sz w:val="20"/>
      <w:szCs w:val="20"/>
      <w:lang w:eastAsia="es-CO"/>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Sombreadoclaro-nfasis12">
    <w:name w:val="Sombreado claro - Énfasis 12"/>
    <w:basedOn w:val="Tablanormal"/>
    <w:uiPriority w:val="60"/>
    <w:rsid w:val="00497DA0"/>
    <w:pPr>
      <w:spacing w:after="0" w:line="240" w:lineRule="auto"/>
    </w:pPr>
    <w:rPr>
      <w:rFonts w:ascii="Calibri" w:eastAsia="Calibri" w:hAnsi="Calibri" w:cs="Times New Roman"/>
      <w:color w:val="365F91"/>
      <w:sz w:val="20"/>
      <w:szCs w:val="20"/>
      <w:lang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claro-nfasis5">
    <w:name w:val="Light Shading Accent 5"/>
    <w:basedOn w:val="Tablanormal"/>
    <w:uiPriority w:val="60"/>
    <w:rsid w:val="00497DA0"/>
    <w:pPr>
      <w:spacing w:after="0" w:line="240" w:lineRule="auto"/>
    </w:pPr>
    <w:rPr>
      <w:rFonts w:ascii="Calibri" w:eastAsia="Calibri" w:hAnsi="Calibri" w:cs="Times New Roman"/>
      <w:color w:val="31849B"/>
      <w:sz w:val="20"/>
      <w:szCs w:val="20"/>
      <w:lang w:eastAsia="es-CO"/>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stamedia1-nfasis2">
    <w:name w:val="Medium List 1 Accent 2"/>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stamedia2-nfasis6">
    <w:name w:val="Medium List 2 Accent 6"/>
    <w:basedOn w:val="Tablanormal"/>
    <w:uiPriority w:val="66"/>
    <w:rsid w:val="00497DA0"/>
    <w:pPr>
      <w:spacing w:after="0" w:line="240" w:lineRule="auto"/>
    </w:pPr>
    <w:rPr>
      <w:rFonts w:ascii="Cambria" w:eastAsia="Times New Roman" w:hAnsi="Cambria" w:cs="Times New Roman"/>
      <w:color w:val="000000"/>
      <w:sz w:val="20"/>
      <w:szCs w:val="20"/>
      <w:lang w:eastAsia="es-CO"/>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497DA0"/>
    <w:pPr>
      <w:spacing w:after="0" w:line="240" w:lineRule="auto"/>
    </w:pPr>
    <w:rPr>
      <w:rFonts w:ascii="Cambria" w:eastAsia="Times New Roman" w:hAnsi="Cambria" w:cs="Times New Roman"/>
      <w:color w:val="000000"/>
      <w:sz w:val="20"/>
      <w:szCs w:val="20"/>
      <w:lang w:eastAsia="es-CO"/>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uadrculamedia1-nfasis2">
    <w:name w:val="Medium Grid 1 Accent 2"/>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Sombreadoclaro-nfasis6">
    <w:name w:val="Light Shading Accent 6"/>
    <w:basedOn w:val="Tablanormal"/>
    <w:uiPriority w:val="60"/>
    <w:rsid w:val="00497DA0"/>
    <w:pPr>
      <w:spacing w:after="0" w:line="240" w:lineRule="auto"/>
    </w:pPr>
    <w:rPr>
      <w:rFonts w:ascii="Calibri" w:eastAsia="Calibri" w:hAnsi="Calibri" w:cs="Times New Roman"/>
      <w:color w:val="E36C0A"/>
      <w:sz w:val="20"/>
      <w:szCs w:val="20"/>
      <w:lang w:eastAsia="es-CO"/>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stamedia1-nfasis6">
    <w:name w:val="Medium List 1 Accent 6"/>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Cuadrculamedia1-nfasis6">
    <w:name w:val="Medium Grid 1 Accent 6"/>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Listamedia1-nfasis3">
    <w:name w:val="Medium List 1 Accent 3"/>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Cuadrculamedia1-nfasis4">
    <w:name w:val="Medium Grid 1 Accent 4"/>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Cuadrculamedia1-nfasis3">
    <w:name w:val="Medium Grid 1 Accent 3"/>
    <w:basedOn w:val="Tablanormal"/>
    <w:uiPriority w:val="67"/>
    <w:rsid w:val="00497DA0"/>
    <w:pPr>
      <w:spacing w:after="0" w:line="240" w:lineRule="auto"/>
    </w:pPr>
    <w:rPr>
      <w:rFonts w:ascii="Calibri" w:eastAsia="Calibri" w:hAnsi="Calibri" w:cs="Times New Roman"/>
      <w:sz w:val="20"/>
      <w:szCs w:val="20"/>
      <w:lang w:eastAsia="es-CO"/>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styleId="Lista">
    <w:name w:val="List"/>
    <w:basedOn w:val="Normal"/>
    <w:uiPriority w:val="99"/>
    <w:unhideWhenUsed/>
    <w:rsid w:val="00497DA0"/>
    <w:pPr>
      <w:ind w:left="283" w:hanging="283"/>
      <w:contextualSpacing/>
    </w:pPr>
  </w:style>
  <w:style w:type="paragraph" w:styleId="Lista2">
    <w:name w:val="List 2"/>
    <w:basedOn w:val="Normal"/>
    <w:uiPriority w:val="99"/>
    <w:unhideWhenUsed/>
    <w:rsid w:val="00497DA0"/>
    <w:pPr>
      <w:ind w:left="566" w:hanging="283"/>
      <w:contextualSpacing/>
    </w:pPr>
  </w:style>
  <w:style w:type="paragraph" w:styleId="Lista3">
    <w:name w:val="List 3"/>
    <w:basedOn w:val="Normal"/>
    <w:uiPriority w:val="99"/>
    <w:unhideWhenUsed/>
    <w:rsid w:val="00497DA0"/>
    <w:pPr>
      <w:ind w:left="849" w:hanging="283"/>
      <w:contextualSpacing/>
    </w:pPr>
  </w:style>
  <w:style w:type="paragraph" w:styleId="Listaconvietas2">
    <w:name w:val="List Bullet 2"/>
    <w:basedOn w:val="Normal"/>
    <w:uiPriority w:val="99"/>
    <w:unhideWhenUsed/>
    <w:rsid w:val="00497DA0"/>
    <w:pPr>
      <w:numPr>
        <w:numId w:val="12"/>
      </w:numPr>
      <w:contextualSpacing/>
    </w:pPr>
  </w:style>
  <w:style w:type="paragraph" w:styleId="Epgrafe">
    <w:name w:val="caption"/>
    <w:basedOn w:val="Normal"/>
    <w:next w:val="Normal"/>
    <w:uiPriority w:val="35"/>
    <w:unhideWhenUsed/>
    <w:qFormat/>
    <w:rsid w:val="00497DA0"/>
    <w:rPr>
      <w:b/>
      <w:bCs/>
      <w:sz w:val="20"/>
      <w:szCs w:val="20"/>
    </w:rPr>
  </w:style>
  <w:style w:type="paragraph" w:styleId="Textoindependiente">
    <w:name w:val="Body Text"/>
    <w:basedOn w:val="Normal"/>
    <w:link w:val="TextoindependienteCar"/>
    <w:uiPriority w:val="99"/>
    <w:unhideWhenUsed/>
    <w:rsid w:val="00497DA0"/>
    <w:pPr>
      <w:spacing w:after="120"/>
    </w:pPr>
    <w:rPr>
      <w:lang w:val="x-none"/>
    </w:rPr>
  </w:style>
  <w:style w:type="character" w:customStyle="1" w:styleId="TextoindependienteCar">
    <w:name w:val="Texto independiente Car"/>
    <w:basedOn w:val="Fuentedeprrafopredeter"/>
    <w:link w:val="Textoindependiente"/>
    <w:uiPriority w:val="99"/>
    <w:rsid w:val="00497DA0"/>
    <w:rPr>
      <w:rFonts w:ascii="Calibri" w:eastAsia="Calibri" w:hAnsi="Calibri" w:cs="Times New Roman"/>
      <w:lang w:val="x-none"/>
    </w:rPr>
  </w:style>
  <w:style w:type="paragraph" w:styleId="Sangradetextonormal">
    <w:name w:val="Body Text Indent"/>
    <w:basedOn w:val="Normal"/>
    <w:link w:val="SangradetextonormalCar"/>
    <w:uiPriority w:val="99"/>
    <w:semiHidden/>
    <w:unhideWhenUsed/>
    <w:rsid w:val="00497DA0"/>
    <w:pPr>
      <w:spacing w:after="120"/>
      <w:ind w:left="283"/>
    </w:pPr>
    <w:rPr>
      <w:lang w:val="x-none"/>
    </w:rPr>
  </w:style>
  <w:style w:type="character" w:customStyle="1" w:styleId="SangradetextonormalCar">
    <w:name w:val="Sangría de texto normal Car"/>
    <w:basedOn w:val="Fuentedeprrafopredeter"/>
    <w:link w:val="Sangradetextonormal"/>
    <w:uiPriority w:val="99"/>
    <w:semiHidden/>
    <w:rsid w:val="00497DA0"/>
    <w:rPr>
      <w:rFonts w:ascii="Calibri" w:eastAsia="Calibri" w:hAnsi="Calibri" w:cs="Times New Roman"/>
      <w:lang w:val="x-none"/>
    </w:rPr>
  </w:style>
  <w:style w:type="paragraph" w:styleId="Textoindependienteprimerasangra2">
    <w:name w:val="Body Text First Indent 2"/>
    <w:basedOn w:val="Sangradetextonormal"/>
    <w:link w:val="Textoindependienteprimerasangra2Car"/>
    <w:uiPriority w:val="99"/>
    <w:unhideWhenUsed/>
    <w:rsid w:val="00497DA0"/>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497DA0"/>
    <w:rPr>
      <w:rFonts w:ascii="Calibri" w:eastAsia="Calibri" w:hAnsi="Calibri" w:cs="Times New Roman"/>
      <w:lang w:val="x-none"/>
    </w:rPr>
  </w:style>
  <w:style w:type="table" w:styleId="Sombreadoclaro-nfasis3">
    <w:name w:val="Light Shading Accent 3"/>
    <w:basedOn w:val="Tablanormal"/>
    <w:uiPriority w:val="60"/>
    <w:rsid w:val="00497DA0"/>
    <w:pPr>
      <w:spacing w:after="0" w:line="240" w:lineRule="auto"/>
    </w:pPr>
    <w:rPr>
      <w:rFonts w:ascii="Calibri" w:eastAsia="Calibri" w:hAnsi="Calibri" w:cs="Times New Roman"/>
      <w:color w:val="76923C"/>
      <w:sz w:val="20"/>
      <w:szCs w:val="20"/>
      <w:lang w:eastAsia="es-CO"/>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Sinespaciado">
    <w:name w:val="No Spacing"/>
    <w:uiPriority w:val="1"/>
    <w:qFormat/>
    <w:rsid w:val="00497DA0"/>
    <w:pPr>
      <w:spacing w:after="0" w:line="240" w:lineRule="auto"/>
    </w:pPr>
    <w:rPr>
      <w:rFonts w:ascii="Calibri" w:eastAsia="Times New Roman" w:hAnsi="Calibri" w:cs="Times New Roman"/>
      <w:lang w:val="es-ES_tradnl" w:eastAsia="es-ES_tradnl"/>
    </w:rPr>
  </w:style>
  <w:style w:type="table" w:styleId="Listamedia1-nfasis4">
    <w:name w:val="Medium List 1 Accent 4"/>
    <w:basedOn w:val="Tablanormal"/>
    <w:uiPriority w:val="65"/>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Sombreadoclaro2">
    <w:name w:val="Sombreado claro2"/>
    <w:basedOn w:val="Tablanormal"/>
    <w:uiPriority w:val="60"/>
    <w:rsid w:val="00497DA0"/>
    <w:pPr>
      <w:spacing w:after="0" w:line="240" w:lineRule="auto"/>
    </w:pPr>
    <w:rPr>
      <w:rFonts w:ascii="Calibri" w:eastAsia="Calibri" w:hAnsi="Calibri" w:cs="Times New Roman"/>
      <w:color w:val="000000"/>
      <w:sz w:val="20"/>
      <w:szCs w:val="20"/>
      <w:lang w:eastAsia="es-CO"/>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uadrculaclara-nfasis11">
    <w:name w:val="Cuadrícula clara - Énfasis 11"/>
    <w:basedOn w:val="Tablanormal"/>
    <w:uiPriority w:val="62"/>
    <w:rsid w:val="00497DA0"/>
    <w:pPr>
      <w:spacing w:after="0" w:line="240" w:lineRule="auto"/>
    </w:pPr>
    <w:rPr>
      <w:rFonts w:ascii="Calibri" w:eastAsia="Calibri" w:hAnsi="Calibri" w:cs="Times New Roman"/>
      <w:lang w:val="es-MX"/>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497DA0"/>
    <w:pPr>
      <w:autoSpaceDE w:val="0"/>
      <w:autoSpaceDN w:val="0"/>
      <w:adjustRightInd w:val="0"/>
      <w:spacing w:after="0" w:line="240" w:lineRule="auto"/>
    </w:pPr>
    <w:rPr>
      <w:rFonts w:ascii="Wingdings" w:eastAsia="Calibri" w:hAnsi="Wingdings" w:cs="Wingdings"/>
      <w:color w:val="000000"/>
      <w:sz w:val="24"/>
      <w:szCs w:val="24"/>
      <w:lang w:eastAsia="es-CO"/>
    </w:rPr>
  </w:style>
  <w:style w:type="table" w:customStyle="1" w:styleId="Tablaconcuadrcula1">
    <w:name w:val="Tabla con cuadrícula1"/>
    <w:basedOn w:val="Tablanormal"/>
    <w:uiPriority w:val="59"/>
    <w:rsid w:val="00497DA0"/>
    <w:pPr>
      <w:spacing w:after="0" w:line="240" w:lineRule="auto"/>
    </w:pPr>
    <w:rPr>
      <w:rFonts w:ascii="Calibri" w:eastAsia="Times New Roman" w:hAnsi="Calibri" w:cs="Times New Roman"/>
      <w:lang w:val="es-ES"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7.png"/><Relationship Id="rId26" Type="http://schemas.openxmlformats.org/officeDocument/2006/relationships/chart" Target="charts/chart12.xm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hart" Target="charts/chart7.xml"/><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4.xml"/><Relationship Id="rId25" Type="http://schemas.openxmlformats.org/officeDocument/2006/relationships/chart" Target="charts/chart11.xml"/><Relationship Id="rId33" Type="http://schemas.openxmlformats.org/officeDocument/2006/relationships/image" Target="media/image13.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3.xml"/><Relationship Id="rId20" Type="http://schemas.openxmlformats.org/officeDocument/2006/relationships/chart" Target="charts/chart6.xml"/><Relationship Id="rId29"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10.xml"/><Relationship Id="rId32" Type="http://schemas.openxmlformats.org/officeDocument/2006/relationships/image" Target="media/image12.png"/><Relationship Id="rId37"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9.xml"/><Relationship Id="rId28" Type="http://schemas.openxmlformats.org/officeDocument/2006/relationships/image" Target="media/image8.png"/><Relationship Id="rId36"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chart" Target="charts/chart5.xm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image" Target="media/image10.png"/><Relationship Id="rId35" Type="http://schemas.openxmlformats.org/officeDocument/2006/relationships/image" Target="media/image15.png"/></Relationships>
</file>

<file path=word/_rels/footnotes.xml.rels><?xml version="1.0" encoding="UTF-8" standalone="yes"?>
<Relationships xmlns="http://schemas.openxmlformats.org/package/2006/relationships"><Relationship Id="rId3" Type="http://schemas.openxmlformats.org/officeDocument/2006/relationships/hyperlink" Target="http://www.riosucio-caldas.gov.co/nuestromunicipio.shtml?apc=myxx-1-&amp;x=2744724&amp;als%5bESTADO__%5d=myxx-1-" TargetMode="External"/><Relationship Id="rId2" Type="http://schemas.openxmlformats.org/officeDocument/2006/relationships/hyperlink" Target="http://www.dps.gov.co/contenido/contenido.aspx?catID=621&amp;conID=556" TargetMode="External"/><Relationship Id="rId1" Type="http://schemas.openxmlformats.org/officeDocument/2006/relationships/hyperlink" Target="http://www.dane.gov.co/files/censo2005/PERFIL_PDF_CG2005/17614T7T000.PDF" TargetMode="External"/><Relationship Id="rId4" Type="http://schemas.openxmlformats.org/officeDocument/2006/relationships/hyperlink" Target="http://www.carnavalriosucio.org/website/index.php?option=com_content&amp;view=article&amp;id=111&amp;Itemid=112"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seven\Desktop\Diego%20Velasq\TASA%20COBERTURA%20educacion.xls" TargetMode="Externa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9.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seven\Desktop\Diego%20Velasq\TASA%20COBERTURA%20educacion.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even\Desktop\Diego%20Velasq\TASA%20COBERTURA%20educacion.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even\Desktop\Diego%20Velasq\TASA%20COBERTURA%20educacion.xls" TargetMode="Externa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CO"/>
  <c:roundedCorners val="1"/>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lang="es-ES_tradnl"/>
            </a:pPr>
            <a:r>
              <a:rPr lang="es-ES_tradnl" sz="1200"/>
              <a:t>Cobertura Total para Educación Basica Media</a:t>
            </a:r>
          </a:p>
        </c:rich>
      </c:tx>
      <c:overlay val="1"/>
    </c:title>
    <c:autoTitleDeleted val="0"/>
    <c:plotArea>
      <c:layout/>
      <c:lineChart>
        <c:grouping val="stacked"/>
        <c:varyColors val="1"/>
        <c:ser>
          <c:idx val="0"/>
          <c:order val="0"/>
          <c:tx>
            <c:v>TASA NETA</c:v>
          </c:tx>
          <c:cat>
            <c:strRef>
              <c:f>'TASA NETA SEC.'!$A$29:$A$34</c:f>
              <c:strCache>
                <c:ptCount val="6"/>
                <c:pt idx="0">
                  <c:v>año 2005</c:v>
                </c:pt>
                <c:pt idx="1">
                  <c:v>año 2006</c:v>
                </c:pt>
                <c:pt idx="2">
                  <c:v>año 2007</c:v>
                </c:pt>
                <c:pt idx="3">
                  <c:v>año 2008</c:v>
                </c:pt>
                <c:pt idx="4">
                  <c:v>año 2009</c:v>
                </c:pt>
                <c:pt idx="5">
                  <c:v>año 2010</c:v>
                </c:pt>
              </c:strCache>
            </c:strRef>
          </c:cat>
          <c:val>
            <c:numRef>
              <c:f>'TASA NETA SEC.'!$B$29:$B$34</c:f>
              <c:numCache>
                <c:formatCode>0.0</c:formatCode>
                <c:ptCount val="6"/>
                <c:pt idx="0">
                  <c:v>28.3</c:v>
                </c:pt>
                <c:pt idx="1">
                  <c:v>27.7</c:v>
                </c:pt>
                <c:pt idx="2">
                  <c:v>30.6</c:v>
                </c:pt>
                <c:pt idx="3">
                  <c:v>33.300000000000011</c:v>
                </c:pt>
                <c:pt idx="4">
                  <c:v>34.4</c:v>
                </c:pt>
                <c:pt idx="5">
                  <c:v>35</c:v>
                </c:pt>
              </c:numCache>
            </c:numRef>
          </c:val>
          <c:smooth val="1"/>
        </c:ser>
        <c:dLbls>
          <c:showLegendKey val="0"/>
          <c:showVal val="0"/>
          <c:showCatName val="0"/>
          <c:showSerName val="0"/>
          <c:showPercent val="0"/>
          <c:showBubbleSize val="0"/>
        </c:dLbls>
        <c:marker val="1"/>
        <c:smooth val="0"/>
        <c:axId val="88557440"/>
        <c:axId val="88558976"/>
      </c:lineChart>
      <c:catAx>
        <c:axId val="88557440"/>
        <c:scaling>
          <c:orientation val="minMax"/>
        </c:scaling>
        <c:delete val="1"/>
        <c:axPos val="b"/>
        <c:numFmt formatCode="General" sourceLinked="1"/>
        <c:majorTickMark val="none"/>
        <c:minorTickMark val="cross"/>
        <c:tickLblPos val="none"/>
        <c:crossAx val="88558976"/>
        <c:crosses val="autoZero"/>
        <c:auto val="1"/>
        <c:lblAlgn val="ctr"/>
        <c:lblOffset val="100"/>
        <c:noMultiLvlLbl val="1"/>
      </c:catAx>
      <c:valAx>
        <c:axId val="88558976"/>
        <c:scaling>
          <c:orientation val="minMax"/>
        </c:scaling>
        <c:delete val="1"/>
        <c:axPos val="l"/>
        <c:majorGridlines/>
        <c:numFmt formatCode="0.0" sourceLinked="1"/>
        <c:majorTickMark val="none"/>
        <c:minorTickMark val="cross"/>
        <c:tickLblPos val="none"/>
        <c:crossAx val="88557440"/>
        <c:crosses val="autoZero"/>
        <c:crossBetween val="between"/>
      </c:valAx>
      <c:dTable>
        <c:showHorzBorder val="1"/>
        <c:showVertBorder val="1"/>
        <c:showOutline val="1"/>
        <c:showKeys val="1"/>
        <c:txPr>
          <a:bodyPr/>
          <a:lstStyle/>
          <a:p>
            <a:pPr rtl="0">
              <a:defRPr lang="es-ES_tradnl"/>
            </a:pPr>
            <a:endParaRPr lang="es-CO"/>
          </a:p>
        </c:txPr>
      </c:dTable>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plotArea>
    <c:plotVisOnly val="1"/>
    <c:dispBlanksAs val="zero"/>
    <c:showDLblsOverMax val="1"/>
  </c:chart>
  <c:externalData r:id="rId1">
    <c:autoUpdate val="1"/>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Hoja1!$B$1</c:f>
              <c:strCache>
                <c:ptCount val="1"/>
                <c:pt idx="0">
                  <c:v>Serie 1</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Hoja1!$B$2:$B$5</c:f>
              <c:numCache>
                <c:formatCode>General</c:formatCode>
                <c:ptCount val="4"/>
                <c:pt idx="0">
                  <c:v>612</c:v>
                </c:pt>
              </c:numCache>
            </c:numRef>
          </c:val>
        </c:ser>
        <c:ser>
          <c:idx val="1"/>
          <c:order val="1"/>
          <c:tx>
            <c:strRef>
              <c:f>Hoja1!$C$1</c:f>
              <c:strCache>
                <c:ptCount val="1"/>
                <c:pt idx="0">
                  <c:v>Serie 2</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Hoja1!$C$2:$C$5</c:f>
              <c:numCache>
                <c:formatCode>General</c:formatCode>
                <c:ptCount val="4"/>
                <c:pt idx="1">
                  <c:v>538</c:v>
                </c:pt>
              </c:numCache>
            </c:numRef>
          </c:val>
        </c:ser>
        <c:ser>
          <c:idx val="2"/>
          <c:order val="2"/>
          <c:tx>
            <c:strRef>
              <c:f>Hoja1!$D$1</c:f>
              <c:strCache>
                <c:ptCount val="1"/>
                <c:pt idx="0">
                  <c:v>Serie 22</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Hoja1!$D$2:$D$5</c:f>
              <c:numCache>
                <c:formatCode>General</c:formatCode>
                <c:ptCount val="4"/>
                <c:pt idx="2">
                  <c:v>2961</c:v>
                </c:pt>
              </c:numCache>
            </c:numRef>
          </c:val>
        </c:ser>
        <c:ser>
          <c:idx val="3"/>
          <c:order val="3"/>
          <c:tx>
            <c:strRef>
              <c:f>Hoja1!$E$1</c:f>
              <c:strCache>
                <c:ptCount val="1"/>
                <c:pt idx="0">
                  <c:v>Serie 3</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Hoja1!$E$2:$E$5</c:f>
              <c:numCache>
                <c:formatCode>General</c:formatCode>
                <c:ptCount val="4"/>
                <c:pt idx="3">
                  <c:v>1887</c:v>
                </c:pt>
              </c:numCache>
            </c:numRef>
          </c:val>
        </c:ser>
        <c:dLbls>
          <c:showLegendKey val="0"/>
          <c:showVal val="0"/>
          <c:showCatName val="0"/>
          <c:showSerName val="0"/>
          <c:showPercent val="0"/>
          <c:showBubbleSize val="0"/>
        </c:dLbls>
        <c:gapWidth val="150"/>
        <c:overlap val="100"/>
        <c:axId val="92578944"/>
        <c:axId val="92580480"/>
      </c:barChart>
      <c:catAx>
        <c:axId val="92578944"/>
        <c:scaling>
          <c:orientation val="minMax"/>
        </c:scaling>
        <c:delete val="0"/>
        <c:axPos val="b"/>
        <c:numFmt formatCode="General" sourceLinked="1"/>
        <c:majorTickMark val="out"/>
        <c:minorTickMark val="none"/>
        <c:tickLblPos val="nextTo"/>
        <c:crossAx val="92580480"/>
        <c:crosses val="autoZero"/>
        <c:auto val="1"/>
        <c:lblAlgn val="ctr"/>
        <c:lblOffset val="100"/>
        <c:noMultiLvlLbl val="0"/>
      </c:catAx>
      <c:valAx>
        <c:axId val="92580480"/>
        <c:scaling>
          <c:orientation val="minMax"/>
        </c:scaling>
        <c:delete val="0"/>
        <c:axPos val="l"/>
        <c:majorGridlines/>
        <c:numFmt formatCode="General" sourceLinked="1"/>
        <c:majorTickMark val="out"/>
        <c:minorTickMark val="none"/>
        <c:tickLblPos val="nextTo"/>
        <c:crossAx val="92578944"/>
        <c:crosses val="autoZero"/>
        <c:crossBetween val="between"/>
      </c:valAx>
    </c:plotArea>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Hoja1!$B$1</c:f>
              <c:strCache>
                <c:ptCount val="1"/>
                <c:pt idx="0">
                  <c:v>Serie 1</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Hoja1!$B$2:$B$5</c:f>
              <c:numCache>
                <c:formatCode>General</c:formatCode>
                <c:ptCount val="4"/>
                <c:pt idx="0">
                  <c:v>399</c:v>
                </c:pt>
              </c:numCache>
            </c:numRef>
          </c:val>
        </c:ser>
        <c:ser>
          <c:idx val="1"/>
          <c:order val="1"/>
          <c:tx>
            <c:strRef>
              <c:f>Hoja1!$C$1</c:f>
              <c:strCache>
                <c:ptCount val="1"/>
                <c:pt idx="0">
                  <c:v>Serie 2</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Hoja1!$C$2:$C$5</c:f>
              <c:numCache>
                <c:formatCode>General</c:formatCode>
                <c:ptCount val="4"/>
                <c:pt idx="1">
                  <c:v>276</c:v>
                </c:pt>
              </c:numCache>
            </c:numRef>
          </c:val>
        </c:ser>
        <c:ser>
          <c:idx val="2"/>
          <c:order val="2"/>
          <c:tx>
            <c:strRef>
              <c:f>Hoja1!$D$1</c:f>
              <c:strCache>
                <c:ptCount val="1"/>
                <c:pt idx="0">
                  <c:v>Serie 3</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Hoja1!$D$2:$D$5</c:f>
              <c:numCache>
                <c:formatCode>General</c:formatCode>
                <c:ptCount val="4"/>
                <c:pt idx="2">
                  <c:v>181</c:v>
                </c:pt>
              </c:numCache>
            </c:numRef>
          </c:val>
        </c:ser>
        <c:ser>
          <c:idx val="3"/>
          <c:order val="3"/>
          <c:tx>
            <c:strRef>
              <c:f>Hoja1!$E$1</c:f>
              <c:strCache>
                <c:ptCount val="1"/>
                <c:pt idx="0">
                  <c:v>Serie 4</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Hoja1!$E$2:$E$5</c:f>
              <c:numCache>
                <c:formatCode>General</c:formatCode>
                <c:ptCount val="4"/>
                <c:pt idx="3">
                  <c:v>163</c:v>
                </c:pt>
              </c:numCache>
            </c:numRef>
          </c:val>
        </c:ser>
        <c:dLbls>
          <c:showLegendKey val="0"/>
          <c:showVal val="0"/>
          <c:showCatName val="0"/>
          <c:showSerName val="0"/>
          <c:showPercent val="0"/>
          <c:showBubbleSize val="0"/>
        </c:dLbls>
        <c:gapWidth val="150"/>
        <c:overlap val="100"/>
        <c:axId val="92280704"/>
        <c:axId val="92282240"/>
      </c:barChart>
      <c:catAx>
        <c:axId val="92280704"/>
        <c:scaling>
          <c:orientation val="minMax"/>
        </c:scaling>
        <c:delete val="0"/>
        <c:axPos val="b"/>
        <c:numFmt formatCode="General" sourceLinked="1"/>
        <c:majorTickMark val="out"/>
        <c:minorTickMark val="none"/>
        <c:tickLblPos val="nextTo"/>
        <c:crossAx val="92282240"/>
        <c:crosses val="autoZero"/>
        <c:auto val="1"/>
        <c:lblAlgn val="ctr"/>
        <c:lblOffset val="100"/>
        <c:noMultiLvlLbl val="0"/>
      </c:catAx>
      <c:valAx>
        <c:axId val="92282240"/>
        <c:scaling>
          <c:orientation val="minMax"/>
        </c:scaling>
        <c:delete val="0"/>
        <c:axPos val="l"/>
        <c:majorGridlines/>
        <c:numFmt formatCode="General" sourceLinked="1"/>
        <c:majorTickMark val="out"/>
        <c:minorTickMark val="none"/>
        <c:tickLblPos val="nextTo"/>
        <c:crossAx val="92280704"/>
        <c:crosses val="autoZero"/>
        <c:crossBetween val="between"/>
      </c:valAx>
    </c:plotArea>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23"/>
    </mc:Choice>
    <mc:Fallback>
      <c:style val="23"/>
    </mc:Fallback>
  </mc:AlternateContent>
  <c:chart>
    <c:autoTitleDeleted val="0"/>
    <c:plotArea>
      <c:layout/>
      <c:barChart>
        <c:barDir val="col"/>
        <c:grouping val="stacked"/>
        <c:varyColors val="0"/>
        <c:ser>
          <c:idx val="0"/>
          <c:order val="0"/>
          <c:tx>
            <c:strRef>
              <c:f>Hoja1!$B$1</c:f>
              <c:strCache>
                <c:ptCount val="1"/>
                <c:pt idx="0">
                  <c:v>Serie 1</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Hoja1!$B$2:$B$11</c:f>
              <c:numCache>
                <c:formatCode>General</c:formatCode>
                <c:ptCount val="10"/>
                <c:pt idx="0">
                  <c:v>12</c:v>
                </c:pt>
              </c:numCache>
            </c:numRef>
          </c:val>
        </c:ser>
        <c:ser>
          <c:idx val="1"/>
          <c:order val="1"/>
          <c:tx>
            <c:strRef>
              <c:f>Hoja1!$C$1</c:f>
              <c:strCache>
                <c:ptCount val="1"/>
                <c:pt idx="0">
                  <c:v>Serie 2</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Hoja1!$C$2:$C$11</c:f>
              <c:numCache>
                <c:formatCode>General</c:formatCode>
                <c:ptCount val="10"/>
                <c:pt idx="1">
                  <c:v>12</c:v>
                </c:pt>
              </c:numCache>
            </c:numRef>
          </c:val>
        </c:ser>
        <c:ser>
          <c:idx val="2"/>
          <c:order val="2"/>
          <c:tx>
            <c:strRef>
              <c:f>Hoja1!$D$1</c:f>
              <c:strCache>
                <c:ptCount val="1"/>
                <c:pt idx="0">
                  <c:v>Serie 3</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Hoja1!$D$2:$D$11</c:f>
              <c:numCache>
                <c:formatCode>General</c:formatCode>
                <c:ptCount val="10"/>
                <c:pt idx="2">
                  <c:v>18</c:v>
                </c:pt>
              </c:numCache>
            </c:numRef>
          </c:val>
        </c:ser>
        <c:ser>
          <c:idx val="3"/>
          <c:order val="3"/>
          <c:tx>
            <c:strRef>
              <c:f>Hoja1!$E$1</c:f>
              <c:strCache>
                <c:ptCount val="1"/>
                <c:pt idx="0">
                  <c:v>Serie 4</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Hoja1!$E$2:$E$11</c:f>
              <c:numCache>
                <c:formatCode>General</c:formatCode>
                <c:ptCount val="10"/>
                <c:pt idx="3">
                  <c:v>3</c:v>
                </c:pt>
              </c:numCache>
            </c:numRef>
          </c:val>
        </c:ser>
        <c:ser>
          <c:idx val="4"/>
          <c:order val="4"/>
          <c:tx>
            <c:strRef>
              <c:f>Hoja1!$F$1</c:f>
              <c:strCache>
                <c:ptCount val="1"/>
                <c:pt idx="0">
                  <c:v>Serie 5</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Hoja1!$F$2:$F$11</c:f>
              <c:numCache>
                <c:formatCode>General</c:formatCode>
                <c:ptCount val="10"/>
                <c:pt idx="4">
                  <c:v>1</c:v>
                </c:pt>
              </c:numCache>
            </c:numRef>
          </c:val>
        </c:ser>
        <c:ser>
          <c:idx val="5"/>
          <c:order val="5"/>
          <c:tx>
            <c:strRef>
              <c:f>Hoja1!$G$1</c:f>
              <c:strCache>
                <c:ptCount val="1"/>
                <c:pt idx="0">
                  <c:v>Serie 6</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Hoja1!$G$2:$G$11</c:f>
              <c:numCache>
                <c:formatCode>General</c:formatCode>
                <c:ptCount val="10"/>
                <c:pt idx="5">
                  <c:v>2</c:v>
                </c:pt>
              </c:numCache>
            </c:numRef>
          </c:val>
        </c:ser>
        <c:ser>
          <c:idx val="6"/>
          <c:order val="6"/>
          <c:tx>
            <c:strRef>
              <c:f>Hoja1!$H$1</c:f>
              <c:strCache>
                <c:ptCount val="1"/>
                <c:pt idx="0">
                  <c:v>Serie 7</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Hoja1!$H$2:$H$11</c:f>
              <c:numCache>
                <c:formatCode>General</c:formatCode>
                <c:ptCount val="10"/>
                <c:pt idx="6">
                  <c:v>1</c:v>
                </c:pt>
              </c:numCache>
            </c:numRef>
          </c:val>
        </c:ser>
        <c:ser>
          <c:idx val="7"/>
          <c:order val="7"/>
          <c:tx>
            <c:strRef>
              <c:f>Hoja1!$I$1</c:f>
              <c:strCache>
                <c:ptCount val="1"/>
                <c:pt idx="0">
                  <c:v>Serie 8</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Hoja1!$I$2:$I$11</c:f>
              <c:numCache>
                <c:formatCode>General</c:formatCode>
                <c:ptCount val="10"/>
                <c:pt idx="7">
                  <c:v>1</c:v>
                </c:pt>
              </c:numCache>
            </c:numRef>
          </c:val>
        </c:ser>
        <c:ser>
          <c:idx val="8"/>
          <c:order val="8"/>
          <c:tx>
            <c:strRef>
              <c:f>Hoja1!$J$1</c:f>
              <c:strCache>
                <c:ptCount val="1"/>
                <c:pt idx="0">
                  <c:v>Serie 9</c:v>
                </c:pt>
              </c:strCache>
            </c:strRef>
          </c:tx>
          <c:invertIfNegative val="0"/>
          <c:dLbls>
            <c:showLegendKey val="0"/>
            <c:showVal val="1"/>
            <c:showCatName val="0"/>
            <c:showSerName val="0"/>
            <c:showPercent val="0"/>
            <c:showBubbleSize val="0"/>
            <c:showLeaderLines val="0"/>
          </c:dLbls>
          <c:cat>
            <c:strRef>
              <c:f>Hoja1!$A$2:$A$11</c:f>
              <c:strCache>
                <c:ptCount val="9"/>
                <c:pt idx="0">
                  <c:v>Moto</c:v>
                </c:pt>
                <c:pt idx="1">
                  <c:v>Carro</c:v>
                </c:pt>
                <c:pt idx="2">
                  <c:v>Carro-Moto</c:v>
                </c:pt>
                <c:pt idx="3">
                  <c:v>Moto-Peaton</c:v>
                </c:pt>
                <c:pt idx="4">
                  <c:v>Moto-Bicicleta</c:v>
                </c:pt>
                <c:pt idx="5">
                  <c:v>Carro-Peaton</c:v>
                </c:pt>
                <c:pt idx="6">
                  <c:v>Carro- Objeto Fijo</c:v>
                </c:pt>
                <c:pt idx="7">
                  <c:v>Caida de Condc.Moto</c:v>
                </c:pt>
                <c:pt idx="8">
                  <c:v>Carro-semoviente</c:v>
                </c:pt>
              </c:strCache>
            </c:strRef>
          </c:cat>
          <c:val>
            <c:numRef>
              <c:f>Hoja1!$J$2:$J$11</c:f>
              <c:numCache>
                <c:formatCode>General</c:formatCode>
                <c:ptCount val="10"/>
                <c:pt idx="8">
                  <c:v>1</c:v>
                </c:pt>
              </c:numCache>
            </c:numRef>
          </c:val>
        </c:ser>
        <c:dLbls>
          <c:showLegendKey val="0"/>
          <c:showVal val="0"/>
          <c:showCatName val="0"/>
          <c:showSerName val="0"/>
          <c:showPercent val="0"/>
          <c:showBubbleSize val="0"/>
        </c:dLbls>
        <c:gapWidth val="150"/>
        <c:overlap val="100"/>
        <c:axId val="92390144"/>
        <c:axId val="92391680"/>
      </c:barChart>
      <c:catAx>
        <c:axId val="92390144"/>
        <c:scaling>
          <c:orientation val="minMax"/>
        </c:scaling>
        <c:delete val="0"/>
        <c:axPos val="b"/>
        <c:numFmt formatCode="General" sourceLinked="1"/>
        <c:majorTickMark val="out"/>
        <c:minorTickMark val="none"/>
        <c:tickLblPos val="nextTo"/>
        <c:crossAx val="92391680"/>
        <c:crosses val="autoZero"/>
        <c:auto val="1"/>
        <c:lblAlgn val="ctr"/>
        <c:lblOffset val="100"/>
        <c:noMultiLvlLbl val="0"/>
      </c:catAx>
      <c:valAx>
        <c:axId val="92391680"/>
        <c:scaling>
          <c:orientation val="minMax"/>
        </c:scaling>
        <c:delete val="0"/>
        <c:axPos val="l"/>
        <c:majorGridlines/>
        <c:numFmt formatCode="General" sourceLinked="1"/>
        <c:majorTickMark val="out"/>
        <c:minorTickMark val="none"/>
        <c:tickLblPos val="nextTo"/>
        <c:crossAx val="92390144"/>
        <c:crosses val="autoZero"/>
        <c:crossBetween val="between"/>
      </c:valAx>
    </c:plotArea>
    <c:plotVisOnly val="1"/>
    <c:dispBlanksAs val="gap"/>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Hoja1!$B$1</c:f>
              <c:strCache>
                <c:ptCount val="1"/>
                <c:pt idx="0">
                  <c:v>Serie 1</c:v>
                </c:pt>
              </c:strCache>
            </c:strRef>
          </c:tx>
          <c:spPr>
            <a:solidFill>
              <a:srgbClr val="CC00FF"/>
            </a:solidFill>
          </c:spPr>
          <c:invertIfNegative val="0"/>
          <c:cat>
            <c:strRef>
              <c:f>Hoja1!$A$2:$A$29</c:f>
              <c:strCache>
                <c:ptCount val="28"/>
                <c:pt idx="0">
                  <c:v>Transporte de Pacientes con Traumas</c:v>
                </c:pt>
                <c:pt idx="1">
                  <c:v>Servicio de Camillaje en la Zona Rural del Municipio (Unidades Bomberiles Rurales)</c:v>
                </c:pt>
                <c:pt idx="2">
                  <c:v>Accidentes Laborales</c:v>
                </c:pt>
                <c:pt idx="3">
                  <c:v>Incendios Estructurales</c:v>
                </c:pt>
                <c:pt idx="4">
                  <c:v>Conatos de Incendios Vehiculares</c:v>
                </c:pt>
                <c:pt idx="5">
                  <c:v>Accidentes de Transito</c:v>
                </c:pt>
                <c:pt idx="6">
                  <c:v>Control de Abejas Africanizadas y Avispas</c:v>
                </c:pt>
                <c:pt idx="7">
                  <c:v>Movilizacion de Cadaveres</c:v>
                </c:pt>
                <c:pt idx="8">
                  <c:v>Escape deGas Propano</c:v>
                </c:pt>
                <c:pt idx="9">
                  <c:v>Inspeccion Corto Circuito</c:v>
                </c:pt>
                <c:pt idx="10">
                  <c:v>Inspecciones Oculares a Viviendas</c:v>
                </c:pt>
                <c:pt idx="11">
                  <c:v>Notificaciones de Evacuacion</c:v>
                </c:pt>
                <c:pt idx="12">
                  <c:v>Revisiones a Locales Comerciales</c:v>
                </c:pt>
                <c:pt idx="13">
                  <c:v>Vendaval</c:v>
                </c:pt>
                <c:pt idx="14">
                  <c:v>Inundaciones</c:v>
                </c:pt>
                <c:pt idx="15">
                  <c:v>Deslizamientos</c:v>
                </c:pt>
                <c:pt idx="16">
                  <c:v>Desplome de Techo</c:v>
                </c:pt>
                <c:pt idx="17">
                  <c:v>Apoyo Corralejas</c:v>
                </c:pt>
                <c:pt idx="18">
                  <c:v>Apoyo Obra en La Maria</c:v>
                </c:pt>
                <c:pt idx="19">
                  <c:v>Colaboracion en la Revision de Ruptura de Tubos del Acueducto</c:v>
                </c:pt>
                <c:pt idx="20">
                  <c:v>Monitoreo de los Rios Las Estancias, Aguas Claras y Riosucio</c:v>
                </c:pt>
                <c:pt idx="21">
                  <c:v>Servicio de Carrotanque por problemas en en Acueducto en el Municipio</c:v>
                </c:pt>
                <c:pt idx="22">
                  <c:v>Busqueda y Rescate de Personas</c:v>
                </c:pt>
                <c:pt idx="23">
                  <c:v>Rescate de Canino</c:v>
                </c:pt>
                <c:pt idx="24">
                  <c:v>Rescate de Semoviente</c:v>
                </c:pt>
                <c:pt idx="25">
                  <c:v>Despeje de Via por caida de arbol</c:v>
                </c:pt>
                <c:pt idx="26">
                  <c:v>Control de Serpiente</c:v>
                </c:pt>
                <c:pt idx="27">
                  <c:v>Caida de Arbol</c:v>
                </c:pt>
              </c:strCache>
            </c:strRef>
          </c:cat>
          <c:val>
            <c:numRef>
              <c:f>Hoja1!$B$2:$B$29</c:f>
              <c:numCache>
                <c:formatCode>General</c:formatCode>
                <c:ptCount val="28"/>
                <c:pt idx="0">
                  <c:v>414</c:v>
                </c:pt>
                <c:pt idx="1">
                  <c:v>42</c:v>
                </c:pt>
                <c:pt idx="2">
                  <c:v>22</c:v>
                </c:pt>
                <c:pt idx="3">
                  <c:v>25</c:v>
                </c:pt>
                <c:pt idx="4">
                  <c:v>2</c:v>
                </c:pt>
                <c:pt idx="5">
                  <c:v>91</c:v>
                </c:pt>
                <c:pt idx="6">
                  <c:v>14</c:v>
                </c:pt>
                <c:pt idx="7">
                  <c:v>13</c:v>
                </c:pt>
                <c:pt idx="8">
                  <c:v>12</c:v>
                </c:pt>
                <c:pt idx="9">
                  <c:v>7</c:v>
                </c:pt>
                <c:pt idx="10">
                  <c:v>100</c:v>
                </c:pt>
                <c:pt idx="11">
                  <c:v>145</c:v>
                </c:pt>
                <c:pt idx="12">
                  <c:v>406</c:v>
                </c:pt>
                <c:pt idx="13">
                  <c:v>7</c:v>
                </c:pt>
                <c:pt idx="14">
                  <c:v>13</c:v>
                </c:pt>
                <c:pt idx="15">
                  <c:v>12</c:v>
                </c:pt>
                <c:pt idx="16">
                  <c:v>6</c:v>
                </c:pt>
                <c:pt idx="17">
                  <c:v>4</c:v>
                </c:pt>
                <c:pt idx="18">
                  <c:v>7</c:v>
                </c:pt>
                <c:pt idx="19">
                  <c:v>7</c:v>
                </c:pt>
                <c:pt idx="20">
                  <c:v>15</c:v>
                </c:pt>
                <c:pt idx="21">
                  <c:v>21</c:v>
                </c:pt>
                <c:pt idx="22">
                  <c:v>3</c:v>
                </c:pt>
                <c:pt idx="23">
                  <c:v>1</c:v>
                </c:pt>
                <c:pt idx="24">
                  <c:v>3</c:v>
                </c:pt>
                <c:pt idx="25">
                  <c:v>1</c:v>
                </c:pt>
                <c:pt idx="26">
                  <c:v>1</c:v>
                </c:pt>
                <c:pt idx="27">
                  <c:v>2</c:v>
                </c:pt>
              </c:numCache>
            </c:numRef>
          </c:val>
        </c:ser>
        <c:ser>
          <c:idx val="1"/>
          <c:order val="1"/>
          <c:tx>
            <c:strRef>
              <c:f>Hoja1!$C$1</c:f>
              <c:strCache>
                <c:ptCount val="1"/>
                <c:pt idx="0">
                  <c:v>Serie 2</c:v>
                </c:pt>
              </c:strCache>
            </c:strRef>
          </c:tx>
          <c:invertIfNegative val="0"/>
          <c:cat>
            <c:strRef>
              <c:f>Hoja1!$A$2:$A$29</c:f>
              <c:strCache>
                <c:ptCount val="28"/>
                <c:pt idx="0">
                  <c:v>Transporte de Pacientes con Traumas</c:v>
                </c:pt>
                <c:pt idx="1">
                  <c:v>Servicio de Camillaje en la Zona Rural del Municipio (Unidades Bomberiles Rurales)</c:v>
                </c:pt>
                <c:pt idx="2">
                  <c:v>Accidentes Laborales</c:v>
                </c:pt>
                <c:pt idx="3">
                  <c:v>Incendios Estructurales</c:v>
                </c:pt>
                <c:pt idx="4">
                  <c:v>Conatos de Incendios Vehiculares</c:v>
                </c:pt>
                <c:pt idx="5">
                  <c:v>Accidentes de Transito</c:v>
                </c:pt>
                <c:pt idx="6">
                  <c:v>Control de Abejas Africanizadas y Avispas</c:v>
                </c:pt>
                <c:pt idx="7">
                  <c:v>Movilizacion de Cadaveres</c:v>
                </c:pt>
                <c:pt idx="8">
                  <c:v>Escape deGas Propano</c:v>
                </c:pt>
                <c:pt idx="9">
                  <c:v>Inspeccion Corto Circuito</c:v>
                </c:pt>
                <c:pt idx="10">
                  <c:v>Inspecciones Oculares a Viviendas</c:v>
                </c:pt>
                <c:pt idx="11">
                  <c:v>Notificaciones de Evacuacion</c:v>
                </c:pt>
                <c:pt idx="12">
                  <c:v>Revisiones a Locales Comerciales</c:v>
                </c:pt>
                <c:pt idx="13">
                  <c:v>Vendaval</c:v>
                </c:pt>
                <c:pt idx="14">
                  <c:v>Inundaciones</c:v>
                </c:pt>
                <c:pt idx="15">
                  <c:v>Deslizamientos</c:v>
                </c:pt>
                <c:pt idx="16">
                  <c:v>Desplome de Techo</c:v>
                </c:pt>
                <c:pt idx="17">
                  <c:v>Apoyo Corralejas</c:v>
                </c:pt>
                <c:pt idx="18">
                  <c:v>Apoyo Obra en La Maria</c:v>
                </c:pt>
                <c:pt idx="19">
                  <c:v>Colaboracion en la Revision de Ruptura de Tubos del Acueducto</c:v>
                </c:pt>
                <c:pt idx="20">
                  <c:v>Monitoreo de los Rios Las Estancias, Aguas Claras y Riosucio</c:v>
                </c:pt>
                <c:pt idx="21">
                  <c:v>Servicio de Carrotanque por problemas en en Acueducto en el Municipio</c:v>
                </c:pt>
                <c:pt idx="22">
                  <c:v>Busqueda y Rescate de Personas</c:v>
                </c:pt>
                <c:pt idx="23">
                  <c:v>Rescate de Canino</c:v>
                </c:pt>
                <c:pt idx="24">
                  <c:v>Rescate de Semoviente</c:v>
                </c:pt>
                <c:pt idx="25">
                  <c:v>Despeje de Via por caida de arbol</c:v>
                </c:pt>
                <c:pt idx="26">
                  <c:v>Control de Serpiente</c:v>
                </c:pt>
                <c:pt idx="27">
                  <c:v>Caida de Arbol</c:v>
                </c:pt>
              </c:strCache>
            </c:strRef>
          </c:cat>
          <c:val>
            <c:numRef>
              <c:f>Hoja1!$C$2:$C$29</c:f>
              <c:numCache>
                <c:formatCode>General</c:formatCode>
                <c:ptCount val="28"/>
              </c:numCache>
            </c:numRef>
          </c:val>
        </c:ser>
        <c:ser>
          <c:idx val="2"/>
          <c:order val="2"/>
          <c:tx>
            <c:strRef>
              <c:f>Hoja1!$D$1</c:f>
              <c:strCache>
                <c:ptCount val="1"/>
                <c:pt idx="0">
                  <c:v>Serie 3</c:v>
                </c:pt>
              </c:strCache>
            </c:strRef>
          </c:tx>
          <c:invertIfNegative val="0"/>
          <c:cat>
            <c:strRef>
              <c:f>Hoja1!$A$2:$A$29</c:f>
              <c:strCache>
                <c:ptCount val="28"/>
                <c:pt idx="0">
                  <c:v>Transporte de Pacientes con Traumas</c:v>
                </c:pt>
                <c:pt idx="1">
                  <c:v>Servicio de Camillaje en la Zona Rural del Municipio (Unidades Bomberiles Rurales)</c:v>
                </c:pt>
                <c:pt idx="2">
                  <c:v>Accidentes Laborales</c:v>
                </c:pt>
                <c:pt idx="3">
                  <c:v>Incendios Estructurales</c:v>
                </c:pt>
                <c:pt idx="4">
                  <c:v>Conatos de Incendios Vehiculares</c:v>
                </c:pt>
                <c:pt idx="5">
                  <c:v>Accidentes de Transito</c:v>
                </c:pt>
                <c:pt idx="6">
                  <c:v>Control de Abejas Africanizadas y Avispas</c:v>
                </c:pt>
                <c:pt idx="7">
                  <c:v>Movilizacion de Cadaveres</c:v>
                </c:pt>
                <c:pt idx="8">
                  <c:v>Escape deGas Propano</c:v>
                </c:pt>
                <c:pt idx="9">
                  <c:v>Inspeccion Corto Circuito</c:v>
                </c:pt>
                <c:pt idx="10">
                  <c:v>Inspecciones Oculares a Viviendas</c:v>
                </c:pt>
                <c:pt idx="11">
                  <c:v>Notificaciones de Evacuacion</c:v>
                </c:pt>
                <c:pt idx="12">
                  <c:v>Revisiones a Locales Comerciales</c:v>
                </c:pt>
                <c:pt idx="13">
                  <c:v>Vendaval</c:v>
                </c:pt>
                <c:pt idx="14">
                  <c:v>Inundaciones</c:v>
                </c:pt>
                <c:pt idx="15">
                  <c:v>Deslizamientos</c:v>
                </c:pt>
                <c:pt idx="16">
                  <c:v>Desplome de Techo</c:v>
                </c:pt>
                <c:pt idx="17">
                  <c:v>Apoyo Corralejas</c:v>
                </c:pt>
                <c:pt idx="18">
                  <c:v>Apoyo Obra en La Maria</c:v>
                </c:pt>
                <c:pt idx="19">
                  <c:v>Colaboracion en la Revision de Ruptura de Tubos del Acueducto</c:v>
                </c:pt>
                <c:pt idx="20">
                  <c:v>Monitoreo de los Rios Las Estancias, Aguas Claras y Riosucio</c:v>
                </c:pt>
                <c:pt idx="21">
                  <c:v>Servicio de Carrotanque por problemas en en Acueducto en el Municipio</c:v>
                </c:pt>
                <c:pt idx="22">
                  <c:v>Busqueda y Rescate de Personas</c:v>
                </c:pt>
                <c:pt idx="23">
                  <c:v>Rescate de Canino</c:v>
                </c:pt>
                <c:pt idx="24">
                  <c:v>Rescate de Semoviente</c:v>
                </c:pt>
                <c:pt idx="25">
                  <c:v>Despeje de Via por caida de arbol</c:v>
                </c:pt>
                <c:pt idx="26">
                  <c:v>Control de Serpiente</c:v>
                </c:pt>
                <c:pt idx="27">
                  <c:v>Caida de Arbol</c:v>
                </c:pt>
              </c:strCache>
            </c:strRef>
          </c:cat>
          <c:val>
            <c:numRef>
              <c:f>Hoja1!$D$2:$D$29</c:f>
              <c:numCache>
                <c:formatCode>General</c:formatCode>
                <c:ptCount val="28"/>
              </c:numCache>
            </c:numRef>
          </c:val>
        </c:ser>
        <c:dLbls>
          <c:showLegendKey val="0"/>
          <c:showVal val="0"/>
          <c:showCatName val="0"/>
          <c:showSerName val="0"/>
          <c:showPercent val="0"/>
          <c:showBubbleSize val="0"/>
        </c:dLbls>
        <c:gapWidth val="150"/>
        <c:axId val="92780032"/>
        <c:axId val="92781568"/>
      </c:barChart>
      <c:catAx>
        <c:axId val="92780032"/>
        <c:scaling>
          <c:orientation val="minMax"/>
        </c:scaling>
        <c:delete val="0"/>
        <c:axPos val="b"/>
        <c:numFmt formatCode="General" sourceLinked="1"/>
        <c:majorTickMark val="out"/>
        <c:minorTickMark val="none"/>
        <c:tickLblPos val="nextTo"/>
        <c:txPr>
          <a:bodyPr/>
          <a:lstStyle/>
          <a:p>
            <a:pPr>
              <a:defRPr b="1"/>
            </a:pPr>
            <a:endParaRPr lang="es-CO"/>
          </a:p>
        </c:txPr>
        <c:crossAx val="92781568"/>
        <c:crosses val="autoZero"/>
        <c:auto val="1"/>
        <c:lblAlgn val="ctr"/>
        <c:lblOffset val="100"/>
        <c:noMultiLvlLbl val="0"/>
      </c:catAx>
      <c:valAx>
        <c:axId val="92781568"/>
        <c:scaling>
          <c:orientation val="minMax"/>
        </c:scaling>
        <c:delete val="0"/>
        <c:axPos val="l"/>
        <c:majorGridlines/>
        <c:numFmt formatCode="General" sourceLinked="1"/>
        <c:majorTickMark val="out"/>
        <c:minorTickMark val="none"/>
        <c:tickLblPos val="nextTo"/>
        <c:txPr>
          <a:bodyPr/>
          <a:lstStyle/>
          <a:p>
            <a:pPr>
              <a:defRPr b="1"/>
            </a:pPr>
            <a:endParaRPr lang="es-CO"/>
          </a:p>
        </c:txPr>
        <c:crossAx val="92780032"/>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CO"/>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s-ES_tradnl"/>
            </a:pPr>
            <a:r>
              <a:rPr lang="es-ES_tradnl" sz="1100" baseline="0"/>
              <a:t>Cobertura Total para Educación Básica Primaria</a:t>
            </a:r>
            <a:endParaRPr lang="es-ES_tradnl" sz="1100"/>
          </a:p>
        </c:rich>
      </c:tx>
      <c:overlay val="1"/>
    </c:title>
    <c:autoTitleDeleted val="0"/>
    <c:plotArea>
      <c:layout/>
      <c:lineChart>
        <c:grouping val="stacked"/>
        <c:varyColors val="1"/>
        <c:ser>
          <c:idx val="0"/>
          <c:order val="0"/>
          <c:tx>
            <c:v>TASA NETA</c:v>
          </c:tx>
          <c:spPr>
            <a:ln w="38100">
              <a:solidFill>
                <a:srgbClr val="7030A0"/>
              </a:solidFill>
            </a:ln>
          </c:spPr>
          <c:marker>
            <c:symbol val="star"/>
            <c:size val="9"/>
          </c:marker>
          <c:cat>
            <c:strRef>
              <c:f>'TASA NETA PRIM.'!$A$6:$A$11</c:f>
              <c:strCache>
                <c:ptCount val="6"/>
                <c:pt idx="0">
                  <c:v>año 2005</c:v>
                </c:pt>
                <c:pt idx="1">
                  <c:v>año 2006</c:v>
                </c:pt>
                <c:pt idx="2">
                  <c:v>año 2007</c:v>
                </c:pt>
                <c:pt idx="3">
                  <c:v>año 2008</c:v>
                </c:pt>
                <c:pt idx="4">
                  <c:v>año 2009</c:v>
                </c:pt>
                <c:pt idx="5">
                  <c:v>año 2010</c:v>
                </c:pt>
              </c:strCache>
            </c:strRef>
          </c:cat>
          <c:val>
            <c:numRef>
              <c:f>'TASA NETA PRIM.'!$B$6:$B$11</c:f>
              <c:numCache>
                <c:formatCode>0.0</c:formatCode>
                <c:ptCount val="6"/>
                <c:pt idx="0">
                  <c:v>86.712882726747523</c:v>
                </c:pt>
                <c:pt idx="1">
                  <c:v>87.312997862832702</c:v>
                </c:pt>
                <c:pt idx="2">
                  <c:v>87.120767273439</c:v>
                </c:pt>
                <c:pt idx="3">
                  <c:v>81.035840882237082</c:v>
                </c:pt>
                <c:pt idx="4">
                  <c:v>82.446071640609546</c:v>
                </c:pt>
                <c:pt idx="5">
                  <c:v>82.040572792362752</c:v>
                </c:pt>
              </c:numCache>
            </c:numRef>
          </c:val>
          <c:smooth val="1"/>
        </c:ser>
        <c:dLbls>
          <c:showLegendKey val="0"/>
          <c:showVal val="0"/>
          <c:showCatName val="0"/>
          <c:showSerName val="0"/>
          <c:showPercent val="0"/>
          <c:showBubbleSize val="0"/>
        </c:dLbls>
        <c:marker val="1"/>
        <c:smooth val="0"/>
        <c:axId val="90559616"/>
        <c:axId val="90561152"/>
      </c:lineChart>
      <c:catAx>
        <c:axId val="90559616"/>
        <c:scaling>
          <c:orientation val="minMax"/>
        </c:scaling>
        <c:delete val="1"/>
        <c:axPos val="b"/>
        <c:numFmt formatCode="General" sourceLinked="1"/>
        <c:majorTickMark val="none"/>
        <c:minorTickMark val="cross"/>
        <c:tickLblPos val="none"/>
        <c:crossAx val="90561152"/>
        <c:crosses val="autoZero"/>
        <c:auto val="1"/>
        <c:lblAlgn val="ctr"/>
        <c:lblOffset val="100"/>
        <c:noMultiLvlLbl val="1"/>
      </c:catAx>
      <c:valAx>
        <c:axId val="90561152"/>
        <c:scaling>
          <c:orientation val="minMax"/>
          <c:max val="100"/>
          <c:min val="10"/>
        </c:scaling>
        <c:delete val="1"/>
        <c:axPos val="l"/>
        <c:majorGridlines/>
        <c:numFmt formatCode="0.0" sourceLinked="1"/>
        <c:majorTickMark val="none"/>
        <c:minorTickMark val="cross"/>
        <c:tickLblPos val="none"/>
        <c:crossAx val="90559616"/>
        <c:crosses val="autoZero"/>
        <c:crossBetween val="between"/>
      </c:valAx>
      <c:dTable>
        <c:showHorzBorder val="1"/>
        <c:showVertBorder val="1"/>
        <c:showOutline val="1"/>
        <c:showKeys val="1"/>
        <c:txPr>
          <a:bodyPr/>
          <a:lstStyle/>
          <a:p>
            <a:pPr rtl="0">
              <a:defRPr lang="es-ES_tradnl"/>
            </a:pPr>
            <a:endParaRPr lang="es-CO"/>
          </a:p>
        </c:txPr>
      </c:dTable>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plotArea>
    <c:plotVisOnly val="1"/>
    <c:dispBlanksAs val="zero"/>
    <c:showDLblsOverMax val="1"/>
  </c:chart>
  <c:externalData r:id="rId1">
    <c:autoUpdate val="1"/>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CO"/>
  <c:roundedCorners val="1"/>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lang="es-ES_tradnl"/>
            </a:pPr>
            <a:r>
              <a:rPr lang="es-ES_tradnl" sz="1200" b="1" i="0" baseline="0"/>
              <a:t>Cobertura total para Educación Básica Secundaria</a:t>
            </a:r>
          </a:p>
        </c:rich>
      </c:tx>
      <c:overlay val="1"/>
    </c:title>
    <c:autoTitleDeleted val="0"/>
    <c:plotArea>
      <c:layout/>
      <c:lineChart>
        <c:grouping val="stacked"/>
        <c:varyColors val="1"/>
        <c:ser>
          <c:idx val="0"/>
          <c:order val="0"/>
          <c:tx>
            <c:v>TASA NETA</c:v>
          </c:tx>
          <c:cat>
            <c:strRef>
              <c:f>'TASA NETA SEC.'!$A$2:$A$7</c:f>
              <c:strCache>
                <c:ptCount val="6"/>
                <c:pt idx="0">
                  <c:v>año 2005</c:v>
                </c:pt>
                <c:pt idx="1">
                  <c:v>año 2006</c:v>
                </c:pt>
                <c:pt idx="2">
                  <c:v>año 2007</c:v>
                </c:pt>
                <c:pt idx="3">
                  <c:v>año 2008</c:v>
                </c:pt>
                <c:pt idx="4">
                  <c:v>año 2009</c:v>
                </c:pt>
                <c:pt idx="5">
                  <c:v>año 2010</c:v>
                </c:pt>
              </c:strCache>
            </c:strRef>
          </c:cat>
          <c:val>
            <c:numRef>
              <c:f>'TASA NETA SEC.'!$B$2:$B$7</c:f>
              <c:numCache>
                <c:formatCode>0.0</c:formatCode>
                <c:ptCount val="6"/>
                <c:pt idx="0">
                  <c:v>57</c:v>
                </c:pt>
                <c:pt idx="1">
                  <c:v>58.6</c:v>
                </c:pt>
                <c:pt idx="2">
                  <c:v>59.5</c:v>
                </c:pt>
                <c:pt idx="3">
                  <c:v>57.5</c:v>
                </c:pt>
                <c:pt idx="4">
                  <c:v>61.8</c:v>
                </c:pt>
                <c:pt idx="5">
                  <c:v>65.400000000000006</c:v>
                </c:pt>
              </c:numCache>
            </c:numRef>
          </c:val>
          <c:smooth val="1"/>
        </c:ser>
        <c:dLbls>
          <c:showLegendKey val="0"/>
          <c:showVal val="0"/>
          <c:showCatName val="0"/>
          <c:showSerName val="0"/>
          <c:showPercent val="0"/>
          <c:showBubbleSize val="0"/>
        </c:dLbls>
        <c:marker val="1"/>
        <c:smooth val="0"/>
        <c:axId val="90853760"/>
        <c:axId val="90855296"/>
      </c:lineChart>
      <c:catAx>
        <c:axId val="90853760"/>
        <c:scaling>
          <c:orientation val="minMax"/>
        </c:scaling>
        <c:delete val="1"/>
        <c:axPos val="b"/>
        <c:numFmt formatCode="General" sourceLinked="1"/>
        <c:majorTickMark val="none"/>
        <c:minorTickMark val="cross"/>
        <c:tickLblPos val="none"/>
        <c:crossAx val="90855296"/>
        <c:crosses val="autoZero"/>
        <c:auto val="1"/>
        <c:lblAlgn val="ctr"/>
        <c:lblOffset val="100"/>
        <c:noMultiLvlLbl val="1"/>
      </c:catAx>
      <c:valAx>
        <c:axId val="90855296"/>
        <c:scaling>
          <c:orientation val="minMax"/>
          <c:min val="52"/>
        </c:scaling>
        <c:delete val="1"/>
        <c:axPos val="l"/>
        <c:majorGridlines/>
        <c:numFmt formatCode="0.0" sourceLinked="1"/>
        <c:majorTickMark val="none"/>
        <c:minorTickMark val="cross"/>
        <c:tickLblPos val="none"/>
        <c:crossAx val="90853760"/>
        <c:crosses val="autoZero"/>
        <c:crossBetween val="between"/>
      </c:valAx>
      <c:dTable>
        <c:showHorzBorder val="1"/>
        <c:showVertBorder val="1"/>
        <c:showOutline val="1"/>
        <c:showKeys val="1"/>
        <c:txPr>
          <a:bodyPr/>
          <a:lstStyle/>
          <a:p>
            <a:pPr rtl="0">
              <a:defRPr lang="es-ES_tradnl"/>
            </a:pPr>
            <a:endParaRPr lang="es-CO"/>
          </a:p>
        </c:txPr>
      </c:dTable>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plotArea>
    <c:plotVisOnly val="1"/>
    <c:dispBlanksAs val="zero"/>
    <c:showDLblsOverMax val="1"/>
  </c:chart>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CO"/>
  <c:roundedCorners val="1"/>
  <mc:AlternateContent xmlns:mc="http://schemas.openxmlformats.org/markup-compatibility/2006">
    <mc:Choice xmlns:c14="http://schemas.microsoft.com/office/drawing/2007/8/2/chart" Requires="c14">
      <c14:style val="105"/>
    </mc:Choice>
    <mc:Fallback>
      <c:style val="5"/>
    </mc:Fallback>
  </mc:AlternateContent>
  <c:chart>
    <c:title>
      <c:tx>
        <c:rich>
          <a:bodyPr/>
          <a:lstStyle/>
          <a:p>
            <a:pPr>
              <a:defRPr lang="es-ES_tradnl"/>
            </a:pPr>
            <a:r>
              <a:rPr lang="es-ES_tradnl"/>
              <a:t>Pruebas SABER 11</a:t>
            </a:r>
          </a:p>
        </c:rich>
      </c:tx>
      <c:overlay val="1"/>
    </c:title>
    <c:autoTitleDeleted val="0"/>
    <c:view3D>
      <c:rotX val="0"/>
      <c:rotY val="0"/>
      <c:depthPercent val="100"/>
      <c:rAngAx val="1"/>
    </c:view3D>
    <c:floor>
      <c:thickness val="0"/>
    </c:floor>
    <c:sideWall>
      <c:thickness val="0"/>
    </c:sideWall>
    <c:backWall>
      <c:thickness val="0"/>
    </c:backWall>
    <c:plotArea>
      <c:layout/>
      <c:bar3DChart>
        <c:barDir val="col"/>
        <c:grouping val="clustered"/>
        <c:varyColors val="1"/>
        <c:ser>
          <c:idx val="0"/>
          <c:order val="0"/>
          <c:tx>
            <c:v>CALDAS</c:v>
          </c:tx>
          <c:invertIfNegative val="1"/>
          <c:cat>
            <c:strRef>
              <c:f>'TASA DECERSION'!$A$58:$A$63</c:f>
              <c:strCache>
                <c:ptCount val="6"/>
                <c:pt idx="0">
                  <c:v>año 2005</c:v>
                </c:pt>
                <c:pt idx="1">
                  <c:v>año 2006</c:v>
                </c:pt>
                <c:pt idx="2">
                  <c:v>año 2007</c:v>
                </c:pt>
                <c:pt idx="3">
                  <c:v>año 2008</c:v>
                </c:pt>
                <c:pt idx="4">
                  <c:v>año 2009</c:v>
                </c:pt>
                <c:pt idx="5">
                  <c:v>año 2010</c:v>
                </c:pt>
              </c:strCache>
            </c:strRef>
          </c:cat>
          <c:val>
            <c:numRef>
              <c:f>'TASA DECERSION'!$B$58:$B$63</c:f>
              <c:numCache>
                <c:formatCode>General</c:formatCode>
                <c:ptCount val="6"/>
                <c:pt idx="0">
                  <c:v>45.08</c:v>
                </c:pt>
                <c:pt idx="1">
                  <c:v>46.3</c:v>
                </c:pt>
                <c:pt idx="2">
                  <c:v>44.67</c:v>
                </c:pt>
                <c:pt idx="3">
                  <c:v>44.660000000000004</c:v>
                </c:pt>
                <c:pt idx="4">
                  <c:v>44.5</c:v>
                </c:pt>
                <c:pt idx="5">
                  <c:v>44.82</c:v>
                </c:pt>
              </c:numCache>
            </c:numRef>
          </c:val>
        </c:ser>
        <c:ser>
          <c:idx val="1"/>
          <c:order val="1"/>
          <c:tx>
            <c:v>RIOSUCIO</c:v>
          </c:tx>
          <c:invertIfNegative val="1"/>
          <c:cat>
            <c:strRef>
              <c:f>'TASA DECERSION'!$A$58:$A$63</c:f>
              <c:strCache>
                <c:ptCount val="6"/>
                <c:pt idx="0">
                  <c:v>año 2005</c:v>
                </c:pt>
                <c:pt idx="1">
                  <c:v>año 2006</c:v>
                </c:pt>
                <c:pt idx="2">
                  <c:v>año 2007</c:v>
                </c:pt>
                <c:pt idx="3">
                  <c:v>año 2008</c:v>
                </c:pt>
                <c:pt idx="4">
                  <c:v>año 2009</c:v>
                </c:pt>
                <c:pt idx="5">
                  <c:v>año 2010</c:v>
                </c:pt>
              </c:strCache>
            </c:strRef>
          </c:cat>
          <c:val>
            <c:numRef>
              <c:f>'TASA DECERSION'!$C$58:$C$63</c:f>
              <c:numCache>
                <c:formatCode>General</c:formatCode>
                <c:ptCount val="6"/>
                <c:pt idx="0">
                  <c:v>45.6</c:v>
                </c:pt>
                <c:pt idx="1">
                  <c:v>46.06</c:v>
                </c:pt>
                <c:pt idx="2">
                  <c:v>44.44</c:v>
                </c:pt>
                <c:pt idx="3">
                  <c:v>44.949999999999996</c:v>
                </c:pt>
                <c:pt idx="4">
                  <c:v>44.08</c:v>
                </c:pt>
                <c:pt idx="5">
                  <c:v>44.309999999999995</c:v>
                </c:pt>
              </c:numCache>
            </c:numRef>
          </c:val>
        </c:ser>
        <c:dLbls>
          <c:showLegendKey val="0"/>
          <c:showVal val="0"/>
          <c:showCatName val="0"/>
          <c:showSerName val="0"/>
          <c:showPercent val="0"/>
          <c:showBubbleSize val="0"/>
        </c:dLbls>
        <c:gapWidth val="150"/>
        <c:shape val="cylinder"/>
        <c:axId val="90896256"/>
        <c:axId val="90897792"/>
        <c:axId val="0"/>
      </c:bar3DChart>
      <c:catAx>
        <c:axId val="90896256"/>
        <c:scaling>
          <c:orientation val="minMax"/>
        </c:scaling>
        <c:delete val="1"/>
        <c:axPos val="b"/>
        <c:numFmt formatCode="General" sourceLinked="1"/>
        <c:majorTickMark val="none"/>
        <c:minorTickMark val="cross"/>
        <c:tickLblPos val="none"/>
        <c:crossAx val="90897792"/>
        <c:crosses val="autoZero"/>
        <c:auto val="1"/>
        <c:lblAlgn val="ctr"/>
        <c:lblOffset val="100"/>
        <c:noMultiLvlLbl val="1"/>
      </c:catAx>
      <c:valAx>
        <c:axId val="90897792"/>
        <c:scaling>
          <c:orientation val="minMax"/>
        </c:scaling>
        <c:delete val="1"/>
        <c:axPos val="l"/>
        <c:majorGridlines/>
        <c:numFmt formatCode="General" sourceLinked="1"/>
        <c:majorTickMark val="none"/>
        <c:minorTickMark val="cross"/>
        <c:tickLblPos val="none"/>
        <c:crossAx val="90896256"/>
        <c:crosses val="autoZero"/>
        <c:crossBetween val="between"/>
      </c:valAx>
      <c:dTable>
        <c:showHorzBorder val="1"/>
        <c:showVertBorder val="1"/>
        <c:showOutline val="1"/>
        <c:showKeys val="1"/>
        <c:txPr>
          <a:bodyPr/>
          <a:lstStyle/>
          <a:p>
            <a:pPr rtl="0">
              <a:defRPr lang="es-ES_tradnl"/>
            </a:pPr>
            <a:endParaRPr lang="es-CO"/>
          </a:p>
        </c:txPr>
      </c:dTable>
      <c:spPr>
        <a:noFill/>
        <a:ln w="25400">
          <a:noFill/>
        </a:ln>
      </c:spPr>
    </c:plotArea>
    <c:plotVisOnly val="1"/>
    <c:dispBlanksAs val="gap"/>
    <c:showDLblsOverMax val="1"/>
  </c:chart>
  <c:externalData r:id="rId1">
    <c:autoUpdate val="1"/>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sz="897"/>
            </a:pPr>
            <a:r>
              <a:rPr lang="es-ES" sz="899"/>
              <a:t>Resguardo Nuestra Señora Candelaria La Montaña</a:t>
            </a:r>
          </a:p>
          <a:p>
            <a:pPr>
              <a:defRPr sz="897"/>
            </a:pPr>
            <a:r>
              <a:rPr lang="es-ES" sz="899"/>
              <a:t>Subsidio monetario del Gobierno</a:t>
            </a:r>
          </a:p>
          <a:p>
            <a:pPr>
              <a:defRPr sz="897"/>
            </a:pPr>
            <a:endParaRPr lang="es-ES" sz="900"/>
          </a:p>
        </c:rich>
      </c:tx>
      <c:layout>
        <c:manualLayout>
          <c:xMode val="edge"/>
          <c:yMode val="edge"/>
          <c:x val="0.11226987802995214"/>
          <c:y val="2.3555104392438742E-2"/>
        </c:manualLayout>
      </c:layout>
      <c:overlay val="0"/>
    </c:title>
    <c:autoTitleDeleted val="0"/>
    <c:plotArea>
      <c:layout/>
      <c:barChart>
        <c:barDir val="col"/>
        <c:grouping val="clustered"/>
        <c:varyColors val="0"/>
        <c:ser>
          <c:idx val="0"/>
          <c:order val="0"/>
          <c:tx>
            <c:strRef>
              <c:f>Hoja1!$B$1</c:f>
              <c:strCache>
                <c:ptCount val="1"/>
                <c:pt idx="0">
                  <c:v>Numeros de prorizados</c:v>
                </c:pt>
              </c:strCache>
            </c:strRef>
          </c:tx>
          <c:invertIfNegative val="0"/>
          <c:dPt>
            <c:idx val="0"/>
            <c:invertIfNegative val="0"/>
            <c:bubble3D val="0"/>
            <c:spPr>
              <a:solidFill>
                <a:srgbClr val="7030A0"/>
              </a:solidFill>
            </c:spPr>
          </c:dPt>
          <c:dPt>
            <c:idx val="2"/>
            <c:invertIfNegative val="0"/>
            <c:bubble3D val="0"/>
            <c:spPr>
              <a:solidFill>
                <a:schemeClr val="accent4">
                  <a:lumMod val="40000"/>
                  <a:lumOff val="60000"/>
                </a:schemeClr>
              </a:solidFill>
            </c:spPr>
          </c:dPt>
          <c:dLbls>
            <c:dLblPos val="outEnd"/>
            <c:showLegendKey val="0"/>
            <c:showVal val="1"/>
            <c:showCatName val="0"/>
            <c:showSerName val="0"/>
            <c:showPercent val="0"/>
            <c:showBubbleSize val="0"/>
            <c:showLeaderLines val="0"/>
          </c:dLbls>
          <c:cat>
            <c:strRef>
              <c:f>Hoja1!$A$2:$A$4</c:f>
              <c:strCache>
                <c:ptCount val="3"/>
                <c:pt idx="0">
                  <c:v>No. Priorizados      277</c:v>
                </c:pt>
                <c:pt idx="1">
                  <c:v>Reciben Pago         </c:v>
                </c:pt>
                <c:pt idx="2">
                  <c:v>Sin Priorizar            </c:v>
                </c:pt>
              </c:strCache>
            </c:strRef>
          </c:cat>
          <c:val>
            <c:numRef>
              <c:f>Hoja1!$B$2:$B$4</c:f>
              <c:numCache>
                <c:formatCode>General</c:formatCode>
                <c:ptCount val="3"/>
                <c:pt idx="0">
                  <c:v>277</c:v>
                </c:pt>
                <c:pt idx="1">
                  <c:v>204</c:v>
                </c:pt>
                <c:pt idx="2">
                  <c:v>300</c:v>
                </c:pt>
              </c:numCache>
            </c:numRef>
          </c:val>
        </c:ser>
        <c:dLbls>
          <c:showLegendKey val="0"/>
          <c:showVal val="0"/>
          <c:showCatName val="0"/>
          <c:showSerName val="0"/>
          <c:showPercent val="0"/>
          <c:showBubbleSize val="0"/>
        </c:dLbls>
        <c:gapWidth val="75"/>
        <c:overlap val="-25"/>
        <c:axId val="90930176"/>
        <c:axId val="90968832"/>
      </c:barChart>
      <c:catAx>
        <c:axId val="90930176"/>
        <c:scaling>
          <c:orientation val="minMax"/>
        </c:scaling>
        <c:delete val="0"/>
        <c:axPos val="b"/>
        <c:numFmt formatCode="General" sourceLinked="1"/>
        <c:majorTickMark val="none"/>
        <c:minorTickMark val="none"/>
        <c:tickLblPos val="nextTo"/>
        <c:crossAx val="90968832"/>
        <c:crosses val="autoZero"/>
        <c:auto val="1"/>
        <c:lblAlgn val="ctr"/>
        <c:lblOffset val="100"/>
        <c:noMultiLvlLbl val="0"/>
      </c:catAx>
      <c:valAx>
        <c:axId val="90968832"/>
        <c:scaling>
          <c:orientation val="minMax"/>
        </c:scaling>
        <c:delete val="0"/>
        <c:axPos val="l"/>
        <c:majorGridlines/>
        <c:numFmt formatCode="General" sourceLinked="1"/>
        <c:majorTickMark val="none"/>
        <c:minorTickMark val="none"/>
        <c:tickLblPos val="nextTo"/>
        <c:crossAx val="90930176"/>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title>
      <c:tx>
        <c:rich>
          <a:bodyPr/>
          <a:lstStyle/>
          <a:p>
            <a:pPr>
              <a:defRPr sz="903"/>
            </a:pPr>
            <a:r>
              <a:rPr lang="es-ES" sz="901"/>
              <a:t>Resguardo Cañamomo Lomaprieta</a:t>
            </a:r>
          </a:p>
          <a:p>
            <a:pPr>
              <a:defRPr sz="903"/>
            </a:pPr>
            <a:r>
              <a:rPr lang="es-ES" sz="901"/>
              <a:t>Subsidio monetario del Gobierno</a:t>
            </a:r>
          </a:p>
          <a:p>
            <a:pPr>
              <a:defRPr sz="903"/>
            </a:pPr>
            <a:endParaRPr lang="es-ES" sz="900"/>
          </a:p>
        </c:rich>
      </c:tx>
      <c:overlay val="0"/>
    </c:title>
    <c:autoTitleDeleted val="0"/>
    <c:plotArea>
      <c:layout>
        <c:manualLayout>
          <c:layoutTarget val="inner"/>
          <c:xMode val="edge"/>
          <c:yMode val="edge"/>
          <c:x val="7.2864965953329947E-2"/>
          <c:y val="0.22228405182470509"/>
          <c:w val="0.90372571314286565"/>
          <c:h val="0.67752786696865475"/>
        </c:manualLayout>
      </c:layout>
      <c:barChart>
        <c:barDir val="col"/>
        <c:grouping val="clustered"/>
        <c:varyColors val="0"/>
        <c:ser>
          <c:idx val="0"/>
          <c:order val="0"/>
          <c:tx>
            <c:strRef>
              <c:f>Hoja1!$B$1</c:f>
              <c:strCache>
                <c:ptCount val="1"/>
                <c:pt idx="0">
                  <c:v>Columna3</c:v>
                </c:pt>
              </c:strCache>
            </c:strRef>
          </c:tx>
          <c:spPr>
            <a:solidFill>
              <a:schemeClr val="accent2">
                <a:lumMod val="50000"/>
              </a:schemeClr>
            </a:solidFill>
          </c:spPr>
          <c:invertIfNegative val="0"/>
          <c:dPt>
            <c:idx val="0"/>
            <c:invertIfNegative val="0"/>
            <c:bubble3D val="0"/>
            <c:spPr>
              <a:solidFill>
                <a:schemeClr val="accent2">
                  <a:lumMod val="40000"/>
                  <a:lumOff val="60000"/>
                </a:schemeClr>
              </a:solidFill>
            </c:spPr>
          </c:dPt>
          <c:dPt>
            <c:idx val="1"/>
            <c:invertIfNegative val="0"/>
            <c:bubble3D val="0"/>
            <c:spPr>
              <a:solidFill>
                <a:schemeClr val="accent2">
                  <a:lumMod val="75000"/>
                </a:schemeClr>
              </a:solidFill>
            </c:spPr>
          </c:dPt>
          <c:dLbls>
            <c:dLblPos val="outEnd"/>
            <c:showLegendKey val="0"/>
            <c:showVal val="1"/>
            <c:showCatName val="0"/>
            <c:showSerName val="0"/>
            <c:showPercent val="0"/>
            <c:showBubbleSize val="0"/>
            <c:showLeaderLines val="0"/>
          </c:dLbls>
          <c:cat>
            <c:strRef>
              <c:f>Hoja1!$A$2:$A$4</c:f>
              <c:strCache>
                <c:ptCount val="3"/>
                <c:pt idx="0">
                  <c:v>No. Priorizados        </c:v>
                </c:pt>
                <c:pt idx="1">
                  <c:v>Reciben Pago           </c:v>
                </c:pt>
                <c:pt idx="2">
                  <c:v>Sin Priorizar              </c:v>
                </c:pt>
              </c:strCache>
            </c:strRef>
          </c:cat>
          <c:val>
            <c:numRef>
              <c:f>Hoja1!$B$2:$B$4</c:f>
              <c:numCache>
                <c:formatCode>General</c:formatCode>
                <c:ptCount val="3"/>
                <c:pt idx="0">
                  <c:v>531</c:v>
                </c:pt>
                <c:pt idx="1">
                  <c:v>148</c:v>
                </c:pt>
                <c:pt idx="2">
                  <c:v>350</c:v>
                </c:pt>
              </c:numCache>
            </c:numRef>
          </c:val>
        </c:ser>
        <c:dLbls>
          <c:showLegendKey val="0"/>
          <c:showVal val="0"/>
          <c:showCatName val="0"/>
          <c:showSerName val="0"/>
          <c:showPercent val="0"/>
          <c:showBubbleSize val="0"/>
        </c:dLbls>
        <c:gapWidth val="150"/>
        <c:axId val="92415488"/>
        <c:axId val="92417024"/>
      </c:barChart>
      <c:catAx>
        <c:axId val="92415488"/>
        <c:scaling>
          <c:orientation val="minMax"/>
        </c:scaling>
        <c:delete val="0"/>
        <c:axPos val="b"/>
        <c:numFmt formatCode="General" sourceLinked="1"/>
        <c:majorTickMark val="out"/>
        <c:minorTickMark val="none"/>
        <c:tickLblPos val="nextTo"/>
        <c:crossAx val="92417024"/>
        <c:crosses val="autoZero"/>
        <c:auto val="1"/>
        <c:lblAlgn val="ctr"/>
        <c:lblOffset val="100"/>
        <c:noMultiLvlLbl val="0"/>
      </c:catAx>
      <c:valAx>
        <c:axId val="92417024"/>
        <c:scaling>
          <c:orientation val="minMax"/>
        </c:scaling>
        <c:delete val="0"/>
        <c:axPos val="l"/>
        <c:majorGridlines/>
        <c:numFmt formatCode="General" sourceLinked="1"/>
        <c:majorTickMark val="out"/>
        <c:minorTickMark val="none"/>
        <c:tickLblPos val="nextTo"/>
        <c:crossAx val="92415488"/>
        <c:crosses val="autoZero"/>
        <c:crossBetween val="between"/>
      </c:valAx>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35"/>
    </mc:Choice>
    <mc:Fallback>
      <c:style val="35"/>
    </mc:Fallback>
  </mc:AlternateContent>
  <c:clrMapOvr bg1="lt1" tx1="dk1" bg2="lt2" tx2="dk2" accent1="accent1" accent2="accent2" accent3="accent3" accent4="accent4" accent5="accent5" accent6="accent6" hlink="hlink" folHlink="folHlink"/>
  <c:chart>
    <c:title>
      <c:tx>
        <c:rich>
          <a:bodyPr/>
          <a:lstStyle/>
          <a:p>
            <a:pPr>
              <a:defRPr sz="900"/>
            </a:pPr>
            <a:r>
              <a:rPr lang="es-ES" sz="900"/>
              <a:t>Resguardo Escopetera y Pirza</a:t>
            </a:r>
          </a:p>
          <a:p>
            <a:pPr>
              <a:defRPr sz="900"/>
            </a:pPr>
            <a:r>
              <a:rPr lang="es-ES" sz="900"/>
              <a:t>Subsidio monetario del Gobierno</a:t>
            </a:r>
          </a:p>
          <a:p>
            <a:pPr>
              <a:defRPr sz="900"/>
            </a:pPr>
            <a:endParaRPr lang="es-ES" sz="900"/>
          </a:p>
        </c:rich>
      </c:tx>
      <c:layout>
        <c:manualLayout>
          <c:xMode val="edge"/>
          <c:yMode val="edge"/>
          <c:x val="0.25236674119438784"/>
          <c:y val="3.7184157950405456E-3"/>
        </c:manualLayout>
      </c:layout>
      <c:overlay val="0"/>
    </c:title>
    <c:autoTitleDeleted val="0"/>
    <c:plotArea>
      <c:layout>
        <c:manualLayout>
          <c:layoutTarget val="inner"/>
          <c:xMode val="edge"/>
          <c:yMode val="edge"/>
          <c:x val="7.9919639674670334E-2"/>
          <c:y val="0.21234225721784786"/>
          <c:w val="0.90126789706842203"/>
          <c:h val="0.66388751406074265"/>
        </c:manualLayout>
      </c:layout>
      <c:barChart>
        <c:barDir val="col"/>
        <c:grouping val="clustered"/>
        <c:varyColors val="0"/>
        <c:ser>
          <c:idx val="0"/>
          <c:order val="0"/>
          <c:tx>
            <c:strRef>
              <c:f>Hoja1!$B$1</c:f>
              <c:strCache>
                <c:ptCount val="1"/>
                <c:pt idx="0">
                  <c:v>Columna1</c:v>
                </c:pt>
              </c:strCache>
            </c:strRef>
          </c:tx>
          <c:invertIfNegative val="0"/>
          <c:dPt>
            <c:idx val="0"/>
            <c:invertIfNegative val="0"/>
            <c:bubble3D val="0"/>
            <c:spPr>
              <a:solidFill>
                <a:schemeClr val="tx2">
                  <a:lumMod val="50000"/>
                </a:schemeClr>
              </a:solidFill>
            </c:spPr>
          </c:dPt>
          <c:dPt>
            <c:idx val="1"/>
            <c:invertIfNegative val="0"/>
            <c:bubble3D val="0"/>
            <c:spPr>
              <a:solidFill>
                <a:schemeClr val="accent1">
                  <a:lumMod val="40000"/>
                  <a:lumOff val="60000"/>
                </a:schemeClr>
              </a:solidFill>
            </c:spPr>
          </c:dPt>
          <c:dLbls>
            <c:dLblPos val="outEnd"/>
            <c:showLegendKey val="0"/>
            <c:showVal val="1"/>
            <c:showCatName val="0"/>
            <c:showSerName val="0"/>
            <c:showPercent val="0"/>
            <c:showBubbleSize val="0"/>
            <c:showLeaderLines val="0"/>
          </c:dLbls>
          <c:cat>
            <c:strRef>
              <c:f>Hoja1!$A$2:$A$4</c:f>
              <c:strCache>
                <c:ptCount val="3"/>
                <c:pt idx="0">
                  <c:v>No. Priorizados         </c:v>
                </c:pt>
                <c:pt idx="1">
                  <c:v>Reciben Pago            </c:v>
                </c:pt>
                <c:pt idx="2">
                  <c:v>Sin Priorizar               </c:v>
                </c:pt>
              </c:strCache>
            </c:strRef>
          </c:cat>
          <c:val>
            <c:numRef>
              <c:f>Hoja1!$B$2:$B$4</c:f>
              <c:numCache>
                <c:formatCode>General</c:formatCode>
                <c:ptCount val="3"/>
                <c:pt idx="0">
                  <c:v>290</c:v>
                </c:pt>
                <c:pt idx="1">
                  <c:v>172</c:v>
                </c:pt>
                <c:pt idx="2">
                  <c:v>250</c:v>
                </c:pt>
              </c:numCache>
            </c:numRef>
          </c:val>
        </c:ser>
        <c:dLbls>
          <c:showLegendKey val="0"/>
          <c:showVal val="0"/>
          <c:showCatName val="0"/>
          <c:showSerName val="0"/>
          <c:showPercent val="0"/>
          <c:showBubbleSize val="0"/>
        </c:dLbls>
        <c:gapWidth val="150"/>
        <c:axId val="92467200"/>
        <c:axId val="92468736"/>
      </c:barChart>
      <c:catAx>
        <c:axId val="92467200"/>
        <c:scaling>
          <c:orientation val="minMax"/>
        </c:scaling>
        <c:delete val="0"/>
        <c:axPos val="b"/>
        <c:numFmt formatCode="General" sourceLinked="1"/>
        <c:majorTickMark val="out"/>
        <c:minorTickMark val="none"/>
        <c:tickLblPos val="nextTo"/>
        <c:crossAx val="92468736"/>
        <c:crosses val="autoZero"/>
        <c:auto val="1"/>
        <c:lblAlgn val="ctr"/>
        <c:lblOffset val="100"/>
        <c:noMultiLvlLbl val="0"/>
      </c:catAx>
      <c:valAx>
        <c:axId val="92468736"/>
        <c:scaling>
          <c:orientation val="minMax"/>
        </c:scaling>
        <c:delete val="0"/>
        <c:axPos val="l"/>
        <c:majorGridlines/>
        <c:numFmt formatCode="General" sourceLinked="1"/>
        <c:majorTickMark val="out"/>
        <c:minorTickMark val="none"/>
        <c:tickLblPos val="nextTo"/>
        <c:crossAx val="92467200"/>
        <c:crosses val="autoZero"/>
        <c:crossBetween val="between"/>
      </c:valAx>
    </c:plotArea>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37"/>
    </mc:Choice>
    <mc:Fallback>
      <c:style val="37"/>
    </mc:Fallback>
  </mc:AlternateContent>
  <c:clrMapOvr bg1="lt1" tx1="dk1" bg2="lt2" tx2="dk2" accent1="accent1" accent2="accent2" accent3="accent3" accent4="accent4" accent5="accent5" accent6="accent6" hlink="hlink" folHlink="folHlink"/>
  <c:chart>
    <c:title>
      <c:tx>
        <c:rich>
          <a:bodyPr/>
          <a:lstStyle/>
          <a:p>
            <a:pPr>
              <a:defRPr sz="897"/>
            </a:pPr>
            <a:r>
              <a:rPr lang="es-ES" sz="899"/>
              <a:t>Alcaldía Municipal</a:t>
            </a:r>
          </a:p>
          <a:p>
            <a:pPr>
              <a:defRPr sz="897"/>
            </a:pPr>
            <a:r>
              <a:rPr lang="es-ES" sz="899"/>
              <a:t>Subsidio monetario del Gobierno</a:t>
            </a:r>
          </a:p>
          <a:p>
            <a:pPr>
              <a:defRPr sz="897"/>
            </a:pPr>
            <a:endParaRPr lang="es-ES" sz="900"/>
          </a:p>
        </c:rich>
      </c:tx>
      <c:overlay val="0"/>
    </c:title>
    <c:autoTitleDeleted val="0"/>
    <c:plotArea>
      <c:layout>
        <c:manualLayout>
          <c:layoutTarget val="inner"/>
          <c:xMode val="edge"/>
          <c:yMode val="edge"/>
          <c:x val="8.0084248728168245E-2"/>
          <c:y val="0.21438749807554044"/>
          <c:w val="0.83378991688538984"/>
          <c:h val="0.6936536480611768"/>
        </c:manualLayout>
      </c:layout>
      <c:barChart>
        <c:barDir val="col"/>
        <c:grouping val="clustered"/>
        <c:varyColors val="0"/>
        <c:ser>
          <c:idx val="0"/>
          <c:order val="0"/>
          <c:tx>
            <c:strRef>
              <c:f>Hoja1!$B$1</c:f>
              <c:strCache>
                <c:ptCount val="1"/>
                <c:pt idx="0">
                  <c:v>Columna3</c:v>
                </c:pt>
              </c:strCache>
            </c:strRef>
          </c:tx>
          <c:invertIfNegative val="0"/>
          <c:dPt>
            <c:idx val="1"/>
            <c:invertIfNegative val="0"/>
            <c:bubble3D val="0"/>
            <c:spPr>
              <a:solidFill>
                <a:srgbClr val="92D050"/>
              </a:solidFill>
            </c:spPr>
          </c:dPt>
          <c:dPt>
            <c:idx val="2"/>
            <c:invertIfNegative val="0"/>
            <c:bubble3D val="0"/>
            <c:spPr>
              <a:solidFill>
                <a:schemeClr val="accent3">
                  <a:lumMod val="40000"/>
                  <a:lumOff val="60000"/>
                </a:schemeClr>
              </a:solidFill>
            </c:spPr>
          </c:dPt>
          <c:dPt>
            <c:idx val="3"/>
            <c:invertIfNegative val="0"/>
            <c:bubble3D val="0"/>
            <c:spPr>
              <a:solidFill>
                <a:schemeClr val="accent3">
                  <a:lumMod val="50000"/>
                </a:schemeClr>
              </a:solidFill>
            </c:spPr>
          </c:dPt>
          <c:dLbls>
            <c:dLbl>
              <c:idx val="0"/>
              <c:layout>
                <c:manualLayout>
                  <c:x val="3.4722222222222233E-3"/>
                  <c:y val="5.4644808743169373E-3"/>
                </c:manualLayout>
              </c:layout>
              <c:spPr/>
              <c:txPr>
                <a:bodyPr/>
                <a:lstStyle/>
                <a:p>
                  <a:pPr>
                    <a:defRPr/>
                  </a:pPr>
                  <a:endParaRPr lang="es-CO"/>
                </a:p>
              </c:txPr>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strRef>
              <c:f>Hoja1!$A$2:$A$5</c:f>
              <c:strCache>
                <c:ptCount val="4"/>
                <c:pt idx="0">
                  <c:v>No. Priorizados       </c:v>
                </c:pt>
                <c:pt idx="1">
                  <c:v>Reciben Pago            </c:v>
                </c:pt>
                <c:pt idx="2">
                  <c:v>Sin Priorizar               </c:v>
                </c:pt>
                <c:pt idx="3">
                  <c:v>RPP</c:v>
                </c:pt>
              </c:strCache>
            </c:strRef>
          </c:cat>
          <c:val>
            <c:numRef>
              <c:f>Hoja1!$B$2:$B$5</c:f>
              <c:numCache>
                <c:formatCode>General</c:formatCode>
                <c:ptCount val="4"/>
                <c:pt idx="0">
                  <c:v>1856</c:v>
                </c:pt>
                <c:pt idx="1">
                  <c:v>453</c:v>
                </c:pt>
                <c:pt idx="2">
                  <c:v>300</c:v>
                </c:pt>
                <c:pt idx="3">
                  <c:v>110</c:v>
                </c:pt>
              </c:numCache>
            </c:numRef>
          </c:val>
        </c:ser>
        <c:dLbls>
          <c:showLegendKey val="0"/>
          <c:showVal val="0"/>
          <c:showCatName val="0"/>
          <c:showSerName val="0"/>
          <c:showPercent val="0"/>
          <c:showBubbleSize val="0"/>
        </c:dLbls>
        <c:gapWidth val="150"/>
        <c:axId val="92613248"/>
        <c:axId val="92619136"/>
      </c:barChart>
      <c:catAx>
        <c:axId val="92613248"/>
        <c:scaling>
          <c:orientation val="minMax"/>
        </c:scaling>
        <c:delete val="0"/>
        <c:axPos val="b"/>
        <c:numFmt formatCode="General" sourceLinked="1"/>
        <c:majorTickMark val="out"/>
        <c:minorTickMark val="none"/>
        <c:tickLblPos val="nextTo"/>
        <c:crossAx val="92619136"/>
        <c:crosses val="autoZero"/>
        <c:auto val="1"/>
        <c:lblAlgn val="ctr"/>
        <c:lblOffset val="100"/>
        <c:noMultiLvlLbl val="0"/>
      </c:catAx>
      <c:valAx>
        <c:axId val="92619136"/>
        <c:scaling>
          <c:orientation val="minMax"/>
        </c:scaling>
        <c:delete val="0"/>
        <c:axPos val="l"/>
        <c:majorGridlines/>
        <c:numFmt formatCode="General" sourceLinked="1"/>
        <c:majorTickMark val="out"/>
        <c:minorTickMark val="none"/>
        <c:tickLblPos val="nextTo"/>
        <c:crossAx val="92613248"/>
        <c:crosses val="autoZero"/>
        <c:crossBetween val="between"/>
      </c:valAx>
    </c:plotArea>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Hoja1!$B$1</c:f>
              <c:strCache>
                <c:ptCount val="1"/>
                <c:pt idx="0">
                  <c:v>Serie 1</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Hoja1!$B$2:$B$5</c:f>
              <c:numCache>
                <c:formatCode>General</c:formatCode>
                <c:ptCount val="4"/>
                <c:pt idx="0">
                  <c:v>771</c:v>
                </c:pt>
              </c:numCache>
            </c:numRef>
          </c:val>
        </c:ser>
        <c:ser>
          <c:idx val="1"/>
          <c:order val="1"/>
          <c:tx>
            <c:strRef>
              <c:f>Hoja1!$C$1</c:f>
              <c:strCache>
                <c:ptCount val="1"/>
                <c:pt idx="0">
                  <c:v>Serie 2</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Hoja1!$C$2:$C$5</c:f>
              <c:numCache>
                <c:formatCode>General</c:formatCode>
                <c:ptCount val="4"/>
                <c:pt idx="1">
                  <c:v>821</c:v>
                </c:pt>
              </c:numCache>
            </c:numRef>
          </c:val>
        </c:ser>
        <c:ser>
          <c:idx val="2"/>
          <c:order val="2"/>
          <c:tx>
            <c:strRef>
              <c:f>Hoja1!$D$1</c:f>
              <c:strCache>
                <c:ptCount val="1"/>
                <c:pt idx="0">
                  <c:v>Serie 3</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Hoja1!$D$2:$D$5</c:f>
              <c:numCache>
                <c:formatCode>General</c:formatCode>
                <c:ptCount val="4"/>
                <c:pt idx="2">
                  <c:v>623</c:v>
                </c:pt>
              </c:numCache>
            </c:numRef>
          </c:val>
        </c:ser>
        <c:ser>
          <c:idx val="3"/>
          <c:order val="3"/>
          <c:tx>
            <c:strRef>
              <c:f>Hoja1!$E$1</c:f>
              <c:strCache>
                <c:ptCount val="1"/>
                <c:pt idx="0">
                  <c:v>Serie 4</c:v>
                </c:pt>
              </c:strCache>
            </c:strRef>
          </c:tx>
          <c:invertIfNegative val="0"/>
          <c:dLbls>
            <c:showLegendKey val="0"/>
            <c:showVal val="1"/>
            <c:showCatName val="0"/>
            <c:showSerName val="0"/>
            <c:showPercent val="0"/>
            <c:showBubbleSize val="0"/>
            <c:showLeaderLines val="0"/>
          </c:dLbls>
          <c:cat>
            <c:strRef>
              <c:f>Hoja1!$A$2:$A$5</c:f>
              <c:strCache>
                <c:ptCount val="4"/>
                <c:pt idx="0">
                  <c:v>AÑO 2008</c:v>
                </c:pt>
                <c:pt idx="1">
                  <c:v>AÑO 2009</c:v>
                </c:pt>
                <c:pt idx="2">
                  <c:v>AÑO 2010</c:v>
                </c:pt>
                <c:pt idx="3">
                  <c:v>AÑO 2011</c:v>
                </c:pt>
              </c:strCache>
            </c:strRef>
          </c:cat>
          <c:val>
            <c:numRef>
              <c:f>Hoja1!$E$2:$E$5</c:f>
              <c:numCache>
                <c:formatCode>General</c:formatCode>
                <c:ptCount val="4"/>
                <c:pt idx="3">
                  <c:v>848</c:v>
                </c:pt>
              </c:numCache>
            </c:numRef>
          </c:val>
        </c:ser>
        <c:dLbls>
          <c:showLegendKey val="0"/>
          <c:showVal val="0"/>
          <c:showCatName val="0"/>
          <c:showSerName val="0"/>
          <c:showPercent val="0"/>
          <c:showBubbleSize val="0"/>
        </c:dLbls>
        <c:gapWidth val="150"/>
        <c:overlap val="100"/>
        <c:axId val="92651904"/>
        <c:axId val="92653440"/>
      </c:barChart>
      <c:catAx>
        <c:axId val="92651904"/>
        <c:scaling>
          <c:orientation val="minMax"/>
        </c:scaling>
        <c:delete val="0"/>
        <c:axPos val="b"/>
        <c:numFmt formatCode="General" sourceLinked="1"/>
        <c:majorTickMark val="out"/>
        <c:minorTickMark val="none"/>
        <c:tickLblPos val="nextTo"/>
        <c:crossAx val="92653440"/>
        <c:crosses val="autoZero"/>
        <c:auto val="1"/>
        <c:lblAlgn val="ctr"/>
        <c:lblOffset val="100"/>
        <c:noMultiLvlLbl val="0"/>
      </c:catAx>
      <c:valAx>
        <c:axId val="92653440"/>
        <c:scaling>
          <c:orientation val="minMax"/>
        </c:scaling>
        <c:delete val="0"/>
        <c:axPos val="l"/>
        <c:majorGridlines/>
        <c:numFmt formatCode="General" sourceLinked="1"/>
        <c:majorTickMark val="out"/>
        <c:minorTickMark val="none"/>
        <c:tickLblPos val="nextTo"/>
        <c:crossAx val="92651904"/>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78</Pages>
  <Words>16790</Words>
  <Characters>92346</Characters>
  <Application>Microsoft Office Word</Application>
  <DocSecurity>4</DocSecurity>
  <Lines>769</Lines>
  <Paragraphs>217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David Suarez Sanchez</cp:lastModifiedBy>
  <cp:revision>2</cp:revision>
  <dcterms:created xsi:type="dcterms:W3CDTF">2014-01-21T13:19:00Z</dcterms:created>
  <dcterms:modified xsi:type="dcterms:W3CDTF">2014-01-21T13:19:00Z</dcterms:modified>
</cp:coreProperties>
</file>