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E60D0" w:rsidRDefault="007E60D0">
      <w:pPr>
        <w:rPr>
          <w:szCs w:val="24"/>
        </w:rPr>
      </w:pPr>
    </w:p>
    <w:p w:rsidR="007E60D0" w:rsidRDefault="007E60D0">
      <w:pPr>
        <w:pStyle w:val="Ttulo2"/>
        <w:jc w:val="center"/>
        <w:rPr>
          <w:rFonts w:ascii="Times New Roman" w:hAnsi="Times New Roman" w:cs="Times New Roman"/>
          <w:i w:val="0"/>
          <w:sz w:val="32"/>
          <w:szCs w:val="32"/>
        </w:rPr>
      </w:pPr>
      <w:r>
        <w:rPr>
          <w:rFonts w:ascii="Times New Roman" w:hAnsi="Times New Roman" w:cs="Times New Roman"/>
          <w:i w:val="0"/>
          <w:sz w:val="32"/>
          <w:szCs w:val="32"/>
        </w:rPr>
        <w:t>MARCO FISCAL DE MEDIANO PLAZO - MFMP</w:t>
      </w:r>
    </w:p>
    <w:p w:rsidR="007E60D0" w:rsidRDefault="007E60D0">
      <w:pPr>
        <w:jc w:val="center"/>
        <w:rPr>
          <w:b/>
          <w:bCs/>
          <w:sz w:val="32"/>
          <w:szCs w:val="32"/>
        </w:rPr>
      </w:pPr>
      <w:r>
        <w:rPr>
          <w:b/>
          <w:bCs/>
          <w:sz w:val="32"/>
          <w:szCs w:val="32"/>
        </w:rPr>
        <w:t>2011 – 2021</w:t>
      </w:r>
    </w:p>
    <w:p w:rsidR="007E60D0" w:rsidRDefault="007E60D0">
      <w:pPr>
        <w:jc w:val="center"/>
        <w:rPr>
          <w:b/>
          <w:bCs/>
          <w:sz w:val="32"/>
          <w:szCs w:val="32"/>
        </w:rPr>
      </w:pPr>
      <w:r>
        <w:rPr>
          <w:b/>
          <w:bCs/>
          <w:sz w:val="32"/>
          <w:szCs w:val="32"/>
        </w:rPr>
        <w:t>(LEY 819 DE 2003)</w:t>
      </w:r>
    </w:p>
    <w:p w:rsidR="007E60D0" w:rsidRDefault="007E60D0">
      <w:pPr>
        <w:jc w:val="center"/>
        <w:rPr>
          <w:b/>
          <w:bCs/>
          <w:sz w:val="32"/>
          <w:szCs w:val="32"/>
        </w:rPr>
      </w:pPr>
    </w:p>
    <w:p w:rsidR="007E60D0" w:rsidRDefault="007E60D0">
      <w:pPr>
        <w:pStyle w:val="Ttulo3"/>
        <w:rPr>
          <w:rFonts w:ascii="Times New Roman" w:hAnsi="Times New Roman" w:cs="Times New Roman"/>
          <w:sz w:val="32"/>
          <w:szCs w:val="32"/>
        </w:rPr>
      </w:pPr>
    </w:p>
    <w:p w:rsidR="007E60D0" w:rsidRDefault="007E60D0">
      <w:pPr>
        <w:jc w:val="center"/>
        <w:rPr>
          <w:b/>
          <w:bCs/>
          <w:sz w:val="32"/>
          <w:szCs w:val="32"/>
        </w:rPr>
      </w:pPr>
    </w:p>
    <w:p w:rsidR="007E60D0" w:rsidRDefault="007E60D0">
      <w:pPr>
        <w:jc w:val="center"/>
        <w:rPr>
          <w:b/>
          <w:bCs/>
          <w:sz w:val="32"/>
          <w:szCs w:val="32"/>
        </w:rPr>
      </w:pPr>
    </w:p>
    <w:p w:rsidR="007E60D0" w:rsidRDefault="007E60D0">
      <w:pPr>
        <w:jc w:val="center"/>
        <w:rPr>
          <w:b/>
          <w:bCs/>
          <w:sz w:val="32"/>
          <w:szCs w:val="32"/>
        </w:rPr>
      </w:pPr>
    </w:p>
    <w:p w:rsidR="007E60D0" w:rsidRDefault="007E60D0">
      <w:pPr>
        <w:jc w:val="center"/>
        <w:rPr>
          <w:b/>
          <w:bCs/>
          <w:sz w:val="32"/>
          <w:szCs w:val="32"/>
        </w:rPr>
      </w:pPr>
    </w:p>
    <w:p w:rsidR="007E60D0" w:rsidRDefault="007E60D0">
      <w:pPr>
        <w:jc w:val="center"/>
        <w:rPr>
          <w:b/>
          <w:bCs/>
          <w:sz w:val="32"/>
          <w:szCs w:val="32"/>
        </w:rPr>
      </w:pPr>
    </w:p>
    <w:p w:rsidR="007E60D0" w:rsidRDefault="007E60D0">
      <w:pPr>
        <w:jc w:val="center"/>
        <w:rPr>
          <w:b/>
          <w:bCs/>
          <w:sz w:val="32"/>
          <w:szCs w:val="32"/>
        </w:rPr>
      </w:pPr>
    </w:p>
    <w:p w:rsidR="007E60D0" w:rsidRDefault="007E60D0">
      <w:pPr>
        <w:jc w:val="center"/>
        <w:rPr>
          <w:b/>
          <w:bCs/>
          <w:sz w:val="32"/>
          <w:szCs w:val="32"/>
        </w:rPr>
      </w:pPr>
    </w:p>
    <w:p w:rsidR="007E60D0" w:rsidRDefault="007E60D0">
      <w:pPr>
        <w:jc w:val="center"/>
        <w:rPr>
          <w:b/>
          <w:bCs/>
          <w:sz w:val="32"/>
          <w:szCs w:val="32"/>
        </w:rPr>
      </w:pPr>
    </w:p>
    <w:p w:rsidR="007E60D0" w:rsidRDefault="007E60D0">
      <w:pPr>
        <w:jc w:val="center"/>
        <w:rPr>
          <w:b/>
          <w:bCs/>
          <w:sz w:val="32"/>
          <w:szCs w:val="32"/>
        </w:rPr>
      </w:pPr>
    </w:p>
    <w:p w:rsidR="007E60D0" w:rsidRDefault="007E60D0">
      <w:pPr>
        <w:jc w:val="center"/>
        <w:rPr>
          <w:b/>
          <w:bCs/>
          <w:sz w:val="32"/>
          <w:szCs w:val="32"/>
        </w:rPr>
      </w:pPr>
    </w:p>
    <w:p w:rsidR="007E60D0" w:rsidRDefault="007E60D0">
      <w:pPr>
        <w:jc w:val="center"/>
        <w:rPr>
          <w:b/>
          <w:bCs/>
          <w:sz w:val="32"/>
          <w:szCs w:val="32"/>
        </w:rPr>
      </w:pPr>
      <w:r>
        <w:rPr>
          <w:b/>
          <w:bCs/>
          <w:sz w:val="32"/>
          <w:szCs w:val="32"/>
        </w:rPr>
        <w:t>HELBER YESID PINZÓN SAAVEDRA</w:t>
      </w:r>
    </w:p>
    <w:p w:rsidR="007E60D0" w:rsidRDefault="007E60D0">
      <w:pPr>
        <w:jc w:val="center"/>
        <w:rPr>
          <w:bCs/>
          <w:sz w:val="32"/>
          <w:szCs w:val="32"/>
        </w:rPr>
      </w:pPr>
      <w:r>
        <w:rPr>
          <w:bCs/>
          <w:sz w:val="32"/>
          <w:szCs w:val="32"/>
        </w:rPr>
        <w:t>Alcalde  Municipal</w:t>
      </w:r>
    </w:p>
    <w:p w:rsidR="007E60D0" w:rsidRDefault="007E60D0">
      <w:pPr>
        <w:jc w:val="center"/>
        <w:rPr>
          <w:b/>
          <w:bCs/>
          <w:sz w:val="32"/>
          <w:szCs w:val="32"/>
        </w:rPr>
      </w:pPr>
    </w:p>
    <w:p w:rsidR="007E60D0" w:rsidRDefault="007E60D0">
      <w:pPr>
        <w:jc w:val="center"/>
        <w:rPr>
          <w:b/>
          <w:bCs/>
          <w:sz w:val="32"/>
          <w:szCs w:val="32"/>
        </w:rPr>
      </w:pPr>
    </w:p>
    <w:p w:rsidR="007E60D0" w:rsidRDefault="007E60D0">
      <w:pPr>
        <w:jc w:val="center"/>
        <w:rPr>
          <w:b/>
          <w:bCs/>
          <w:sz w:val="32"/>
          <w:szCs w:val="32"/>
        </w:rPr>
      </w:pPr>
    </w:p>
    <w:p w:rsidR="007E60D0" w:rsidRDefault="007E60D0">
      <w:pPr>
        <w:jc w:val="center"/>
        <w:rPr>
          <w:b/>
          <w:bCs/>
          <w:sz w:val="32"/>
          <w:szCs w:val="32"/>
        </w:rPr>
      </w:pPr>
    </w:p>
    <w:p w:rsidR="007E60D0" w:rsidRDefault="007E60D0">
      <w:pPr>
        <w:jc w:val="center"/>
        <w:rPr>
          <w:b/>
          <w:bCs/>
          <w:sz w:val="32"/>
          <w:szCs w:val="32"/>
        </w:rPr>
      </w:pPr>
    </w:p>
    <w:p w:rsidR="007E60D0" w:rsidRDefault="007E60D0">
      <w:pPr>
        <w:jc w:val="center"/>
        <w:rPr>
          <w:b/>
          <w:bCs/>
          <w:sz w:val="32"/>
          <w:szCs w:val="32"/>
        </w:rPr>
      </w:pPr>
    </w:p>
    <w:p w:rsidR="007E60D0" w:rsidRDefault="007E60D0">
      <w:pPr>
        <w:jc w:val="center"/>
        <w:rPr>
          <w:b/>
          <w:bCs/>
          <w:sz w:val="32"/>
          <w:szCs w:val="32"/>
        </w:rPr>
      </w:pPr>
    </w:p>
    <w:p w:rsidR="007E60D0" w:rsidRDefault="007E60D0">
      <w:pPr>
        <w:jc w:val="center"/>
        <w:rPr>
          <w:b/>
          <w:bCs/>
          <w:sz w:val="32"/>
          <w:szCs w:val="32"/>
        </w:rPr>
      </w:pPr>
    </w:p>
    <w:p w:rsidR="007E60D0" w:rsidRDefault="007E60D0">
      <w:pPr>
        <w:jc w:val="center"/>
        <w:rPr>
          <w:b/>
          <w:bCs/>
          <w:sz w:val="32"/>
          <w:szCs w:val="32"/>
        </w:rPr>
      </w:pPr>
    </w:p>
    <w:p w:rsidR="007E60D0" w:rsidRDefault="007E60D0">
      <w:pPr>
        <w:jc w:val="center"/>
        <w:rPr>
          <w:b/>
          <w:bCs/>
          <w:sz w:val="32"/>
          <w:szCs w:val="32"/>
        </w:rPr>
      </w:pPr>
    </w:p>
    <w:p w:rsidR="007E60D0" w:rsidRDefault="007E60D0">
      <w:pPr>
        <w:jc w:val="center"/>
        <w:rPr>
          <w:b/>
          <w:bCs/>
          <w:sz w:val="32"/>
          <w:szCs w:val="32"/>
        </w:rPr>
      </w:pPr>
    </w:p>
    <w:p w:rsidR="007E60D0" w:rsidRDefault="007E60D0">
      <w:pPr>
        <w:jc w:val="center"/>
        <w:rPr>
          <w:b/>
          <w:bCs/>
          <w:sz w:val="32"/>
          <w:szCs w:val="32"/>
        </w:rPr>
      </w:pPr>
    </w:p>
    <w:p w:rsidR="007E60D0" w:rsidRDefault="007E60D0">
      <w:pPr>
        <w:jc w:val="center"/>
        <w:rPr>
          <w:b/>
          <w:bCs/>
          <w:sz w:val="32"/>
          <w:szCs w:val="32"/>
        </w:rPr>
      </w:pPr>
      <w:r>
        <w:rPr>
          <w:b/>
          <w:bCs/>
          <w:sz w:val="32"/>
          <w:szCs w:val="32"/>
        </w:rPr>
        <w:t>Octubre 2011</w:t>
      </w:r>
    </w:p>
    <w:p w:rsidR="007E60D0" w:rsidRDefault="007E60D0">
      <w:pPr>
        <w:jc w:val="center"/>
        <w:rPr>
          <w:b/>
          <w:bCs/>
          <w:sz w:val="32"/>
          <w:szCs w:val="32"/>
        </w:rPr>
      </w:pPr>
    </w:p>
    <w:tbl>
      <w:tblPr>
        <w:tblW w:w="0" w:type="auto"/>
        <w:tblInd w:w="-20" w:type="dxa"/>
        <w:tblLayout w:type="fixed"/>
        <w:tblCellMar>
          <w:left w:w="0" w:type="dxa"/>
          <w:right w:w="0" w:type="dxa"/>
        </w:tblCellMar>
        <w:tblLook w:val="0000"/>
      </w:tblPr>
      <w:tblGrid>
        <w:gridCol w:w="841"/>
        <w:gridCol w:w="7069"/>
        <w:gridCol w:w="615"/>
      </w:tblGrid>
      <w:tr w:rsidR="007E60D0">
        <w:trPr>
          <w:trHeight w:val="540"/>
        </w:trPr>
        <w:tc>
          <w:tcPr>
            <w:tcW w:w="841" w:type="dxa"/>
            <w:shd w:val="clear" w:color="auto" w:fill="auto"/>
            <w:vAlign w:val="bottom"/>
          </w:tcPr>
          <w:p w:rsidR="007E60D0" w:rsidRDefault="007E60D0">
            <w:pPr>
              <w:snapToGrid w:val="0"/>
              <w:rPr>
                <w:rFonts w:eastAsia="Arial Unicode MS"/>
                <w:sz w:val="28"/>
                <w:szCs w:val="28"/>
              </w:rPr>
            </w:pPr>
          </w:p>
        </w:tc>
        <w:tc>
          <w:tcPr>
            <w:tcW w:w="7069" w:type="dxa"/>
            <w:shd w:val="clear" w:color="auto" w:fill="auto"/>
            <w:vAlign w:val="bottom"/>
          </w:tcPr>
          <w:p w:rsidR="007E60D0" w:rsidRDefault="007E60D0">
            <w:pPr>
              <w:snapToGrid w:val="0"/>
              <w:jc w:val="center"/>
              <w:rPr>
                <w:b/>
                <w:bCs/>
                <w:sz w:val="28"/>
                <w:szCs w:val="28"/>
              </w:rPr>
            </w:pPr>
            <w:r>
              <w:rPr>
                <w:b/>
                <w:bCs/>
                <w:sz w:val="28"/>
                <w:szCs w:val="28"/>
              </w:rPr>
              <w:t xml:space="preserve">CONTENIDO </w:t>
            </w:r>
          </w:p>
        </w:tc>
        <w:tc>
          <w:tcPr>
            <w:tcW w:w="615" w:type="dxa"/>
            <w:shd w:val="clear" w:color="auto" w:fill="auto"/>
            <w:vAlign w:val="bottom"/>
          </w:tcPr>
          <w:p w:rsidR="007E60D0" w:rsidRDefault="007E60D0">
            <w:pPr>
              <w:snapToGrid w:val="0"/>
              <w:rPr>
                <w:rFonts w:eastAsia="Arial Unicode MS"/>
                <w:sz w:val="28"/>
                <w:szCs w:val="28"/>
              </w:rPr>
            </w:pPr>
          </w:p>
        </w:tc>
      </w:tr>
      <w:tr w:rsidR="007E60D0">
        <w:trPr>
          <w:trHeight w:val="390"/>
        </w:trPr>
        <w:tc>
          <w:tcPr>
            <w:tcW w:w="841" w:type="dxa"/>
            <w:shd w:val="clear" w:color="auto" w:fill="auto"/>
            <w:vAlign w:val="bottom"/>
          </w:tcPr>
          <w:p w:rsidR="007E60D0" w:rsidRDefault="007E60D0">
            <w:pPr>
              <w:snapToGrid w:val="0"/>
              <w:rPr>
                <w:rFonts w:eastAsia="Arial Unicode MS"/>
                <w:szCs w:val="24"/>
              </w:rPr>
            </w:pPr>
          </w:p>
        </w:tc>
        <w:tc>
          <w:tcPr>
            <w:tcW w:w="7069" w:type="dxa"/>
            <w:shd w:val="clear" w:color="auto" w:fill="auto"/>
            <w:vAlign w:val="bottom"/>
          </w:tcPr>
          <w:p w:rsidR="007E60D0" w:rsidRDefault="007E60D0">
            <w:pPr>
              <w:snapToGrid w:val="0"/>
              <w:jc w:val="center"/>
              <w:rPr>
                <w:rFonts w:eastAsia="Arial Unicode MS"/>
                <w:szCs w:val="24"/>
              </w:rPr>
            </w:pPr>
          </w:p>
        </w:tc>
        <w:tc>
          <w:tcPr>
            <w:tcW w:w="615" w:type="dxa"/>
            <w:shd w:val="clear" w:color="auto" w:fill="auto"/>
            <w:vAlign w:val="bottom"/>
          </w:tcPr>
          <w:p w:rsidR="007E60D0" w:rsidRDefault="007E60D0">
            <w:pPr>
              <w:snapToGrid w:val="0"/>
              <w:jc w:val="center"/>
              <w:rPr>
                <w:szCs w:val="24"/>
              </w:rPr>
            </w:pPr>
            <w:r>
              <w:rPr>
                <w:szCs w:val="24"/>
              </w:rPr>
              <w:t>Pág.</w:t>
            </w:r>
          </w:p>
        </w:tc>
      </w:tr>
      <w:tr w:rsidR="007E60D0">
        <w:trPr>
          <w:trHeight w:val="330"/>
        </w:trPr>
        <w:tc>
          <w:tcPr>
            <w:tcW w:w="841" w:type="dxa"/>
            <w:shd w:val="clear" w:color="auto" w:fill="auto"/>
            <w:vAlign w:val="bottom"/>
          </w:tcPr>
          <w:p w:rsidR="007E60D0" w:rsidRDefault="007E60D0">
            <w:pPr>
              <w:snapToGrid w:val="0"/>
              <w:rPr>
                <w:rFonts w:eastAsia="Arial Unicode MS"/>
                <w:b/>
                <w:bCs/>
                <w:szCs w:val="24"/>
              </w:rPr>
            </w:pPr>
          </w:p>
        </w:tc>
        <w:tc>
          <w:tcPr>
            <w:tcW w:w="7069" w:type="dxa"/>
            <w:shd w:val="clear" w:color="auto" w:fill="auto"/>
            <w:vAlign w:val="bottom"/>
          </w:tcPr>
          <w:p w:rsidR="007E60D0" w:rsidRDefault="007E60D0">
            <w:pPr>
              <w:snapToGrid w:val="0"/>
              <w:rPr>
                <w:b/>
                <w:bCs/>
                <w:szCs w:val="24"/>
              </w:rPr>
            </w:pPr>
            <w:r>
              <w:rPr>
                <w:b/>
                <w:bCs/>
                <w:szCs w:val="24"/>
              </w:rPr>
              <w:t>INTRODUCCIÓN</w:t>
            </w:r>
          </w:p>
        </w:tc>
        <w:tc>
          <w:tcPr>
            <w:tcW w:w="615" w:type="dxa"/>
            <w:shd w:val="clear" w:color="auto" w:fill="auto"/>
            <w:vAlign w:val="bottom"/>
          </w:tcPr>
          <w:p w:rsidR="007E60D0" w:rsidRDefault="007E60D0">
            <w:pPr>
              <w:snapToGrid w:val="0"/>
              <w:jc w:val="center"/>
              <w:rPr>
                <w:rFonts w:eastAsia="Arial Unicode MS"/>
                <w:szCs w:val="24"/>
              </w:rPr>
            </w:pPr>
            <w:r>
              <w:rPr>
                <w:rFonts w:eastAsia="Arial Unicode MS"/>
                <w:szCs w:val="24"/>
              </w:rPr>
              <w:t>6</w:t>
            </w:r>
          </w:p>
        </w:tc>
      </w:tr>
      <w:tr w:rsidR="007E60D0">
        <w:trPr>
          <w:trHeight w:val="330"/>
        </w:trPr>
        <w:tc>
          <w:tcPr>
            <w:tcW w:w="841" w:type="dxa"/>
            <w:shd w:val="clear" w:color="auto" w:fill="auto"/>
            <w:vAlign w:val="bottom"/>
          </w:tcPr>
          <w:p w:rsidR="007E60D0" w:rsidRDefault="007E60D0">
            <w:pPr>
              <w:snapToGrid w:val="0"/>
              <w:rPr>
                <w:b/>
                <w:bCs/>
                <w:szCs w:val="24"/>
              </w:rPr>
            </w:pPr>
          </w:p>
        </w:tc>
        <w:tc>
          <w:tcPr>
            <w:tcW w:w="7069" w:type="dxa"/>
            <w:shd w:val="clear" w:color="auto" w:fill="auto"/>
            <w:vAlign w:val="bottom"/>
          </w:tcPr>
          <w:p w:rsidR="007E60D0" w:rsidRDefault="007E60D0">
            <w:pPr>
              <w:snapToGrid w:val="0"/>
              <w:rPr>
                <w:b/>
                <w:bCs/>
                <w:szCs w:val="24"/>
              </w:rPr>
            </w:pPr>
            <w:r>
              <w:rPr>
                <w:b/>
                <w:bCs/>
                <w:szCs w:val="24"/>
              </w:rPr>
              <w:t>LINEAMIENTOS PARA DEFINIR EL MARCO FISCAL DE MEDIANO PLAZO</w:t>
            </w:r>
          </w:p>
        </w:tc>
        <w:tc>
          <w:tcPr>
            <w:tcW w:w="615" w:type="dxa"/>
            <w:shd w:val="clear" w:color="auto" w:fill="auto"/>
            <w:vAlign w:val="bottom"/>
          </w:tcPr>
          <w:p w:rsidR="007E60D0" w:rsidRDefault="007E60D0">
            <w:pPr>
              <w:snapToGrid w:val="0"/>
              <w:jc w:val="center"/>
              <w:rPr>
                <w:szCs w:val="24"/>
              </w:rPr>
            </w:pPr>
            <w:r>
              <w:rPr>
                <w:szCs w:val="24"/>
              </w:rPr>
              <w:t>8</w:t>
            </w:r>
          </w:p>
        </w:tc>
      </w:tr>
      <w:tr w:rsidR="007E60D0">
        <w:trPr>
          <w:trHeight w:val="330"/>
        </w:trPr>
        <w:tc>
          <w:tcPr>
            <w:tcW w:w="841" w:type="dxa"/>
            <w:shd w:val="clear" w:color="auto" w:fill="auto"/>
            <w:vAlign w:val="bottom"/>
          </w:tcPr>
          <w:p w:rsidR="007E60D0" w:rsidRDefault="007E60D0">
            <w:pPr>
              <w:snapToGrid w:val="0"/>
              <w:rPr>
                <w:b/>
                <w:bCs/>
                <w:szCs w:val="24"/>
              </w:rPr>
            </w:pPr>
            <w:r>
              <w:rPr>
                <w:b/>
                <w:bCs/>
                <w:szCs w:val="24"/>
              </w:rPr>
              <w:t>1.</w:t>
            </w:r>
          </w:p>
        </w:tc>
        <w:tc>
          <w:tcPr>
            <w:tcW w:w="7069" w:type="dxa"/>
            <w:shd w:val="clear" w:color="auto" w:fill="auto"/>
            <w:vAlign w:val="bottom"/>
          </w:tcPr>
          <w:p w:rsidR="007E60D0" w:rsidRDefault="007E60D0">
            <w:pPr>
              <w:snapToGrid w:val="0"/>
              <w:rPr>
                <w:b/>
                <w:bCs/>
                <w:szCs w:val="24"/>
              </w:rPr>
            </w:pPr>
            <w:r>
              <w:rPr>
                <w:b/>
                <w:bCs/>
                <w:szCs w:val="24"/>
              </w:rPr>
              <w:t>PLAN FINANCIERO</w:t>
            </w:r>
          </w:p>
        </w:tc>
        <w:tc>
          <w:tcPr>
            <w:tcW w:w="615" w:type="dxa"/>
            <w:shd w:val="clear" w:color="auto" w:fill="auto"/>
            <w:vAlign w:val="bottom"/>
          </w:tcPr>
          <w:p w:rsidR="007E60D0" w:rsidRDefault="007E60D0">
            <w:pPr>
              <w:snapToGrid w:val="0"/>
              <w:jc w:val="center"/>
              <w:rPr>
                <w:szCs w:val="24"/>
              </w:rPr>
            </w:pPr>
            <w:r>
              <w:rPr>
                <w:szCs w:val="24"/>
              </w:rPr>
              <w:t>10</w:t>
            </w:r>
          </w:p>
        </w:tc>
      </w:tr>
      <w:tr w:rsidR="007E60D0">
        <w:trPr>
          <w:trHeight w:val="345"/>
        </w:trPr>
        <w:tc>
          <w:tcPr>
            <w:tcW w:w="841" w:type="dxa"/>
            <w:shd w:val="clear" w:color="auto" w:fill="auto"/>
            <w:vAlign w:val="bottom"/>
          </w:tcPr>
          <w:p w:rsidR="007E60D0" w:rsidRDefault="007E60D0">
            <w:pPr>
              <w:snapToGrid w:val="0"/>
              <w:rPr>
                <w:rFonts w:eastAsia="Arial Unicode MS"/>
                <w:bCs/>
                <w:szCs w:val="24"/>
              </w:rPr>
            </w:pPr>
          </w:p>
        </w:tc>
        <w:tc>
          <w:tcPr>
            <w:tcW w:w="7069" w:type="dxa"/>
            <w:shd w:val="clear" w:color="auto" w:fill="auto"/>
            <w:vAlign w:val="bottom"/>
          </w:tcPr>
          <w:p w:rsidR="007E60D0" w:rsidRDefault="007E60D0">
            <w:pPr>
              <w:snapToGrid w:val="0"/>
              <w:rPr>
                <w:b/>
                <w:bCs/>
                <w:szCs w:val="24"/>
              </w:rPr>
            </w:pPr>
            <w:r>
              <w:rPr>
                <w:b/>
                <w:bCs/>
                <w:szCs w:val="24"/>
              </w:rPr>
              <w:t>DIAGNÓSTICO</w:t>
            </w:r>
          </w:p>
        </w:tc>
        <w:tc>
          <w:tcPr>
            <w:tcW w:w="615" w:type="dxa"/>
            <w:shd w:val="clear" w:color="auto" w:fill="auto"/>
            <w:vAlign w:val="bottom"/>
          </w:tcPr>
          <w:p w:rsidR="007E60D0" w:rsidRDefault="007E60D0">
            <w:pPr>
              <w:snapToGrid w:val="0"/>
              <w:jc w:val="center"/>
              <w:rPr>
                <w:szCs w:val="24"/>
              </w:rPr>
            </w:pPr>
            <w:r>
              <w:rPr>
                <w:szCs w:val="24"/>
              </w:rPr>
              <w:t>10</w:t>
            </w:r>
          </w:p>
        </w:tc>
      </w:tr>
      <w:tr w:rsidR="007E60D0">
        <w:trPr>
          <w:trHeight w:val="405"/>
        </w:trPr>
        <w:tc>
          <w:tcPr>
            <w:tcW w:w="841" w:type="dxa"/>
            <w:shd w:val="clear" w:color="auto" w:fill="auto"/>
            <w:vAlign w:val="bottom"/>
          </w:tcPr>
          <w:p w:rsidR="007E60D0" w:rsidRDefault="007E60D0">
            <w:pPr>
              <w:snapToGrid w:val="0"/>
              <w:rPr>
                <w:bCs/>
                <w:szCs w:val="24"/>
              </w:rPr>
            </w:pPr>
            <w:r>
              <w:rPr>
                <w:bCs/>
                <w:szCs w:val="24"/>
              </w:rPr>
              <w:t>1.1</w:t>
            </w:r>
          </w:p>
        </w:tc>
        <w:tc>
          <w:tcPr>
            <w:tcW w:w="7069" w:type="dxa"/>
            <w:shd w:val="clear" w:color="auto" w:fill="auto"/>
            <w:vAlign w:val="bottom"/>
          </w:tcPr>
          <w:p w:rsidR="007E60D0" w:rsidRDefault="007E60D0">
            <w:pPr>
              <w:snapToGrid w:val="0"/>
              <w:rPr>
                <w:bCs/>
                <w:szCs w:val="24"/>
              </w:rPr>
            </w:pPr>
            <w:r>
              <w:rPr>
                <w:bCs/>
                <w:szCs w:val="24"/>
              </w:rPr>
              <w:t>Estructura de los Ingresos Municipales (2008, 2009, 2010)</w:t>
            </w:r>
          </w:p>
        </w:tc>
        <w:tc>
          <w:tcPr>
            <w:tcW w:w="615" w:type="dxa"/>
            <w:shd w:val="clear" w:color="auto" w:fill="auto"/>
            <w:vAlign w:val="bottom"/>
          </w:tcPr>
          <w:p w:rsidR="007E60D0" w:rsidRDefault="007E60D0">
            <w:pPr>
              <w:snapToGrid w:val="0"/>
              <w:jc w:val="center"/>
              <w:rPr>
                <w:szCs w:val="24"/>
              </w:rPr>
            </w:pPr>
            <w:r>
              <w:rPr>
                <w:szCs w:val="24"/>
              </w:rPr>
              <w:t>10</w:t>
            </w:r>
          </w:p>
        </w:tc>
      </w:tr>
      <w:tr w:rsidR="007E60D0">
        <w:trPr>
          <w:trHeight w:val="405"/>
        </w:trPr>
        <w:tc>
          <w:tcPr>
            <w:tcW w:w="841" w:type="dxa"/>
            <w:shd w:val="clear" w:color="auto" w:fill="auto"/>
            <w:vAlign w:val="bottom"/>
          </w:tcPr>
          <w:p w:rsidR="007E60D0" w:rsidRDefault="007E60D0">
            <w:pPr>
              <w:snapToGrid w:val="0"/>
              <w:rPr>
                <w:bCs/>
                <w:szCs w:val="24"/>
              </w:rPr>
            </w:pPr>
            <w:r>
              <w:rPr>
                <w:bCs/>
                <w:szCs w:val="24"/>
              </w:rPr>
              <w:t>1.1.1</w:t>
            </w:r>
          </w:p>
        </w:tc>
        <w:tc>
          <w:tcPr>
            <w:tcW w:w="7069" w:type="dxa"/>
            <w:shd w:val="clear" w:color="auto" w:fill="auto"/>
            <w:vAlign w:val="bottom"/>
          </w:tcPr>
          <w:p w:rsidR="007E60D0" w:rsidRDefault="007E60D0">
            <w:pPr>
              <w:snapToGrid w:val="0"/>
              <w:rPr>
                <w:bCs/>
                <w:szCs w:val="24"/>
              </w:rPr>
            </w:pPr>
            <w:r>
              <w:rPr>
                <w:bCs/>
                <w:szCs w:val="24"/>
              </w:rPr>
              <w:t>Estimación</w:t>
            </w:r>
          </w:p>
        </w:tc>
        <w:tc>
          <w:tcPr>
            <w:tcW w:w="615" w:type="dxa"/>
            <w:shd w:val="clear" w:color="auto" w:fill="auto"/>
            <w:vAlign w:val="bottom"/>
          </w:tcPr>
          <w:p w:rsidR="007E60D0" w:rsidRDefault="007E60D0">
            <w:pPr>
              <w:snapToGrid w:val="0"/>
              <w:jc w:val="center"/>
              <w:rPr>
                <w:szCs w:val="24"/>
              </w:rPr>
            </w:pPr>
            <w:r>
              <w:rPr>
                <w:szCs w:val="24"/>
              </w:rPr>
              <w:t>11</w:t>
            </w:r>
          </w:p>
        </w:tc>
      </w:tr>
      <w:tr w:rsidR="007E60D0">
        <w:trPr>
          <w:trHeight w:val="405"/>
        </w:trPr>
        <w:tc>
          <w:tcPr>
            <w:tcW w:w="841" w:type="dxa"/>
            <w:shd w:val="clear" w:color="auto" w:fill="auto"/>
            <w:vAlign w:val="bottom"/>
          </w:tcPr>
          <w:p w:rsidR="007E60D0" w:rsidRDefault="007E60D0">
            <w:pPr>
              <w:snapToGrid w:val="0"/>
              <w:rPr>
                <w:bCs/>
                <w:szCs w:val="24"/>
              </w:rPr>
            </w:pPr>
            <w:r>
              <w:rPr>
                <w:bCs/>
                <w:szCs w:val="24"/>
              </w:rPr>
              <w:t>a.</w:t>
            </w:r>
          </w:p>
        </w:tc>
        <w:tc>
          <w:tcPr>
            <w:tcW w:w="7069" w:type="dxa"/>
            <w:shd w:val="clear" w:color="auto" w:fill="auto"/>
            <w:vAlign w:val="bottom"/>
          </w:tcPr>
          <w:p w:rsidR="007E60D0" w:rsidRDefault="007E60D0">
            <w:pPr>
              <w:snapToGrid w:val="0"/>
              <w:rPr>
                <w:bCs/>
                <w:szCs w:val="24"/>
              </w:rPr>
            </w:pPr>
            <w:r>
              <w:rPr>
                <w:bCs/>
                <w:szCs w:val="24"/>
              </w:rPr>
              <w:t>Impuestos</w:t>
            </w:r>
          </w:p>
        </w:tc>
        <w:tc>
          <w:tcPr>
            <w:tcW w:w="615" w:type="dxa"/>
            <w:shd w:val="clear" w:color="auto" w:fill="auto"/>
            <w:vAlign w:val="bottom"/>
          </w:tcPr>
          <w:p w:rsidR="007E60D0" w:rsidRDefault="007E60D0">
            <w:pPr>
              <w:snapToGrid w:val="0"/>
              <w:jc w:val="center"/>
              <w:rPr>
                <w:szCs w:val="24"/>
              </w:rPr>
            </w:pPr>
            <w:r>
              <w:rPr>
                <w:szCs w:val="24"/>
              </w:rPr>
              <w:t>11</w:t>
            </w:r>
          </w:p>
        </w:tc>
      </w:tr>
      <w:tr w:rsidR="007E60D0">
        <w:trPr>
          <w:trHeight w:val="405"/>
        </w:trPr>
        <w:tc>
          <w:tcPr>
            <w:tcW w:w="841" w:type="dxa"/>
            <w:shd w:val="clear" w:color="auto" w:fill="auto"/>
            <w:vAlign w:val="bottom"/>
          </w:tcPr>
          <w:p w:rsidR="007E60D0" w:rsidRDefault="007E60D0">
            <w:pPr>
              <w:snapToGrid w:val="0"/>
              <w:rPr>
                <w:bCs/>
                <w:szCs w:val="24"/>
              </w:rPr>
            </w:pPr>
            <w:r>
              <w:rPr>
                <w:bCs/>
                <w:szCs w:val="24"/>
              </w:rPr>
              <w:t xml:space="preserve">b. </w:t>
            </w:r>
          </w:p>
        </w:tc>
        <w:tc>
          <w:tcPr>
            <w:tcW w:w="7069" w:type="dxa"/>
            <w:shd w:val="clear" w:color="auto" w:fill="auto"/>
            <w:vAlign w:val="bottom"/>
          </w:tcPr>
          <w:p w:rsidR="007E60D0" w:rsidRDefault="007E60D0">
            <w:pPr>
              <w:snapToGrid w:val="0"/>
              <w:rPr>
                <w:bCs/>
                <w:szCs w:val="24"/>
              </w:rPr>
            </w:pPr>
            <w:r>
              <w:rPr>
                <w:bCs/>
                <w:szCs w:val="24"/>
              </w:rPr>
              <w:t>Ingresos No Tributarios</w:t>
            </w:r>
          </w:p>
        </w:tc>
        <w:tc>
          <w:tcPr>
            <w:tcW w:w="615" w:type="dxa"/>
            <w:shd w:val="clear" w:color="auto" w:fill="auto"/>
            <w:vAlign w:val="bottom"/>
          </w:tcPr>
          <w:p w:rsidR="007E60D0" w:rsidRDefault="007E60D0">
            <w:pPr>
              <w:snapToGrid w:val="0"/>
              <w:jc w:val="center"/>
              <w:rPr>
                <w:szCs w:val="24"/>
              </w:rPr>
            </w:pPr>
            <w:r>
              <w:rPr>
                <w:szCs w:val="24"/>
              </w:rPr>
              <w:t>11</w:t>
            </w:r>
          </w:p>
        </w:tc>
      </w:tr>
      <w:tr w:rsidR="007E60D0">
        <w:trPr>
          <w:trHeight w:val="405"/>
        </w:trPr>
        <w:tc>
          <w:tcPr>
            <w:tcW w:w="841" w:type="dxa"/>
            <w:shd w:val="clear" w:color="auto" w:fill="auto"/>
            <w:vAlign w:val="bottom"/>
          </w:tcPr>
          <w:p w:rsidR="007E60D0" w:rsidRDefault="007E60D0">
            <w:pPr>
              <w:snapToGrid w:val="0"/>
              <w:rPr>
                <w:bCs/>
                <w:szCs w:val="24"/>
              </w:rPr>
            </w:pPr>
            <w:r>
              <w:rPr>
                <w:bCs/>
                <w:szCs w:val="24"/>
              </w:rPr>
              <w:t>c.</w:t>
            </w:r>
          </w:p>
        </w:tc>
        <w:tc>
          <w:tcPr>
            <w:tcW w:w="7069" w:type="dxa"/>
            <w:shd w:val="clear" w:color="auto" w:fill="auto"/>
            <w:vAlign w:val="bottom"/>
          </w:tcPr>
          <w:p w:rsidR="007E60D0" w:rsidRDefault="007E60D0">
            <w:pPr>
              <w:snapToGrid w:val="0"/>
              <w:rPr>
                <w:bCs/>
                <w:szCs w:val="24"/>
              </w:rPr>
            </w:pPr>
            <w:r>
              <w:rPr>
                <w:bCs/>
                <w:szCs w:val="24"/>
              </w:rPr>
              <w:t>Sistema General de Participaciones</w:t>
            </w:r>
          </w:p>
        </w:tc>
        <w:tc>
          <w:tcPr>
            <w:tcW w:w="615" w:type="dxa"/>
            <w:shd w:val="clear" w:color="auto" w:fill="auto"/>
            <w:vAlign w:val="bottom"/>
          </w:tcPr>
          <w:p w:rsidR="007E60D0" w:rsidRDefault="007E60D0">
            <w:pPr>
              <w:snapToGrid w:val="0"/>
              <w:jc w:val="center"/>
              <w:rPr>
                <w:szCs w:val="24"/>
              </w:rPr>
            </w:pPr>
            <w:r>
              <w:rPr>
                <w:szCs w:val="24"/>
              </w:rPr>
              <w:t>12</w:t>
            </w:r>
          </w:p>
        </w:tc>
      </w:tr>
      <w:tr w:rsidR="007E60D0">
        <w:trPr>
          <w:trHeight w:val="405"/>
        </w:trPr>
        <w:tc>
          <w:tcPr>
            <w:tcW w:w="841" w:type="dxa"/>
            <w:shd w:val="clear" w:color="auto" w:fill="auto"/>
            <w:vAlign w:val="bottom"/>
          </w:tcPr>
          <w:p w:rsidR="007E60D0" w:rsidRDefault="007E60D0">
            <w:pPr>
              <w:snapToGrid w:val="0"/>
              <w:rPr>
                <w:bCs/>
                <w:szCs w:val="24"/>
              </w:rPr>
            </w:pPr>
            <w:r>
              <w:rPr>
                <w:bCs/>
                <w:szCs w:val="24"/>
              </w:rPr>
              <w:t>d.</w:t>
            </w:r>
          </w:p>
        </w:tc>
        <w:tc>
          <w:tcPr>
            <w:tcW w:w="7069" w:type="dxa"/>
            <w:shd w:val="clear" w:color="auto" w:fill="auto"/>
            <w:vAlign w:val="bottom"/>
          </w:tcPr>
          <w:p w:rsidR="007E60D0" w:rsidRDefault="007E60D0">
            <w:pPr>
              <w:snapToGrid w:val="0"/>
              <w:rPr>
                <w:bCs/>
                <w:szCs w:val="24"/>
              </w:rPr>
            </w:pPr>
            <w:r>
              <w:rPr>
                <w:bCs/>
                <w:szCs w:val="24"/>
              </w:rPr>
              <w:t>Otros</w:t>
            </w:r>
          </w:p>
        </w:tc>
        <w:tc>
          <w:tcPr>
            <w:tcW w:w="615" w:type="dxa"/>
            <w:shd w:val="clear" w:color="auto" w:fill="auto"/>
            <w:vAlign w:val="bottom"/>
          </w:tcPr>
          <w:p w:rsidR="007E60D0" w:rsidRDefault="007E60D0">
            <w:pPr>
              <w:snapToGrid w:val="0"/>
              <w:jc w:val="center"/>
              <w:rPr>
                <w:szCs w:val="24"/>
              </w:rPr>
            </w:pPr>
            <w:r>
              <w:rPr>
                <w:szCs w:val="24"/>
              </w:rPr>
              <w:t>13</w:t>
            </w:r>
          </w:p>
        </w:tc>
      </w:tr>
      <w:tr w:rsidR="007E60D0">
        <w:trPr>
          <w:trHeight w:val="405"/>
        </w:trPr>
        <w:tc>
          <w:tcPr>
            <w:tcW w:w="841" w:type="dxa"/>
            <w:shd w:val="clear" w:color="auto" w:fill="auto"/>
            <w:vAlign w:val="bottom"/>
          </w:tcPr>
          <w:p w:rsidR="007E60D0" w:rsidRDefault="007E60D0">
            <w:pPr>
              <w:snapToGrid w:val="0"/>
              <w:rPr>
                <w:bCs/>
                <w:szCs w:val="24"/>
              </w:rPr>
            </w:pPr>
            <w:r>
              <w:rPr>
                <w:bCs/>
                <w:szCs w:val="24"/>
              </w:rPr>
              <w:t>1.1.2</w:t>
            </w:r>
          </w:p>
        </w:tc>
        <w:tc>
          <w:tcPr>
            <w:tcW w:w="7069" w:type="dxa"/>
            <w:shd w:val="clear" w:color="auto" w:fill="auto"/>
            <w:vAlign w:val="bottom"/>
          </w:tcPr>
          <w:p w:rsidR="007E60D0" w:rsidRDefault="007E60D0">
            <w:pPr>
              <w:snapToGrid w:val="0"/>
              <w:rPr>
                <w:bCs/>
                <w:szCs w:val="24"/>
              </w:rPr>
            </w:pPr>
            <w:r>
              <w:rPr>
                <w:bCs/>
                <w:szCs w:val="24"/>
              </w:rPr>
              <w:t>Diferencias de usos posibles</w:t>
            </w:r>
          </w:p>
        </w:tc>
        <w:tc>
          <w:tcPr>
            <w:tcW w:w="615" w:type="dxa"/>
            <w:shd w:val="clear" w:color="auto" w:fill="auto"/>
            <w:vAlign w:val="bottom"/>
          </w:tcPr>
          <w:p w:rsidR="007E60D0" w:rsidRDefault="007E60D0">
            <w:pPr>
              <w:snapToGrid w:val="0"/>
              <w:jc w:val="center"/>
              <w:rPr>
                <w:szCs w:val="24"/>
              </w:rPr>
            </w:pPr>
            <w:r>
              <w:rPr>
                <w:szCs w:val="24"/>
              </w:rPr>
              <w:t>13</w:t>
            </w:r>
          </w:p>
        </w:tc>
      </w:tr>
      <w:tr w:rsidR="007E60D0">
        <w:trPr>
          <w:trHeight w:val="405"/>
        </w:trPr>
        <w:tc>
          <w:tcPr>
            <w:tcW w:w="841" w:type="dxa"/>
            <w:shd w:val="clear" w:color="auto" w:fill="auto"/>
            <w:vAlign w:val="bottom"/>
          </w:tcPr>
          <w:p w:rsidR="007E60D0" w:rsidRDefault="007E60D0">
            <w:pPr>
              <w:snapToGrid w:val="0"/>
              <w:rPr>
                <w:bCs/>
                <w:szCs w:val="24"/>
              </w:rPr>
            </w:pPr>
            <w:r>
              <w:rPr>
                <w:bCs/>
                <w:szCs w:val="24"/>
              </w:rPr>
              <w:t>a.</w:t>
            </w:r>
          </w:p>
        </w:tc>
        <w:tc>
          <w:tcPr>
            <w:tcW w:w="7069" w:type="dxa"/>
            <w:shd w:val="clear" w:color="auto" w:fill="auto"/>
            <w:vAlign w:val="bottom"/>
          </w:tcPr>
          <w:p w:rsidR="007E60D0" w:rsidRDefault="007E60D0">
            <w:pPr>
              <w:snapToGrid w:val="0"/>
              <w:rPr>
                <w:bCs/>
                <w:szCs w:val="24"/>
              </w:rPr>
            </w:pPr>
            <w:r>
              <w:rPr>
                <w:bCs/>
                <w:szCs w:val="24"/>
              </w:rPr>
              <w:t>Ingresos de libres destinación</w:t>
            </w:r>
          </w:p>
        </w:tc>
        <w:tc>
          <w:tcPr>
            <w:tcW w:w="615" w:type="dxa"/>
            <w:shd w:val="clear" w:color="auto" w:fill="auto"/>
            <w:vAlign w:val="bottom"/>
          </w:tcPr>
          <w:p w:rsidR="007E60D0" w:rsidRDefault="007E60D0">
            <w:pPr>
              <w:snapToGrid w:val="0"/>
              <w:jc w:val="center"/>
              <w:rPr>
                <w:szCs w:val="24"/>
              </w:rPr>
            </w:pPr>
            <w:r>
              <w:rPr>
                <w:szCs w:val="24"/>
              </w:rPr>
              <w:t>13</w:t>
            </w:r>
          </w:p>
        </w:tc>
      </w:tr>
      <w:tr w:rsidR="007E60D0">
        <w:trPr>
          <w:trHeight w:val="405"/>
        </w:trPr>
        <w:tc>
          <w:tcPr>
            <w:tcW w:w="841" w:type="dxa"/>
            <w:shd w:val="clear" w:color="auto" w:fill="auto"/>
            <w:vAlign w:val="bottom"/>
          </w:tcPr>
          <w:p w:rsidR="007E60D0" w:rsidRDefault="007E60D0">
            <w:pPr>
              <w:snapToGrid w:val="0"/>
              <w:rPr>
                <w:bCs/>
                <w:szCs w:val="24"/>
              </w:rPr>
            </w:pPr>
            <w:r>
              <w:rPr>
                <w:bCs/>
                <w:szCs w:val="24"/>
              </w:rPr>
              <w:t>b.</w:t>
            </w:r>
          </w:p>
        </w:tc>
        <w:tc>
          <w:tcPr>
            <w:tcW w:w="7069" w:type="dxa"/>
            <w:shd w:val="clear" w:color="auto" w:fill="auto"/>
            <w:vAlign w:val="bottom"/>
          </w:tcPr>
          <w:p w:rsidR="007E60D0" w:rsidRDefault="007E60D0">
            <w:pPr>
              <w:snapToGrid w:val="0"/>
              <w:rPr>
                <w:bCs/>
                <w:szCs w:val="24"/>
              </w:rPr>
            </w:pPr>
            <w:r>
              <w:rPr>
                <w:bCs/>
                <w:szCs w:val="24"/>
              </w:rPr>
              <w:t>Ingresos con destinación específica</w:t>
            </w:r>
          </w:p>
        </w:tc>
        <w:tc>
          <w:tcPr>
            <w:tcW w:w="615" w:type="dxa"/>
            <w:shd w:val="clear" w:color="auto" w:fill="auto"/>
            <w:vAlign w:val="bottom"/>
          </w:tcPr>
          <w:p w:rsidR="007E60D0" w:rsidRDefault="007E60D0">
            <w:pPr>
              <w:snapToGrid w:val="0"/>
              <w:jc w:val="center"/>
              <w:rPr>
                <w:szCs w:val="24"/>
              </w:rPr>
            </w:pPr>
            <w:r>
              <w:rPr>
                <w:szCs w:val="24"/>
              </w:rPr>
              <w:t>13</w:t>
            </w:r>
          </w:p>
        </w:tc>
      </w:tr>
      <w:tr w:rsidR="007E60D0">
        <w:trPr>
          <w:trHeight w:val="405"/>
        </w:trPr>
        <w:tc>
          <w:tcPr>
            <w:tcW w:w="841" w:type="dxa"/>
            <w:shd w:val="clear" w:color="auto" w:fill="auto"/>
            <w:vAlign w:val="bottom"/>
          </w:tcPr>
          <w:p w:rsidR="007E60D0" w:rsidRDefault="007E60D0">
            <w:pPr>
              <w:snapToGrid w:val="0"/>
              <w:rPr>
                <w:bCs/>
                <w:szCs w:val="24"/>
              </w:rPr>
            </w:pPr>
            <w:r>
              <w:rPr>
                <w:bCs/>
                <w:szCs w:val="24"/>
              </w:rPr>
              <w:t>b.1</w:t>
            </w:r>
          </w:p>
        </w:tc>
        <w:tc>
          <w:tcPr>
            <w:tcW w:w="7069" w:type="dxa"/>
            <w:shd w:val="clear" w:color="auto" w:fill="auto"/>
            <w:vAlign w:val="bottom"/>
          </w:tcPr>
          <w:p w:rsidR="007E60D0" w:rsidRDefault="007E60D0">
            <w:pPr>
              <w:snapToGrid w:val="0"/>
              <w:rPr>
                <w:bCs/>
                <w:szCs w:val="24"/>
              </w:rPr>
            </w:pPr>
            <w:r>
              <w:rPr>
                <w:bCs/>
                <w:szCs w:val="24"/>
              </w:rPr>
              <w:t>Con destinación forzosa a inversión</w:t>
            </w:r>
          </w:p>
        </w:tc>
        <w:tc>
          <w:tcPr>
            <w:tcW w:w="615" w:type="dxa"/>
            <w:shd w:val="clear" w:color="auto" w:fill="auto"/>
            <w:vAlign w:val="bottom"/>
          </w:tcPr>
          <w:p w:rsidR="007E60D0" w:rsidRDefault="007E60D0">
            <w:pPr>
              <w:snapToGrid w:val="0"/>
              <w:jc w:val="center"/>
              <w:rPr>
                <w:szCs w:val="24"/>
              </w:rPr>
            </w:pPr>
            <w:r>
              <w:rPr>
                <w:szCs w:val="24"/>
              </w:rPr>
              <w:t>14</w:t>
            </w:r>
          </w:p>
        </w:tc>
      </w:tr>
      <w:tr w:rsidR="007E60D0">
        <w:trPr>
          <w:trHeight w:val="405"/>
        </w:trPr>
        <w:tc>
          <w:tcPr>
            <w:tcW w:w="841" w:type="dxa"/>
            <w:shd w:val="clear" w:color="auto" w:fill="auto"/>
            <w:vAlign w:val="bottom"/>
          </w:tcPr>
          <w:p w:rsidR="007E60D0" w:rsidRDefault="007E60D0">
            <w:pPr>
              <w:snapToGrid w:val="0"/>
              <w:rPr>
                <w:bCs/>
                <w:szCs w:val="24"/>
              </w:rPr>
            </w:pPr>
            <w:r>
              <w:rPr>
                <w:bCs/>
                <w:szCs w:val="24"/>
              </w:rPr>
              <w:t>b.2</w:t>
            </w:r>
          </w:p>
        </w:tc>
        <w:tc>
          <w:tcPr>
            <w:tcW w:w="7069" w:type="dxa"/>
            <w:shd w:val="clear" w:color="auto" w:fill="auto"/>
            <w:vAlign w:val="bottom"/>
          </w:tcPr>
          <w:p w:rsidR="007E60D0" w:rsidRDefault="007E60D0">
            <w:pPr>
              <w:snapToGrid w:val="0"/>
              <w:rPr>
                <w:bCs/>
                <w:szCs w:val="24"/>
              </w:rPr>
            </w:pPr>
            <w:r>
              <w:rPr>
                <w:bCs/>
                <w:szCs w:val="24"/>
              </w:rPr>
              <w:t>Reasignables</w:t>
            </w:r>
          </w:p>
        </w:tc>
        <w:tc>
          <w:tcPr>
            <w:tcW w:w="615" w:type="dxa"/>
            <w:shd w:val="clear" w:color="auto" w:fill="auto"/>
            <w:vAlign w:val="bottom"/>
          </w:tcPr>
          <w:p w:rsidR="007E60D0" w:rsidRDefault="007E60D0">
            <w:pPr>
              <w:snapToGrid w:val="0"/>
              <w:jc w:val="center"/>
              <w:rPr>
                <w:szCs w:val="24"/>
              </w:rPr>
            </w:pPr>
            <w:r>
              <w:rPr>
                <w:szCs w:val="24"/>
              </w:rPr>
              <w:t>14</w:t>
            </w:r>
          </w:p>
        </w:tc>
      </w:tr>
      <w:tr w:rsidR="007E60D0">
        <w:trPr>
          <w:trHeight w:val="405"/>
        </w:trPr>
        <w:tc>
          <w:tcPr>
            <w:tcW w:w="841" w:type="dxa"/>
            <w:shd w:val="clear" w:color="auto" w:fill="auto"/>
            <w:vAlign w:val="bottom"/>
          </w:tcPr>
          <w:p w:rsidR="007E60D0" w:rsidRDefault="007E60D0">
            <w:pPr>
              <w:snapToGrid w:val="0"/>
              <w:rPr>
                <w:bCs/>
                <w:szCs w:val="24"/>
              </w:rPr>
            </w:pPr>
            <w:r>
              <w:rPr>
                <w:bCs/>
                <w:szCs w:val="24"/>
              </w:rPr>
              <w:t>c.</w:t>
            </w:r>
          </w:p>
        </w:tc>
        <w:tc>
          <w:tcPr>
            <w:tcW w:w="7069" w:type="dxa"/>
            <w:shd w:val="clear" w:color="auto" w:fill="auto"/>
            <w:vAlign w:val="bottom"/>
          </w:tcPr>
          <w:p w:rsidR="007E60D0" w:rsidRDefault="007E60D0">
            <w:pPr>
              <w:snapToGrid w:val="0"/>
              <w:rPr>
                <w:bCs/>
                <w:szCs w:val="24"/>
              </w:rPr>
            </w:pPr>
            <w:r>
              <w:rPr>
                <w:bCs/>
                <w:szCs w:val="24"/>
              </w:rPr>
              <w:t>Otros ingresos</w:t>
            </w:r>
          </w:p>
        </w:tc>
        <w:tc>
          <w:tcPr>
            <w:tcW w:w="615" w:type="dxa"/>
            <w:shd w:val="clear" w:color="auto" w:fill="auto"/>
            <w:vAlign w:val="bottom"/>
          </w:tcPr>
          <w:p w:rsidR="007E60D0" w:rsidRDefault="007E60D0">
            <w:pPr>
              <w:snapToGrid w:val="0"/>
              <w:jc w:val="center"/>
              <w:rPr>
                <w:szCs w:val="24"/>
              </w:rPr>
            </w:pPr>
            <w:r>
              <w:rPr>
                <w:szCs w:val="24"/>
              </w:rPr>
              <w:t>14</w:t>
            </w:r>
          </w:p>
        </w:tc>
      </w:tr>
      <w:tr w:rsidR="007E60D0">
        <w:trPr>
          <w:trHeight w:val="405"/>
        </w:trPr>
        <w:tc>
          <w:tcPr>
            <w:tcW w:w="841" w:type="dxa"/>
            <w:shd w:val="clear" w:color="auto" w:fill="auto"/>
            <w:vAlign w:val="bottom"/>
          </w:tcPr>
          <w:p w:rsidR="007E60D0" w:rsidRDefault="007E60D0">
            <w:pPr>
              <w:snapToGrid w:val="0"/>
              <w:rPr>
                <w:szCs w:val="24"/>
              </w:rPr>
            </w:pPr>
            <w:r>
              <w:rPr>
                <w:szCs w:val="24"/>
              </w:rPr>
              <w:t>1.1.3</w:t>
            </w:r>
          </w:p>
        </w:tc>
        <w:tc>
          <w:tcPr>
            <w:tcW w:w="7069" w:type="dxa"/>
            <w:shd w:val="clear" w:color="auto" w:fill="auto"/>
            <w:vAlign w:val="bottom"/>
          </w:tcPr>
          <w:p w:rsidR="007E60D0" w:rsidRDefault="007E60D0">
            <w:pPr>
              <w:snapToGrid w:val="0"/>
              <w:rPr>
                <w:szCs w:val="24"/>
              </w:rPr>
            </w:pPr>
            <w:r>
              <w:rPr>
                <w:szCs w:val="24"/>
              </w:rPr>
              <w:t>Estructura de los Ingresos Corrientes del Municipio</w:t>
            </w:r>
          </w:p>
        </w:tc>
        <w:tc>
          <w:tcPr>
            <w:tcW w:w="615" w:type="dxa"/>
            <w:shd w:val="clear" w:color="auto" w:fill="auto"/>
            <w:vAlign w:val="bottom"/>
          </w:tcPr>
          <w:p w:rsidR="007E60D0" w:rsidRDefault="007E60D0">
            <w:pPr>
              <w:snapToGrid w:val="0"/>
              <w:jc w:val="center"/>
              <w:rPr>
                <w:szCs w:val="24"/>
              </w:rPr>
            </w:pPr>
            <w:r>
              <w:rPr>
                <w:szCs w:val="24"/>
              </w:rPr>
              <w:t>16</w:t>
            </w:r>
          </w:p>
        </w:tc>
      </w:tr>
      <w:tr w:rsidR="007E60D0">
        <w:trPr>
          <w:trHeight w:val="405"/>
        </w:trPr>
        <w:tc>
          <w:tcPr>
            <w:tcW w:w="841" w:type="dxa"/>
            <w:shd w:val="clear" w:color="auto" w:fill="auto"/>
            <w:vAlign w:val="bottom"/>
          </w:tcPr>
          <w:p w:rsidR="007E60D0" w:rsidRDefault="007E60D0">
            <w:pPr>
              <w:snapToGrid w:val="0"/>
              <w:rPr>
                <w:bCs/>
                <w:szCs w:val="24"/>
              </w:rPr>
            </w:pPr>
            <w:r>
              <w:rPr>
                <w:bCs/>
                <w:szCs w:val="24"/>
              </w:rPr>
              <w:t>1.2</w:t>
            </w:r>
          </w:p>
        </w:tc>
        <w:tc>
          <w:tcPr>
            <w:tcW w:w="7069" w:type="dxa"/>
            <w:shd w:val="clear" w:color="auto" w:fill="auto"/>
            <w:vAlign w:val="bottom"/>
          </w:tcPr>
          <w:p w:rsidR="007E60D0" w:rsidRDefault="007E60D0">
            <w:pPr>
              <w:snapToGrid w:val="0"/>
              <w:rPr>
                <w:szCs w:val="24"/>
              </w:rPr>
            </w:pPr>
            <w:r>
              <w:rPr>
                <w:szCs w:val="24"/>
              </w:rPr>
              <w:t>Estructura de los Gastos Municipales (2008, 2009, 2010)</w:t>
            </w:r>
          </w:p>
        </w:tc>
        <w:tc>
          <w:tcPr>
            <w:tcW w:w="615" w:type="dxa"/>
            <w:shd w:val="clear" w:color="auto" w:fill="auto"/>
            <w:vAlign w:val="bottom"/>
          </w:tcPr>
          <w:p w:rsidR="007E60D0" w:rsidRDefault="007E60D0">
            <w:pPr>
              <w:snapToGrid w:val="0"/>
              <w:jc w:val="center"/>
              <w:rPr>
                <w:rFonts w:eastAsia="Arial Unicode MS"/>
                <w:szCs w:val="24"/>
              </w:rPr>
            </w:pPr>
            <w:r>
              <w:rPr>
                <w:rFonts w:eastAsia="Arial Unicode MS"/>
                <w:szCs w:val="24"/>
              </w:rPr>
              <w:t>18</w:t>
            </w:r>
          </w:p>
        </w:tc>
      </w:tr>
      <w:tr w:rsidR="007E60D0">
        <w:trPr>
          <w:trHeight w:val="405"/>
        </w:trPr>
        <w:tc>
          <w:tcPr>
            <w:tcW w:w="841" w:type="dxa"/>
            <w:shd w:val="clear" w:color="auto" w:fill="auto"/>
            <w:vAlign w:val="bottom"/>
          </w:tcPr>
          <w:p w:rsidR="007E60D0" w:rsidRDefault="007E60D0">
            <w:pPr>
              <w:snapToGrid w:val="0"/>
              <w:rPr>
                <w:bCs/>
                <w:szCs w:val="24"/>
              </w:rPr>
            </w:pPr>
            <w:r>
              <w:rPr>
                <w:bCs/>
                <w:szCs w:val="24"/>
              </w:rPr>
              <w:t>1.2.1</w:t>
            </w:r>
          </w:p>
        </w:tc>
        <w:tc>
          <w:tcPr>
            <w:tcW w:w="7069" w:type="dxa"/>
            <w:shd w:val="clear" w:color="auto" w:fill="auto"/>
            <w:vAlign w:val="bottom"/>
          </w:tcPr>
          <w:p w:rsidR="007E60D0" w:rsidRDefault="007E60D0">
            <w:pPr>
              <w:snapToGrid w:val="0"/>
              <w:rPr>
                <w:szCs w:val="24"/>
              </w:rPr>
            </w:pPr>
            <w:r>
              <w:rPr>
                <w:szCs w:val="24"/>
              </w:rPr>
              <w:t xml:space="preserve">Incorporación de Pasivos Acumulados de Vigencias Anteriores y </w:t>
            </w:r>
          </w:p>
        </w:tc>
        <w:tc>
          <w:tcPr>
            <w:tcW w:w="615" w:type="dxa"/>
            <w:shd w:val="clear" w:color="auto" w:fill="auto"/>
            <w:vAlign w:val="bottom"/>
          </w:tcPr>
          <w:p w:rsidR="007E60D0" w:rsidRDefault="007E60D0">
            <w:pPr>
              <w:snapToGrid w:val="0"/>
              <w:jc w:val="center"/>
              <w:rPr>
                <w:szCs w:val="24"/>
              </w:rPr>
            </w:pPr>
            <w:r>
              <w:rPr>
                <w:szCs w:val="24"/>
              </w:rPr>
              <w:t>18</w:t>
            </w:r>
          </w:p>
        </w:tc>
      </w:tr>
      <w:tr w:rsidR="007E60D0">
        <w:trPr>
          <w:trHeight w:val="405"/>
        </w:trPr>
        <w:tc>
          <w:tcPr>
            <w:tcW w:w="841" w:type="dxa"/>
            <w:shd w:val="clear" w:color="auto" w:fill="auto"/>
            <w:vAlign w:val="bottom"/>
          </w:tcPr>
          <w:p w:rsidR="007E60D0" w:rsidRDefault="007E60D0">
            <w:pPr>
              <w:snapToGrid w:val="0"/>
              <w:rPr>
                <w:bCs/>
                <w:szCs w:val="24"/>
              </w:rPr>
            </w:pPr>
            <w:r>
              <w:rPr>
                <w:bCs/>
                <w:szCs w:val="24"/>
              </w:rPr>
              <w:t>1.2.2</w:t>
            </w:r>
          </w:p>
        </w:tc>
        <w:tc>
          <w:tcPr>
            <w:tcW w:w="7069" w:type="dxa"/>
            <w:shd w:val="clear" w:color="auto" w:fill="auto"/>
            <w:vAlign w:val="bottom"/>
          </w:tcPr>
          <w:p w:rsidR="007E60D0" w:rsidRDefault="007E60D0">
            <w:pPr>
              <w:snapToGrid w:val="0"/>
              <w:rPr>
                <w:bCs/>
                <w:szCs w:val="24"/>
              </w:rPr>
            </w:pPr>
            <w:r>
              <w:rPr>
                <w:bCs/>
                <w:szCs w:val="24"/>
              </w:rPr>
              <w:t>Contingencias</w:t>
            </w:r>
          </w:p>
          <w:p w:rsidR="007E60D0" w:rsidRDefault="007E60D0">
            <w:pPr>
              <w:rPr>
                <w:bCs/>
                <w:szCs w:val="24"/>
              </w:rPr>
            </w:pPr>
            <w:r>
              <w:rPr>
                <w:bCs/>
                <w:szCs w:val="24"/>
              </w:rPr>
              <w:t>Establecer la composición de los pasivos</w:t>
            </w:r>
          </w:p>
        </w:tc>
        <w:tc>
          <w:tcPr>
            <w:tcW w:w="615" w:type="dxa"/>
            <w:shd w:val="clear" w:color="auto" w:fill="auto"/>
            <w:vAlign w:val="bottom"/>
          </w:tcPr>
          <w:p w:rsidR="007E60D0" w:rsidRDefault="007E60D0">
            <w:pPr>
              <w:snapToGrid w:val="0"/>
              <w:jc w:val="center"/>
              <w:rPr>
                <w:szCs w:val="24"/>
              </w:rPr>
            </w:pPr>
            <w:r>
              <w:rPr>
                <w:szCs w:val="24"/>
              </w:rPr>
              <w:t>18</w:t>
            </w:r>
          </w:p>
        </w:tc>
      </w:tr>
      <w:tr w:rsidR="007E60D0">
        <w:trPr>
          <w:trHeight w:val="405"/>
        </w:trPr>
        <w:tc>
          <w:tcPr>
            <w:tcW w:w="841" w:type="dxa"/>
            <w:shd w:val="clear" w:color="auto" w:fill="auto"/>
            <w:vAlign w:val="bottom"/>
          </w:tcPr>
          <w:p w:rsidR="007E60D0" w:rsidRDefault="007E60D0">
            <w:pPr>
              <w:snapToGrid w:val="0"/>
              <w:rPr>
                <w:bCs/>
                <w:szCs w:val="24"/>
              </w:rPr>
            </w:pPr>
            <w:r>
              <w:rPr>
                <w:bCs/>
                <w:szCs w:val="24"/>
              </w:rPr>
              <w:t>1.2.3</w:t>
            </w:r>
          </w:p>
        </w:tc>
        <w:tc>
          <w:tcPr>
            <w:tcW w:w="7069" w:type="dxa"/>
            <w:shd w:val="clear" w:color="auto" w:fill="auto"/>
            <w:vAlign w:val="bottom"/>
          </w:tcPr>
          <w:p w:rsidR="007E60D0" w:rsidRDefault="007E60D0">
            <w:pPr>
              <w:snapToGrid w:val="0"/>
              <w:rPr>
                <w:bCs/>
                <w:szCs w:val="24"/>
              </w:rPr>
            </w:pPr>
            <w:r>
              <w:rPr>
                <w:bCs/>
                <w:szCs w:val="24"/>
              </w:rPr>
              <w:t>Tipos de gastos y estimación de pasivos</w:t>
            </w:r>
          </w:p>
        </w:tc>
        <w:tc>
          <w:tcPr>
            <w:tcW w:w="615" w:type="dxa"/>
            <w:shd w:val="clear" w:color="auto" w:fill="auto"/>
            <w:vAlign w:val="bottom"/>
          </w:tcPr>
          <w:p w:rsidR="007E60D0" w:rsidRDefault="007E60D0">
            <w:pPr>
              <w:snapToGrid w:val="0"/>
              <w:jc w:val="center"/>
              <w:rPr>
                <w:szCs w:val="24"/>
              </w:rPr>
            </w:pPr>
            <w:r>
              <w:rPr>
                <w:szCs w:val="24"/>
              </w:rPr>
              <w:t>20</w:t>
            </w:r>
          </w:p>
        </w:tc>
      </w:tr>
      <w:tr w:rsidR="007E60D0">
        <w:trPr>
          <w:trHeight w:val="405"/>
        </w:trPr>
        <w:tc>
          <w:tcPr>
            <w:tcW w:w="841" w:type="dxa"/>
            <w:shd w:val="clear" w:color="auto" w:fill="auto"/>
            <w:vAlign w:val="bottom"/>
          </w:tcPr>
          <w:p w:rsidR="007E60D0" w:rsidRDefault="007E60D0">
            <w:pPr>
              <w:snapToGrid w:val="0"/>
              <w:rPr>
                <w:bCs/>
                <w:szCs w:val="24"/>
              </w:rPr>
            </w:pPr>
            <w:r>
              <w:rPr>
                <w:bCs/>
                <w:szCs w:val="24"/>
              </w:rPr>
              <w:t>a.</w:t>
            </w:r>
          </w:p>
        </w:tc>
        <w:tc>
          <w:tcPr>
            <w:tcW w:w="7069" w:type="dxa"/>
            <w:shd w:val="clear" w:color="auto" w:fill="auto"/>
            <w:vAlign w:val="bottom"/>
          </w:tcPr>
          <w:p w:rsidR="007E60D0" w:rsidRDefault="007E60D0">
            <w:pPr>
              <w:snapToGrid w:val="0"/>
              <w:rPr>
                <w:bCs/>
                <w:szCs w:val="24"/>
              </w:rPr>
            </w:pPr>
            <w:r>
              <w:rPr>
                <w:bCs/>
                <w:szCs w:val="24"/>
              </w:rPr>
              <w:t>Asociados a la nomina</w:t>
            </w:r>
          </w:p>
        </w:tc>
        <w:tc>
          <w:tcPr>
            <w:tcW w:w="615" w:type="dxa"/>
            <w:shd w:val="clear" w:color="auto" w:fill="auto"/>
            <w:vAlign w:val="bottom"/>
          </w:tcPr>
          <w:p w:rsidR="007E60D0" w:rsidRDefault="007E60D0">
            <w:pPr>
              <w:snapToGrid w:val="0"/>
              <w:jc w:val="center"/>
              <w:rPr>
                <w:szCs w:val="24"/>
              </w:rPr>
            </w:pPr>
            <w:r>
              <w:rPr>
                <w:szCs w:val="24"/>
              </w:rPr>
              <w:t>20</w:t>
            </w:r>
          </w:p>
        </w:tc>
      </w:tr>
      <w:tr w:rsidR="007E60D0">
        <w:trPr>
          <w:trHeight w:val="405"/>
        </w:trPr>
        <w:tc>
          <w:tcPr>
            <w:tcW w:w="841" w:type="dxa"/>
            <w:shd w:val="clear" w:color="auto" w:fill="auto"/>
            <w:vAlign w:val="bottom"/>
          </w:tcPr>
          <w:p w:rsidR="007E60D0" w:rsidRDefault="007E60D0">
            <w:pPr>
              <w:snapToGrid w:val="0"/>
              <w:rPr>
                <w:bCs/>
                <w:szCs w:val="24"/>
              </w:rPr>
            </w:pPr>
            <w:r>
              <w:rPr>
                <w:bCs/>
                <w:szCs w:val="24"/>
              </w:rPr>
              <w:t>b.</w:t>
            </w:r>
          </w:p>
        </w:tc>
        <w:tc>
          <w:tcPr>
            <w:tcW w:w="7069" w:type="dxa"/>
            <w:shd w:val="clear" w:color="auto" w:fill="auto"/>
            <w:vAlign w:val="bottom"/>
          </w:tcPr>
          <w:p w:rsidR="007E60D0" w:rsidRDefault="007E60D0">
            <w:pPr>
              <w:snapToGrid w:val="0"/>
              <w:rPr>
                <w:bCs/>
                <w:szCs w:val="24"/>
              </w:rPr>
            </w:pPr>
            <w:r>
              <w:rPr>
                <w:bCs/>
                <w:szCs w:val="24"/>
              </w:rPr>
              <w:t>Generales</w:t>
            </w:r>
          </w:p>
        </w:tc>
        <w:tc>
          <w:tcPr>
            <w:tcW w:w="615" w:type="dxa"/>
            <w:shd w:val="clear" w:color="auto" w:fill="auto"/>
            <w:vAlign w:val="bottom"/>
          </w:tcPr>
          <w:p w:rsidR="007E60D0" w:rsidRDefault="007E60D0">
            <w:pPr>
              <w:snapToGrid w:val="0"/>
              <w:jc w:val="center"/>
              <w:rPr>
                <w:szCs w:val="24"/>
              </w:rPr>
            </w:pPr>
            <w:r>
              <w:rPr>
                <w:szCs w:val="24"/>
              </w:rPr>
              <w:t>20</w:t>
            </w:r>
          </w:p>
        </w:tc>
      </w:tr>
      <w:tr w:rsidR="007E60D0">
        <w:trPr>
          <w:trHeight w:val="405"/>
        </w:trPr>
        <w:tc>
          <w:tcPr>
            <w:tcW w:w="841" w:type="dxa"/>
            <w:shd w:val="clear" w:color="auto" w:fill="auto"/>
            <w:vAlign w:val="bottom"/>
          </w:tcPr>
          <w:p w:rsidR="007E60D0" w:rsidRDefault="007E60D0">
            <w:pPr>
              <w:snapToGrid w:val="0"/>
              <w:rPr>
                <w:bCs/>
                <w:szCs w:val="24"/>
              </w:rPr>
            </w:pPr>
            <w:r>
              <w:rPr>
                <w:bCs/>
                <w:szCs w:val="24"/>
              </w:rPr>
              <w:t>c.</w:t>
            </w:r>
          </w:p>
        </w:tc>
        <w:tc>
          <w:tcPr>
            <w:tcW w:w="7069" w:type="dxa"/>
            <w:shd w:val="clear" w:color="auto" w:fill="auto"/>
            <w:vAlign w:val="bottom"/>
          </w:tcPr>
          <w:p w:rsidR="007E60D0" w:rsidRDefault="007E60D0">
            <w:pPr>
              <w:snapToGrid w:val="0"/>
              <w:rPr>
                <w:bCs/>
                <w:szCs w:val="24"/>
              </w:rPr>
            </w:pPr>
            <w:r>
              <w:rPr>
                <w:bCs/>
                <w:szCs w:val="24"/>
              </w:rPr>
              <w:t>Transferencias</w:t>
            </w:r>
          </w:p>
        </w:tc>
        <w:tc>
          <w:tcPr>
            <w:tcW w:w="615" w:type="dxa"/>
            <w:shd w:val="clear" w:color="auto" w:fill="auto"/>
            <w:vAlign w:val="bottom"/>
          </w:tcPr>
          <w:p w:rsidR="007E60D0" w:rsidRDefault="007E60D0">
            <w:pPr>
              <w:snapToGrid w:val="0"/>
              <w:jc w:val="center"/>
              <w:rPr>
                <w:szCs w:val="24"/>
              </w:rPr>
            </w:pPr>
            <w:r>
              <w:rPr>
                <w:szCs w:val="24"/>
              </w:rPr>
              <w:t>21</w:t>
            </w:r>
          </w:p>
        </w:tc>
      </w:tr>
      <w:tr w:rsidR="007E60D0">
        <w:trPr>
          <w:trHeight w:val="405"/>
        </w:trPr>
        <w:tc>
          <w:tcPr>
            <w:tcW w:w="841" w:type="dxa"/>
            <w:shd w:val="clear" w:color="auto" w:fill="auto"/>
            <w:vAlign w:val="bottom"/>
          </w:tcPr>
          <w:p w:rsidR="007E60D0" w:rsidRDefault="007E60D0">
            <w:pPr>
              <w:snapToGrid w:val="0"/>
              <w:rPr>
                <w:bCs/>
                <w:szCs w:val="24"/>
              </w:rPr>
            </w:pPr>
            <w:r>
              <w:rPr>
                <w:bCs/>
                <w:szCs w:val="24"/>
              </w:rPr>
              <w:t>d.</w:t>
            </w:r>
          </w:p>
        </w:tc>
        <w:tc>
          <w:tcPr>
            <w:tcW w:w="7069" w:type="dxa"/>
            <w:shd w:val="clear" w:color="auto" w:fill="auto"/>
            <w:vAlign w:val="bottom"/>
          </w:tcPr>
          <w:p w:rsidR="007E60D0" w:rsidRDefault="007E60D0">
            <w:pPr>
              <w:snapToGrid w:val="0"/>
              <w:rPr>
                <w:bCs/>
                <w:szCs w:val="24"/>
              </w:rPr>
            </w:pPr>
            <w:r>
              <w:rPr>
                <w:bCs/>
                <w:szCs w:val="24"/>
              </w:rPr>
              <w:t>Servicio de la deuda</w:t>
            </w:r>
          </w:p>
        </w:tc>
        <w:tc>
          <w:tcPr>
            <w:tcW w:w="615" w:type="dxa"/>
            <w:shd w:val="clear" w:color="auto" w:fill="auto"/>
            <w:vAlign w:val="bottom"/>
          </w:tcPr>
          <w:p w:rsidR="007E60D0" w:rsidRDefault="007E60D0">
            <w:pPr>
              <w:snapToGrid w:val="0"/>
              <w:jc w:val="center"/>
              <w:rPr>
                <w:szCs w:val="24"/>
              </w:rPr>
            </w:pPr>
            <w:r>
              <w:rPr>
                <w:szCs w:val="24"/>
              </w:rPr>
              <w:t>22</w:t>
            </w:r>
          </w:p>
        </w:tc>
      </w:tr>
      <w:tr w:rsidR="007E60D0">
        <w:trPr>
          <w:trHeight w:val="405"/>
        </w:trPr>
        <w:tc>
          <w:tcPr>
            <w:tcW w:w="841" w:type="dxa"/>
            <w:shd w:val="clear" w:color="auto" w:fill="auto"/>
            <w:vAlign w:val="bottom"/>
          </w:tcPr>
          <w:p w:rsidR="007E60D0" w:rsidRDefault="007E60D0">
            <w:pPr>
              <w:snapToGrid w:val="0"/>
              <w:rPr>
                <w:bCs/>
                <w:szCs w:val="24"/>
              </w:rPr>
            </w:pPr>
            <w:r>
              <w:rPr>
                <w:bCs/>
                <w:szCs w:val="24"/>
              </w:rPr>
              <w:t>e.</w:t>
            </w:r>
          </w:p>
        </w:tc>
        <w:tc>
          <w:tcPr>
            <w:tcW w:w="7069" w:type="dxa"/>
            <w:shd w:val="clear" w:color="auto" w:fill="auto"/>
            <w:vAlign w:val="bottom"/>
          </w:tcPr>
          <w:p w:rsidR="007E60D0" w:rsidRDefault="007E60D0">
            <w:pPr>
              <w:snapToGrid w:val="0"/>
              <w:rPr>
                <w:bCs/>
                <w:szCs w:val="24"/>
              </w:rPr>
            </w:pPr>
            <w:r>
              <w:rPr>
                <w:bCs/>
                <w:szCs w:val="24"/>
              </w:rPr>
              <w:t>Inversión</w:t>
            </w:r>
          </w:p>
        </w:tc>
        <w:tc>
          <w:tcPr>
            <w:tcW w:w="615" w:type="dxa"/>
            <w:shd w:val="clear" w:color="auto" w:fill="auto"/>
            <w:vAlign w:val="bottom"/>
          </w:tcPr>
          <w:p w:rsidR="007E60D0" w:rsidRDefault="007E60D0">
            <w:pPr>
              <w:snapToGrid w:val="0"/>
              <w:jc w:val="center"/>
              <w:rPr>
                <w:szCs w:val="24"/>
              </w:rPr>
            </w:pPr>
            <w:r>
              <w:rPr>
                <w:szCs w:val="24"/>
              </w:rPr>
              <w:t>22</w:t>
            </w:r>
          </w:p>
        </w:tc>
      </w:tr>
      <w:tr w:rsidR="007E60D0">
        <w:trPr>
          <w:trHeight w:val="405"/>
        </w:trPr>
        <w:tc>
          <w:tcPr>
            <w:tcW w:w="841" w:type="dxa"/>
            <w:shd w:val="clear" w:color="auto" w:fill="auto"/>
            <w:vAlign w:val="bottom"/>
          </w:tcPr>
          <w:p w:rsidR="007E60D0" w:rsidRDefault="007E60D0">
            <w:pPr>
              <w:snapToGrid w:val="0"/>
              <w:rPr>
                <w:szCs w:val="24"/>
              </w:rPr>
            </w:pPr>
            <w:r>
              <w:rPr>
                <w:szCs w:val="24"/>
              </w:rPr>
              <w:t>1.2.4</w:t>
            </w:r>
          </w:p>
        </w:tc>
        <w:tc>
          <w:tcPr>
            <w:tcW w:w="7069" w:type="dxa"/>
            <w:shd w:val="clear" w:color="auto" w:fill="auto"/>
            <w:vAlign w:val="bottom"/>
          </w:tcPr>
          <w:p w:rsidR="007E60D0" w:rsidRDefault="007E60D0">
            <w:pPr>
              <w:snapToGrid w:val="0"/>
              <w:rPr>
                <w:szCs w:val="24"/>
              </w:rPr>
            </w:pPr>
            <w:r>
              <w:rPr>
                <w:szCs w:val="24"/>
              </w:rPr>
              <w:t>Estructura de los Gastos de Funcionamiento</w:t>
            </w:r>
          </w:p>
        </w:tc>
        <w:tc>
          <w:tcPr>
            <w:tcW w:w="615" w:type="dxa"/>
            <w:shd w:val="clear" w:color="auto" w:fill="auto"/>
            <w:vAlign w:val="bottom"/>
          </w:tcPr>
          <w:p w:rsidR="007E60D0" w:rsidRDefault="007E60D0">
            <w:pPr>
              <w:snapToGrid w:val="0"/>
              <w:jc w:val="center"/>
              <w:rPr>
                <w:rFonts w:eastAsia="Arial Unicode MS"/>
                <w:szCs w:val="24"/>
              </w:rPr>
            </w:pPr>
            <w:r>
              <w:rPr>
                <w:rFonts w:eastAsia="Arial Unicode MS"/>
                <w:szCs w:val="24"/>
              </w:rPr>
              <w:t>23</w:t>
            </w:r>
          </w:p>
        </w:tc>
      </w:tr>
      <w:tr w:rsidR="007E60D0">
        <w:trPr>
          <w:trHeight w:val="405"/>
        </w:trPr>
        <w:tc>
          <w:tcPr>
            <w:tcW w:w="841" w:type="dxa"/>
            <w:shd w:val="clear" w:color="auto" w:fill="auto"/>
            <w:vAlign w:val="bottom"/>
          </w:tcPr>
          <w:p w:rsidR="007E60D0" w:rsidRDefault="007E60D0">
            <w:pPr>
              <w:snapToGrid w:val="0"/>
              <w:rPr>
                <w:bCs/>
                <w:szCs w:val="24"/>
              </w:rPr>
            </w:pPr>
            <w:r>
              <w:rPr>
                <w:bCs/>
                <w:szCs w:val="24"/>
              </w:rPr>
              <w:lastRenderedPageBreak/>
              <w:t>1.2.5</w:t>
            </w:r>
          </w:p>
        </w:tc>
        <w:tc>
          <w:tcPr>
            <w:tcW w:w="7069" w:type="dxa"/>
            <w:shd w:val="clear" w:color="auto" w:fill="auto"/>
            <w:vAlign w:val="bottom"/>
          </w:tcPr>
          <w:p w:rsidR="007E60D0" w:rsidRDefault="007E60D0">
            <w:pPr>
              <w:snapToGrid w:val="0"/>
              <w:rPr>
                <w:bCs/>
                <w:szCs w:val="24"/>
              </w:rPr>
            </w:pPr>
            <w:r>
              <w:rPr>
                <w:bCs/>
                <w:szCs w:val="24"/>
              </w:rPr>
              <w:t>Relación entre la estructura de ingresos y la estructura de gastos</w:t>
            </w:r>
          </w:p>
        </w:tc>
        <w:tc>
          <w:tcPr>
            <w:tcW w:w="615" w:type="dxa"/>
            <w:shd w:val="clear" w:color="auto" w:fill="auto"/>
            <w:vAlign w:val="bottom"/>
          </w:tcPr>
          <w:p w:rsidR="007E60D0" w:rsidRDefault="007E60D0">
            <w:pPr>
              <w:snapToGrid w:val="0"/>
              <w:jc w:val="center"/>
              <w:rPr>
                <w:rFonts w:eastAsia="Arial Unicode MS"/>
                <w:szCs w:val="24"/>
              </w:rPr>
            </w:pPr>
            <w:r>
              <w:rPr>
                <w:rFonts w:eastAsia="Arial Unicode MS"/>
                <w:szCs w:val="24"/>
              </w:rPr>
              <w:t>24</w:t>
            </w:r>
          </w:p>
        </w:tc>
      </w:tr>
      <w:tr w:rsidR="007E60D0">
        <w:trPr>
          <w:trHeight w:val="405"/>
        </w:trPr>
        <w:tc>
          <w:tcPr>
            <w:tcW w:w="841" w:type="dxa"/>
            <w:shd w:val="clear" w:color="auto" w:fill="auto"/>
            <w:vAlign w:val="bottom"/>
          </w:tcPr>
          <w:p w:rsidR="007E60D0" w:rsidRDefault="007E60D0">
            <w:pPr>
              <w:snapToGrid w:val="0"/>
              <w:rPr>
                <w:szCs w:val="24"/>
              </w:rPr>
            </w:pPr>
            <w:r>
              <w:rPr>
                <w:szCs w:val="24"/>
              </w:rPr>
              <w:t>1.3</w:t>
            </w:r>
          </w:p>
        </w:tc>
        <w:tc>
          <w:tcPr>
            <w:tcW w:w="7069" w:type="dxa"/>
            <w:shd w:val="clear" w:color="auto" w:fill="auto"/>
            <w:vAlign w:val="bottom"/>
          </w:tcPr>
          <w:p w:rsidR="007E60D0" w:rsidRDefault="007E60D0">
            <w:pPr>
              <w:snapToGrid w:val="0"/>
              <w:rPr>
                <w:szCs w:val="24"/>
              </w:rPr>
            </w:pPr>
            <w:r>
              <w:rPr>
                <w:szCs w:val="24"/>
              </w:rPr>
              <w:t>Capacidad de endeudamiento</w:t>
            </w:r>
          </w:p>
        </w:tc>
        <w:tc>
          <w:tcPr>
            <w:tcW w:w="615" w:type="dxa"/>
            <w:shd w:val="clear" w:color="auto" w:fill="auto"/>
            <w:vAlign w:val="bottom"/>
          </w:tcPr>
          <w:p w:rsidR="007E60D0" w:rsidRDefault="007E60D0">
            <w:pPr>
              <w:snapToGrid w:val="0"/>
              <w:jc w:val="center"/>
              <w:rPr>
                <w:szCs w:val="24"/>
              </w:rPr>
            </w:pPr>
            <w:r>
              <w:rPr>
                <w:szCs w:val="24"/>
              </w:rPr>
              <w:t>32</w:t>
            </w:r>
          </w:p>
        </w:tc>
      </w:tr>
      <w:tr w:rsidR="007E60D0">
        <w:trPr>
          <w:trHeight w:val="405"/>
        </w:trPr>
        <w:tc>
          <w:tcPr>
            <w:tcW w:w="841" w:type="dxa"/>
            <w:shd w:val="clear" w:color="auto" w:fill="auto"/>
            <w:vAlign w:val="bottom"/>
          </w:tcPr>
          <w:p w:rsidR="007E60D0" w:rsidRDefault="007E60D0">
            <w:pPr>
              <w:snapToGrid w:val="0"/>
              <w:rPr>
                <w:szCs w:val="24"/>
              </w:rPr>
            </w:pPr>
            <w:r>
              <w:rPr>
                <w:szCs w:val="24"/>
              </w:rPr>
              <w:t>1.3.1</w:t>
            </w:r>
          </w:p>
        </w:tc>
        <w:tc>
          <w:tcPr>
            <w:tcW w:w="7069" w:type="dxa"/>
            <w:shd w:val="clear" w:color="auto" w:fill="auto"/>
            <w:vAlign w:val="bottom"/>
          </w:tcPr>
          <w:p w:rsidR="007E60D0" w:rsidRDefault="007E60D0">
            <w:pPr>
              <w:snapToGrid w:val="0"/>
              <w:rPr>
                <w:szCs w:val="24"/>
              </w:rPr>
            </w:pPr>
            <w:r>
              <w:rPr>
                <w:szCs w:val="24"/>
              </w:rPr>
              <w:t>Financiamiento del gasto corriente</w:t>
            </w:r>
          </w:p>
        </w:tc>
        <w:tc>
          <w:tcPr>
            <w:tcW w:w="615" w:type="dxa"/>
            <w:shd w:val="clear" w:color="auto" w:fill="auto"/>
            <w:vAlign w:val="bottom"/>
          </w:tcPr>
          <w:p w:rsidR="007E60D0" w:rsidRDefault="007E60D0">
            <w:pPr>
              <w:snapToGrid w:val="0"/>
              <w:jc w:val="center"/>
              <w:rPr>
                <w:rFonts w:eastAsia="Arial Unicode MS"/>
                <w:szCs w:val="24"/>
              </w:rPr>
            </w:pPr>
            <w:r>
              <w:rPr>
                <w:rFonts w:eastAsia="Arial Unicode MS"/>
                <w:szCs w:val="24"/>
              </w:rPr>
              <w:t>33</w:t>
            </w:r>
          </w:p>
        </w:tc>
      </w:tr>
      <w:tr w:rsidR="007E60D0">
        <w:trPr>
          <w:trHeight w:val="405"/>
        </w:trPr>
        <w:tc>
          <w:tcPr>
            <w:tcW w:w="841" w:type="dxa"/>
            <w:shd w:val="clear" w:color="auto" w:fill="auto"/>
            <w:vAlign w:val="bottom"/>
          </w:tcPr>
          <w:p w:rsidR="007E60D0" w:rsidRDefault="007E60D0">
            <w:pPr>
              <w:snapToGrid w:val="0"/>
              <w:rPr>
                <w:szCs w:val="24"/>
              </w:rPr>
            </w:pPr>
            <w:r>
              <w:rPr>
                <w:szCs w:val="24"/>
              </w:rPr>
              <w:t>1.3.2</w:t>
            </w:r>
          </w:p>
        </w:tc>
        <w:tc>
          <w:tcPr>
            <w:tcW w:w="7069" w:type="dxa"/>
            <w:shd w:val="clear" w:color="auto" w:fill="auto"/>
            <w:vAlign w:val="bottom"/>
          </w:tcPr>
          <w:p w:rsidR="007E60D0" w:rsidRDefault="007E60D0">
            <w:pPr>
              <w:snapToGrid w:val="0"/>
              <w:rPr>
                <w:szCs w:val="24"/>
              </w:rPr>
            </w:pPr>
            <w:r>
              <w:rPr>
                <w:szCs w:val="24"/>
              </w:rPr>
              <w:t>Análisis del cumplimiento de la Ley 617 de 2000</w:t>
            </w:r>
          </w:p>
        </w:tc>
        <w:tc>
          <w:tcPr>
            <w:tcW w:w="615" w:type="dxa"/>
            <w:shd w:val="clear" w:color="auto" w:fill="auto"/>
            <w:vAlign w:val="bottom"/>
          </w:tcPr>
          <w:p w:rsidR="007E60D0" w:rsidRDefault="007E60D0">
            <w:pPr>
              <w:snapToGrid w:val="0"/>
              <w:jc w:val="center"/>
              <w:rPr>
                <w:szCs w:val="24"/>
              </w:rPr>
            </w:pPr>
            <w:r>
              <w:rPr>
                <w:szCs w:val="24"/>
              </w:rPr>
              <w:t>34</w:t>
            </w:r>
          </w:p>
        </w:tc>
      </w:tr>
      <w:tr w:rsidR="007E60D0">
        <w:trPr>
          <w:trHeight w:val="405"/>
        </w:trPr>
        <w:tc>
          <w:tcPr>
            <w:tcW w:w="841" w:type="dxa"/>
            <w:shd w:val="clear" w:color="auto" w:fill="auto"/>
            <w:vAlign w:val="bottom"/>
          </w:tcPr>
          <w:p w:rsidR="007E60D0" w:rsidRDefault="007E60D0">
            <w:pPr>
              <w:snapToGrid w:val="0"/>
              <w:rPr>
                <w:bCs/>
                <w:szCs w:val="24"/>
              </w:rPr>
            </w:pPr>
            <w:r>
              <w:rPr>
                <w:bCs/>
                <w:szCs w:val="24"/>
              </w:rPr>
              <w:t>1.4</w:t>
            </w:r>
          </w:p>
        </w:tc>
        <w:tc>
          <w:tcPr>
            <w:tcW w:w="7069" w:type="dxa"/>
            <w:shd w:val="clear" w:color="auto" w:fill="auto"/>
            <w:vAlign w:val="bottom"/>
          </w:tcPr>
          <w:p w:rsidR="007E60D0" w:rsidRDefault="007E60D0">
            <w:pPr>
              <w:snapToGrid w:val="0"/>
              <w:rPr>
                <w:bCs/>
                <w:szCs w:val="24"/>
              </w:rPr>
            </w:pPr>
            <w:r>
              <w:rPr>
                <w:bCs/>
                <w:szCs w:val="24"/>
              </w:rPr>
              <w:t>Composición de la deuda pública actual</w:t>
            </w:r>
          </w:p>
        </w:tc>
        <w:tc>
          <w:tcPr>
            <w:tcW w:w="615" w:type="dxa"/>
            <w:shd w:val="clear" w:color="auto" w:fill="auto"/>
            <w:vAlign w:val="bottom"/>
          </w:tcPr>
          <w:p w:rsidR="007E60D0" w:rsidRDefault="007E60D0">
            <w:pPr>
              <w:snapToGrid w:val="0"/>
              <w:jc w:val="center"/>
              <w:rPr>
                <w:szCs w:val="24"/>
              </w:rPr>
            </w:pPr>
            <w:r>
              <w:rPr>
                <w:szCs w:val="24"/>
              </w:rPr>
              <w:t>35</w:t>
            </w:r>
          </w:p>
        </w:tc>
      </w:tr>
      <w:tr w:rsidR="007E60D0">
        <w:trPr>
          <w:trHeight w:val="405"/>
        </w:trPr>
        <w:tc>
          <w:tcPr>
            <w:tcW w:w="841" w:type="dxa"/>
            <w:shd w:val="clear" w:color="auto" w:fill="auto"/>
            <w:vAlign w:val="bottom"/>
          </w:tcPr>
          <w:p w:rsidR="007E60D0" w:rsidRDefault="007E60D0">
            <w:pPr>
              <w:snapToGrid w:val="0"/>
              <w:rPr>
                <w:bCs/>
                <w:szCs w:val="24"/>
              </w:rPr>
            </w:pPr>
            <w:r>
              <w:rPr>
                <w:bCs/>
                <w:szCs w:val="24"/>
              </w:rPr>
              <w:t>1.5</w:t>
            </w:r>
          </w:p>
        </w:tc>
        <w:tc>
          <w:tcPr>
            <w:tcW w:w="7069" w:type="dxa"/>
            <w:shd w:val="clear" w:color="auto" w:fill="auto"/>
            <w:vAlign w:val="bottom"/>
          </w:tcPr>
          <w:p w:rsidR="007E60D0" w:rsidRDefault="007E60D0">
            <w:pPr>
              <w:snapToGrid w:val="0"/>
              <w:rPr>
                <w:bCs/>
                <w:szCs w:val="24"/>
              </w:rPr>
            </w:pPr>
            <w:r>
              <w:rPr>
                <w:bCs/>
                <w:szCs w:val="24"/>
              </w:rPr>
              <w:t>Resultados o Conclusiones del Plan Financiero</w:t>
            </w:r>
          </w:p>
        </w:tc>
        <w:tc>
          <w:tcPr>
            <w:tcW w:w="615" w:type="dxa"/>
            <w:shd w:val="clear" w:color="auto" w:fill="auto"/>
            <w:vAlign w:val="bottom"/>
          </w:tcPr>
          <w:p w:rsidR="007E60D0" w:rsidRDefault="007E60D0">
            <w:pPr>
              <w:snapToGrid w:val="0"/>
              <w:jc w:val="center"/>
              <w:rPr>
                <w:szCs w:val="24"/>
              </w:rPr>
            </w:pPr>
            <w:r>
              <w:rPr>
                <w:szCs w:val="24"/>
              </w:rPr>
              <w:t>36</w:t>
            </w:r>
          </w:p>
        </w:tc>
      </w:tr>
      <w:tr w:rsidR="007E60D0">
        <w:trPr>
          <w:trHeight w:val="360"/>
        </w:trPr>
        <w:tc>
          <w:tcPr>
            <w:tcW w:w="841" w:type="dxa"/>
            <w:shd w:val="clear" w:color="auto" w:fill="auto"/>
            <w:vAlign w:val="bottom"/>
          </w:tcPr>
          <w:p w:rsidR="007E60D0" w:rsidRDefault="007E60D0">
            <w:pPr>
              <w:snapToGrid w:val="0"/>
              <w:rPr>
                <w:szCs w:val="24"/>
              </w:rPr>
            </w:pPr>
            <w:r>
              <w:rPr>
                <w:szCs w:val="24"/>
              </w:rPr>
              <w:t>1.5.1</w:t>
            </w:r>
          </w:p>
        </w:tc>
        <w:tc>
          <w:tcPr>
            <w:tcW w:w="7069" w:type="dxa"/>
            <w:shd w:val="clear" w:color="auto" w:fill="auto"/>
            <w:vAlign w:val="bottom"/>
          </w:tcPr>
          <w:p w:rsidR="007E60D0" w:rsidRDefault="007E60D0">
            <w:pPr>
              <w:snapToGrid w:val="0"/>
              <w:rPr>
                <w:szCs w:val="24"/>
              </w:rPr>
            </w:pPr>
            <w:r>
              <w:rPr>
                <w:szCs w:val="24"/>
              </w:rPr>
              <w:t>Matriz DOFA</w:t>
            </w:r>
          </w:p>
        </w:tc>
        <w:tc>
          <w:tcPr>
            <w:tcW w:w="615" w:type="dxa"/>
            <w:shd w:val="clear" w:color="auto" w:fill="auto"/>
            <w:vAlign w:val="bottom"/>
          </w:tcPr>
          <w:p w:rsidR="007E60D0" w:rsidRDefault="007E60D0">
            <w:pPr>
              <w:snapToGrid w:val="0"/>
              <w:jc w:val="center"/>
              <w:rPr>
                <w:szCs w:val="24"/>
              </w:rPr>
            </w:pPr>
            <w:r>
              <w:rPr>
                <w:szCs w:val="24"/>
              </w:rPr>
              <w:t>36</w:t>
            </w:r>
          </w:p>
        </w:tc>
      </w:tr>
      <w:tr w:rsidR="007E60D0">
        <w:trPr>
          <w:trHeight w:val="345"/>
        </w:trPr>
        <w:tc>
          <w:tcPr>
            <w:tcW w:w="841" w:type="dxa"/>
            <w:shd w:val="clear" w:color="auto" w:fill="auto"/>
            <w:vAlign w:val="bottom"/>
          </w:tcPr>
          <w:p w:rsidR="007E60D0" w:rsidRDefault="007E60D0">
            <w:pPr>
              <w:snapToGrid w:val="0"/>
              <w:rPr>
                <w:szCs w:val="24"/>
              </w:rPr>
            </w:pPr>
            <w:r>
              <w:rPr>
                <w:szCs w:val="24"/>
              </w:rPr>
              <w:t>1.5.2</w:t>
            </w:r>
          </w:p>
        </w:tc>
        <w:tc>
          <w:tcPr>
            <w:tcW w:w="7069" w:type="dxa"/>
            <w:shd w:val="clear" w:color="auto" w:fill="auto"/>
            <w:vAlign w:val="bottom"/>
          </w:tcPr>
          <w:p w:rsidR="007E60D0" w:rsidRDefault="007E60D0">
            <w:pPr>
              <w:snapToGrid w:val="0"/>
              <w:rPr>
                <w:szCs w:val="24"/>
              </w:rPr>
            </w:pPr>
            <w:r>
              <w:rPr>
                <w:szCs w:val="24"/>
              </w:rPr>
              <w:t>Análisis y estrategias- Matriz DOFA</w:t>
            </w:r>
          </w:p>
        </w:tc>
        <w:tc>
          <w:tcPr>
            <w:tcW w:w="615" w:type="dxa"/>
            <w:shd w:val="clear" w:color="auto" w:fill="auto"/>
            <w:vAlign w:val="bottom"/>
          </w:tcPr>
          <w:p w:rsidR="007E60D0" w:rsidRDefault="007E60D0">
            <w:pPr>
              <w:snapToGrid w:val="0"/>
              <w:jc w:val="center"/>
              <w:rPr>
                <w:szCs w:val="24"/>
              </w:rPr>
            </w:pPr>
            <w:r>
              <w:rPr>
                <w:szCs w:val="24"/>
              </w:rPr>
              <w:t>37</w:t>
            </w:r>
          </w:p>
        </w:tc>
      </w:tr>
      <w:tr w:rsidR="007E60D0">
        <w:trPr>
          <w:trHeight w:val="405"/>
        </w:trPr>
        <w:tc>
          <w:tcPr>
            <w:tcW w:w="841" w:type="dxa"/>
            <w:shd w:val="clear" w:color="auto" w:fill="auto"/>
            <w:vAlign w:val="bottom"/>
          </w:tcPr>
          <w:p w:rsidR="007E60D0" w:rsidRDefault="007E60D0">
            <w:pPr>
              <w:snapToGrid w:val="0"/>
              <w:rPr>
                <w:bCs/>
                <w:szCs w:val="24"/>
              </w:rPr>
            </w:pPr>
            <w:r>
              <w:rPr>
                <w:bCs/>
                <w:szCs w:val="24"/>
              </w:rPr>
              <w:t>1.6</w:t>
            </w:r>
          </w:p>
        </w:tc>
        <w:tc>
          <w:tcPr>
            <w:tcW w:w="7069" w:type="dxa"/>
            <w:shd w:val="clear" w:color="auto" w:fill="auto"/>
            <w:vAlign w:val="bottom"/>
          </w:tcPr>
          <w:p w:rsidR="007E60D0" w:rsidRDefault="007E60D0">
            <w:pPr>
              <w:snapToGrid w:val="0"/>
              <w:rPr>
                <w:bCs/>
                <w:szCs w:val="24"/>
              </w:rPr>
            </w:pPr>
            <w:r>
              <w:rPr>
                <w:bCs/>
                <w:szCs w:val="24"/>
              </w:rPr>
              <w:t>Proyecciones</w:t>
            </w:r>
          </w:p>
        </w:tc>
        <w:tc>
          <w:tcPr>
            <w:tcW w:w="615" w:type="dxa"/>
            <w:shd w:val="clear" w:color="auto" w:fill="auto"/>
            <w:vAlign w:val="bottom"/>
          </w:tcPr>
          <w:p w:rsidR="007E60D0" w:rsidRDefault="007E60D0">
            <w:pPr>
              <w:snapToGrid w:val="0"/>
              <w:jc w:val="center"/>
              <w:rPr>
                <w:szCs w:val="24"/>
              </w:rPr>
            </w:pPr>
            <w:r>
              <w:rPr>
                <w:szCs w:val="24"/>
              </w:rPr>
              <w:t>38</w:t>
            </w:r>
          </w:p>
        </w:tc>
      </w:tr>
      <w:tr w:rsidR="007E60D0">
        <w:trPr>
          <w:trHeight w:val="405"/>
        </w:trPr>
        <w:tc>
          <w:tcPr>
            <w:tcW w:w="841" w:type="dxa"/>
            <w:shd w:val="clear" w:color="auto" w:fill="auto"/>
            <w:vAlign w:val="bottom"/>
          </w:tcPr>
          <w:p w:rsidR="007E60D0" w:rsidRDefault="007E60D0">
            <w:pPr>
              <w:snapToGrid w:val="0"/>
              <w:rPr>
                <w:bCs/>
                <w:szCs w:val="24"/>
              </w:rPr>
            </w:pPr>
            <w:r>
              <w:rPr>
                <w:bCs/>
                <w:szCs w:val="24"/>
              </w:rPr>
              <w:t xml:space="preserve">1.6.1 </w:t>
            </w:r>
          </w:p>
        </w:tc>
        <w:tc>
          <w:tcPr>
            <w:tcW w:w="7069" w:type="dxa"/>
            <w:shd w:val="clear" w:color="auto" w:fill="auto"/>
            <w:vAlign w:val="bottom"/>
          </w:tcPr>
          <w:p w:rsidR="007E60D0" w:rsidRDefault="007E60D0">
            <w:pPr>
              <w:snapToGrid w:val="0"/>
              <w:rPr>
                <w:bCs/>
                <w:szCs w:val="24"/>
              </w:rPr>
            </w:pPr>
            <w:r>
              <w:rPr>
                <w:bCs/>
                <w:szCs w:val="24"/>
              </w:rPr>
              <w:t xml:space="preserve"> Criterios para la programación de los gastos</w:t>
            </w:r>
          </w:p>
        </w:tc>
        <w:tc>
          <w:tcPr>
            <w:tcW w:w="615" w:type="dxa"/>
            <w:shd w:val="clear" w:color="auto" w:fill="auto"/>
            <w:vAlign w:val="bottom"/>
          </w:tcPr>
          <w:p w:rsidR="007E60D0" w:rsidRDefault="007E60D0">
            <w:pPr>
              <w:snapToGrid w:val="0"/>
              <w:jc w:val="center"/>
              <w:rPr>
                <w:szCs w:val="24"/>
              </w:rPr>
            </w:pPr>
            <w:r>
              <w:rPr>
                <w:szCs w:val="24"/>
              </w:rPr>
              <w:t>39</w:t>
            </w:r>
          </w:p>
        </w:tc>
      </w:tr>
      <w:tr w:rsidR="007E60D0">
        <w:trPr>
          <w:trHeight w:val="360"/>
        </w:trPr>
        <w:tc>
          <w:tcPr>
            <w:tcW w:w="841" w:type="dxa"/>
            <w:shd w:val="clear" w:color="auto" w:fill="auto"/>
            <w:vAlign w:val="bottom"/>
          </w:tcPr>
          <w:p w:rsidR="007E60D0" w:rsidRDefault="007E60D0">
            <w:pPr>
              <w:snapToGrid w:val="0"/>
              <w:rPr>
                <w:b/>
                <w:bCs/>
                <w:szCs w:val="24"/>
              </w:rPr>
            </w:pPr>
            <w:r>
              <w:rPr>
                <w:b/>
                <w:bCs/>
                <w:szCs w:val="24"/>
              </w:rPr>
              <w:t>2.</w:t>
            </w:r>
          </w:p>
        </w:tc>
        <w:tc>
          <w:tcPr>
            <w:tcW w:w="7069" w:type="dxa"/>
            <w:shd w:val="clear" w:color="auto" w:fill="auto"/>
            <w:vAlign w:val="bottom"/>
          </w:tcPr>
          <w:p w:rsidR="007E60D0" w:rsidRDefault="007E60D0">
            <w:pPr>
              <w:snapToGrid w:val="0"/>
              <w:rPr>
                <w:b/>
                <w:bCs/>
                <w:szCs w:val="24"/>
              </w:rPr>
            </w:pPr>
          </w:p>
          <w:p w:rsidR="007E60D0" w:rsidRDefault="007E60D0">
            <w:pPr>
              <w:rPr>
                <w:b/>
                <w:bCs/>
                <w:szCs w:val="24"/>
              </w:rPr>
            </w:pPr>
            <w:r>
              <w:rPr>
                <w:b/>
                <w:bCs/>
                <w:szCs w:val="24"/>
              </w:rPr>
              <w:t>DEFINICIÓN DE OBJETIVOS, ESTRATEGIAS Y METAS DEL</w:t>
            </w:r>
          </w:p>
        </w:tc>
        <w:tc>
          <w:tcPr>
            <w:tcW w:w="615" w:type="dxa"/>
            <w:shd w:val="clear" w:color="auto" w:fill="auto"/>
            <w:vAlign w:val="bottom"/>
          </w:tcPr>
          <w:p w:rsidR="007E60D0" w:rsidRDefault="007E60D0">
            <w:pPr>
              <w:snapToGrid w:val="0"/>
              <w:jc w:val="center"/>
              <w:rPr>
                <w:rFonts w:eastAsia="Arial Unicode MS"/>
                <w:szCs w:val="24"/>
              </w:rPr>
            </w:pPr>
          </w:p>
        </w:tc>
      </w:tr>
      <w:tr w:rsidR="007E60D0">
        <w:trPr>
          <w:trHeight w:val="345"/>
        </w:trPr>
        <w:tc>
          <w:tcPr>
            <w:tcW w:w="841" w:type="dxa"/>
            <w:shd w:val="clear" w:color="auto" w:fill="auto"/>
            <w:vAlign w:val="bottom"/>
          </w:tcPr>
          <w:p w:rsidR="007E60D0" w:rsidRDefault="007E60D0">
            <w:pPr>
              <w:snapToGrid w:val="0"/>
              <w:rPr>
                <w:rFonts w:eastAsia="Arial Unicode MS"/>
                <w:szCs w:val="24"/>
              </w:rPr>
            </w:pPr>
          </w:p>
        </w:tc>
        <w:tc>
          <w:tcPr>
            <w:tcW w:w="7069" w:type="dxa"/>
            <w:shd w:val="clear" w:color="auto" w:fill="auto"/>
            <w:vAlign w:val="bottom"/>
          </w:tcPr>
          <w:p w:rsidR="007E60D0" w:rsidRDefault="007E60D0">
            <w:pPr>
              <w:snapToGrid w:val="0"/>
              <w:rPr>
                <w:b/>
                <w:bCs/>
                <w:szCs w:val="24"/>
              </w:rPr>
            </w:pPr>
            <w:r>
              <w:rPr>
                <w:b/>
                <w:bCs/>
                <w:szCs w:val="24"/>
              </w:rPr>
              <w:t>PLAN FINANCIERO</w:t>
            </w:r>
          </w:p>
        </w:tc>
        <w:tc>
          <w:tcPr>
            <w:tcW w:w="615" w:type="dxa"/>
            <w:shd w:val="clear" w:color="auto" w:fill="auto"/>
            <w:vAlign w:val="bottom"/>
          </w:tcPr>
          <w:p w:rsidR="007E60D0" w:rsidRDefault="007E60D0">
            <w:pPr>
              <w:snapToGrid w:val="0"/>
              <w:jc w:val="center"/>
              <w:rPr>
                <w:szCs w:val="24"/>
              </w:rPr>
            </w:pPr>
            <w:r>
              <w:rPr>
                <w:szCs w:val="24"/>
              </w:rPr>
              <w:t>40</w:t>
            </w:r>
          </w:p>
        </w:tc>
      </w:tr>
      <w:tr w:rsidR="007E60D0">
        <w:trPr>
          <w:trHeight w:val="330"/>
        </w:trPr>
        <w:tc>
          <w:tcPr>
            <w:tcW w:w="841" w:type="dxa"/>
            <w:shd w:val="clear" w:color="auto" w:fill="auto"/>
            <w:vAlign w:val="bottom"/>
          </w:tcPr>
          <w:p w:rsidR="007E60D0" w:rsidRDefault="007E60D0">
            <w:pPr>
              <w:snapToGrid w:val="0"/>
              <w:rPr>
                <w:bCs/>
                <w:szCs w:val="24"/>
              </w:rPr>
            </w:pPr>
            <w:r>
              <w:rPr>
                <w:bCs/>
                <w:szCs w:val="24"/>
              </w:rPr>
              <w:t>2.1.</w:t>
            </w:r>
          </w:p>
        </w:tc>
        <w:tc>
          <w:tcPr>
            <w:tcW w:w="7069" w:type="dxa"/>
            <w:shd w:val="clear" w:color="auto" w:fill="auto"/>
            <w:vAlign w:val="bottom"/>
          </w:tcPr>
          <w:p w:rsidR="007E60D0" w:rsidRDefault="007E60D0">
            <w:pPr>
              <w:snapToGrid w:val="0"/>
              <w:rPr>
                <w:bCs/>
                <w:szCs w:val="24"/>
              </w:rPr>
            </w:pPr>
            <w:r>
              <w:rPr>
                <w:bCs/>
                <w:szCs w:val="24"/>
              </w:rPr>
              <w:t>OBJETIVOS A MEDIANO PLAZO</w:t>
            </w:r>
          </w:p>
        </w:tc>
        <w:tc>
          <w:tcPr>
            <w:tcW w:w="615" w:type="dxa"/>
            <w:shd w:val="clear" w:color="auto" w:fill="auto"/>
            <w:vAlign w:val="bottom"/>
          </w:tcPr>
          <w:p w:rsidR="007E60D0" w:rsidRDefault="007E60D0">
            <w:pPr>
              <w:snapToGrid w:val="0"/>
              <w:jc w:val="center"/>
              <w:rPr>
                <w:szCs w:val="24"/>
              </w:rPr>
            </w:pPr>
            <w:r>
              <w:rPr>
                <w:szCs w:val="24"/>
              </w:rPr>
              <w:t>40</w:t>
            </w:r>
          </w:p>
        </w:tc>
      </w:tr>
      <w:tr w:rsidR="007E60D0">
        <w:trPr>
          <w:trHeight w:val="345"/>
        </w:trPr>
        <w:tc>
          <w:tcPr>
            <w:tcW w:w="841" w:type="dxa"/>
            <w:shd w:val="clear" w:color="auto" w:fill="auto"/>
            <w:vAlign w:val="bottom"/>
          </w:tcPr>
          <w:p w:rsidR="007E60D0" w:rsidRDefault="007E60D0">
            <w:pPr>
              <w:snapToGrid w:val="0"/>
              <w:rPr>
                <w:bCs/>
                <w:szCs w:val="24"/>
              </w:rPr>
            </w:pPr>
            <w:r>
              <w:rPr>
                <w:bCs/>
                <w:szCs w:val="24"/>
              </w:rPr>
              <w:t>2.2.</w:t>
            </w:r>
          </w:p>
        </w:tc>
        <w:tc>
          <w:tcPr>
            <w:tcW w:w="7069" w:type="dxa"/>
            <w:shd w:val="clear" w:color="auto" w:fill="auto"/>
            <w:vAlign w:val="bottom"/>
          </w:tcPr>
          <w:p w:rsidR="007E60D0" w:rsidRDefault="007E60D0">
            <w:pPr>
              <w:snapToGrid w:val="0"/>
              <w:rPr>
                <w:bCs/>
                <w:szCs w:val="24"/>
              </w:rPr>
            </w:pPr>
            <w:r>
              <w:rPr>
                <w:bCs/>
                <w:szCs w:val="24"/>
              </w:rPr>
              <w:t>OBJETIVOS ESPECÍFICOS</w:t>
            </w:r>
          </w:p>
        </w:tc>
        <w:tc>
          <w:tcPr>
            <w:tcW w:w="615" w:type="dxa"/>
            <w:shd w:val="clear" w:color="auto" w:fill="auto"/>
            <w:vAlign w:val="bottom"/>
          </w:tcPr>
          <w:p w:rsidR="007E60D0" w:rsidRDefault="007E60D0">
            <w:pPr>
              <w:snapToGrid w:val="0"/>
              <w:jc w:val="center"/>
              <w:rPr>
                <w:szCs w:val="24"/>
              </w:rPr>
            </w:pPr>
            <w:r>
              <w:rPr>
                <w:szCs w:val="24"/>
              </w:rPr>
              <w:t>40</w:t>
            </w:r>
          </w:p>
        </w:tc>
      </w:tr>
      <w:tr w:rsidR="007E60D0">
        <w:trPr>
          <w:trHeight w:val="345"/>
        </w:trPr>
        <w:tc>
          <w:tcPr>
            <w:tcW w:w="841" w:type="dxa"/>
            <w:shd w:val="clear" w:color="auto" w:fill="auto"/>
            <w:vAlign w:val="bottom"/>
          </w:tcPr>
          <w:p w:rsidR="007E60D0" w:rsidRDefault="007E60D0">
            <w:pPr>
              <w:snapToGrid w:val="0"/>
              <w:rPr>
                <w:bCs/>
                <w:szCs w:val="24"/>
              </w:rPr>
            </w:pPr>
            <w:r>
              <w:rPr>
                <w:bCs/>
                <w:szCs w:val="24"/>
              </w:rPr>
              <w:t>2.3.</w:t>
            </w:r>
          </w:p>
        </w:tc>
        <w:tc>
          <w:tcPr>
            <w:tcW w:w="7069" w:type="dxa"/>
            <w:shd w:val="clear" w:color="auto" w:fill="auto"/>
            <w:vAlign w:val="bottom"/>
          </w:tcPr>
          <w:p w:rsidR="007E60D0" w:rsidRDefault="007E60D0">
            <w:pPr>
              <w:snapToGrid w:val="0"/>
              <w:rPr>
                <w:bCs/>
                <w:szCs w:val="24"/>
              </w:rPr>
            </w:pPr>
            <w:r>
              <w:rPr>
                <w:bCs/>
                <w:szCs w:val="24"/>
              </w:rPr>
              <w:t>METAS DEL SUPERÁVIT PRIMARIO, EL NIVEL DE DEUDA</w:t>
            </w:r>
          </w:p>
        </w:tc>
        <w:tc>
          <w:tcPr>
            <w:tcW w:w="615" w:type="dxa"/>
            <w:shd w:val="clear" w:color="auto" w:fill="auto"/>
            <w:vAlign w:val="bottom"/>
          </w:tcPr>
          <w:p w:rsidR="007E60D0" w:rsidRDefault="007E60D0">
            <w:pPr>
              <w:snapToGrid w:val="0"/>
              <w:jc w:val="center"/>
              <w:rPr>
                <w:rFonts w:eastAsia="Arial Unicode MS"/>
                <w:szCs w:val="24"/>
              </w:rPr>
            </w:pPr>
          </w:p>
        </w:tc>
      </w:tr>
      <w:tr w:rsidR="007E60D0">
        <w:trPr>
          <w:trHeight w:val="345"/>
        </w:trPr>
        <w:tc>
          <w:tcPr>
            <w:tcW w:w="841" w:type="dxa"/>
            <w:shd w:val="clear" w:color="auto" w:fill="auto"/>
            <w:vAlign w:val="bottom"/>
          </w:tcPr>
          <w:p w:rsidR="007E60D0" w:rsidRDefault="007E60D0">
            <w:pPr>
              <w:snapToGrid w:val="0"/>
              <w:rPr>
                <w:rFonts w:eastAsia="Arial Unicode MS"/>
                <w:bCs/>
                <w:szCs w:val="24"/>
              </w:rPr>
            </w:pPr>
          </w:p>
        </w:tc>
        <w:tc>
          <w:tcPr>
            <w:tcW w:w="7069" w:type="dxa"/>
            <w:shd w:val="clear" w:color="auto" w:fill="auto"/>
            <w:vAlign w:val="bottom"/>
          </w:tcPr>
          <w:p w:rsidR="007E60D0" w:rsidRDefault="007E60D0">
            <w:pPr>
              <w:snapToGrid w:val="0"/>
              <w:rPr>
                <w:bCs/>
                <w:szCs w:val="24"/>
              </w:rPr>
            </w:pPr>
            <w:r>
              <w:rPr>
                <w:bCs/>
                <w:szCs w:val="24"/>
              </w:rPr>
              <w:t>PÚBLICA Y SOSTENIBILIDAD DE LA DEUDA</w:t>
            </w:r>
          </w:p>
        </w:tc>
        <w:tc>
          <w:tcPr>
            <w:tcW w:w="615" w:type="dxa"/>
            <w:shd w:val="clear" w:color="auto" w:fill="auto"/>
            <w:vAlign w:val="bottom"/>
          </w:tcPr>
          <w:p w:rsidR="007E60D0" w:rsidRDefault="007E60D0">
            <w:pPr>
              <w:snapToGrid w:val="0"/>
              <w:jc w:val="center"/>
              <w:rPr>
                <w:rFonts w:eastAsia="Arial Unicode MS"/>
                <w:szCs w:val="24"/>
              </w:rPr>
            </w:pPr>
            <w:r>
              <w:rPr>
                <w:rFonts w:eastAsia="Arial Unicode MS"/>
                <w:szCs w:val="24"/>
              </w:rPr>
              <w:t>40</w:t>
            </w:r>
          </w:p>
        </w:tc>
      </w:tr>
      <w:tr w:rsidR="007E60D0">
        <w:trPr>
          <w:trHeight w:val="345"/>
        </w:trPr>
        <w:tc>
          <w:tcPr>
            <w:tcW w:w="841" w:type="dxa"/>
            <w:shd w:val="clear" w:color="auto" w:fill="auto"/>
            <w:vAlign w:val="bottom"/>
          </w:tcPr>
          <w:p w:rsidR="007E60D0" w:rsidRDefault="007E60D0">
            <w:pPr>
              <w:snapToGrid w:val="0"/>
              <w:rPr>
                <w:bCs/>
                <w:szCs w:val="24"/>
              </w:rPr>
            </w:pPr>
            <w:r>
              <w:rPr>
                <w:bCs/>
                <w:szCs w:val="24"/>
              </w:rPr>
              <w:t>2.3.1.</w:t>
            </w:r>
          </w:p>
        </w:tc>
        <w:tc>
          <w:tcPr>
            <w:tcW w:w="7069" w:type="dxa"/>
            <w:shd w:val="clear" w:color="auto" w:fill="auto"/>
            <w:vAlign w:val="bottom"/>
          </w:tcPr>
          <w:p w:rsidR="007E60D0" w:rsidRDefault="007E60D0">
            <w:pPr>
              <w:snapToGrid w:val="0"/>
              <w:rPr>
                <w:bCs/>
                <w:szCs w:val="24"/>
              </w:rPr>
            </w:pPr>
            <w:r>
              <w:rPr>
                <w:bCs/>
                <w:szCs w:val="24"/>
              </w:rPr>
              <w:t>Metas del Superávit Primario</w:t>
            </w:r>
          </w:p>
        </w:tc>
        <w:tc>
          <w:tcPr>
            <w:tcW w:w="615" w:type="dxa"/>
            <w:shd w:val="clear" w:color="auto" w:fill="auto"/>
            <w:vAlign w:val="bottom"/>
          </w:tcPr>
          <w:p w:rsidR="007E60D0" w:rsidRDefault="007E60D0">
            <w:pPr>
              <w:snapToGrid w:val="0"/>
              <w:jc w:val="center"/>
              <w:rPr>
                <w:rFonts w:eastAsia="Arial Unicode MS"/>
                <w:szCs w:val="24"/>
              </w:rPr>
            </w:pPr>
            <w:r>
              <w:rPr>
                <w:rFonts w:eastAsia="Arial Unicode MS"/>
                <w:szCs w:val="24"/>
              </w:rPr>
              <w:t>41</w:t>
            </w:r>
          </w:p>
        </w:tc>
      </w:tr>
      <w:tr w:rsidR="007E60D0">
        <w:trPr>
          <w:trHeight w:val="345"/>
        </w:trPr>
        <w:tc>
          <w:tcPr>
            <w:tcW w:w="841" w:type="dxa"/>
            <w:shd w:val="clear" w:color="auto" w:fill="auto"/>
            <w:vAlign w:val="bottom"/>
          </w:tcPr>
          <w:p w:rsidR="007E60D0" w:rsidRDefault="007E60D0">
            <w:pPr>
              <w:snapToGrid w:val="0"/>
              <w:rPr>
                <w:bCs/>
                <w:szCs w:val="24"/>
              </w:rPr>
            </w:pPr>
            <w:r>
              <w:rPr>
                <w:bCs/>
                <w:szCs w:val="24"/>
              </w:rPr>
              <w:t>2.3.2.</w:t>
            </w:r>
          </w:p>
        </w:tc>
        <w:tc>
          <w:tcPr>
            <w:tcW w:w="7069" w:type="dxa"/>
            <w:shd w:val="clear" w:color="auto" w:fill="auto"/>
            <w:vAlign w:val="bottom"/>
          </w:tcPr>
          <w:p w:rsidR="007E60D0" w:rsidRDefault="007E60D0">
            <w:pPr>
              <w:snapToGrid w:val="0"/>
              <w:rPr>
                <w:bCs/>
                <w:szCs w:val="24"/>
              </w:rPr>
            </w:pPr>
            <w:r>
              <w:rPr>
                <w:bCs/>
                <w:szCs w:val="24"/>
              </w:rPr>
              <w:t>Metas de la Deuda Pública y análisis de sostenibilidad</w:t>
            </w:r>
          </w:p>
        </w:tc>
        <w:tc>
          <w:tcPr>
            <w:tcW w:w="615" w:type="dxa"/>
            <w:shd w:val="clear" w:color="auto" w:fill="auto"/>
            <w:vAlign w:val="bottom"/>
          </w:tcPr>
          <w:p w:rsidR="007E60D0" w:rsidRDefault="007E60D0">
            <w:pPr>
              <w:snapToGrid w:val="0"/>
              <w:jc w:val="center"/>
              <w:rPr>
                <w:szCs w:val="24"/>
              </w:rPr>
            </w:pPr>
            <w:r>
              <w:rPr>
                <w:szCs w:val="24"/>
              </w:rPr>
              <w:t>41</w:t>
            </w:r>
          </w:p>
        </w:tc>
      </w:tr>
      <w:tr w:rsidR="007E60D0">
        <w:trPr>
          <w:trHeight w:val="405"/>
        </w:trPr>
        <w:tc>
          <w:tcPr>
            <w:tcW w:w="841" w:type="dxa"/>
            <w:shd w:val="clear" w:color="auto" w:fill="auto"/>
            <w:vAlign w:val="bottom"/>
          </w:tcPr>
          <w:p w:rsidR="007E60D0" w:rsidRDefault="007E60D0">
            <w:pPr>
              <w:snapToGrid w:val="0"/>
              <w:rPr>
                <w:bCs/>
                <w:szCs w:val="24"/>
              </w:rPr>
            </w:pPr>
            <w:r>
              <w:rPr>
                <w:bCs/>
                <w:szCs w:val="24"/>
              </w:rPr>
              <w:t>2.4.</w:t>
            </w:r>
          </w:p>
        </w:tc>
        <w:tc>
          <w:tcPr>
            <w:tcW w:w="7069" w:type="dxa"/>
            <w:shd w:val="clear" w:color="auto" w:fill="auto"/>
            <w:vAlign w:val="bottom"/>
          </w:tcPr>
          <w:p w:rsidR="007E60D0" w:rsidRDefault="007E60D0">
            <w:pPr>
              <w:snapToGrid w:val="0"/>
              <w:rPr>
                <w:bCs/>
                <w:szCs w:val="24"/>
              </w:rPr>
            </w:pPr>
            <w:r>
              <w:rPr>
                <w:bCs/>
                <w:szCs w:val="24"/>
              </w:rPr>
              <w:t>ACCIONES Y MEDIDAS ESPECÍFICAS EN LAS QUE SE</w:t>
            </w:r>
          </w:p>
        </w:tc>
        <w:tc>
          <w:tcPr>
            <w:tcW w:w="615" w:type="dxa"/>
            <w:shd w:val="clear" w:color="auto" w:fill="auto"/>
            <w:vAlign w:val="bottom"/>
          </w:tcPr>
          <w:p w:rsidR="007E60D0" w:rsidRDefault="007E60D0">
            <w:pPr>
              <w:snapToGrid w:val="0"/>
              <w:jc w:val="center"/>
              <w:rPr>
                <w:rFonts w:eastAsia="Arial Unicode MS"/>
                <w:szCs w:val="24"/>
              </w:rPr>
            </w:pPr>
          </w:p>
        </w:tc>
      </w:tr>
      <w:tr w:rsidR="007E60D0">
        <w:trPr>
          <w:trHeight w:val="405"/>
        </w:trPr>
        <w:tc>
          <w:tcPr>
            <w:tcW w:w="841" w:type="dxa"/>
            <w:shd w:val="clear" w:color="auto" w:fill="auto"/>
            <w:vAlign w:val="bottom"/>
          </w:tcPr>
          <w:p w:rsidR="007E60D0" w:rsidRDefault="007E60D0">
            <w:pPr>
              <w:snapToGrid w:val="0"/>
              <w:rPr>
                <w:rFonts w:eastAsia="Arial Unicode MS"/>
                <w:bCs/>
                <w:szCs w:val="24"/>
              </w:rPr>
            </w:pPr>
          </w:p>
        </w:tc>
        <w:tc>
          <w:tcPr>
            <w:tcW w:w="7069" w:type="dxa"/>
            <w:shd w:val="clear" w:color="auto" w:fill="auto"/>
            <w:vAlign w:val="bottom"/>
          </w:tcPr>
          <w:p w:rsidR="007E60D0" w:rsidRDefault="007E60D0">
            <w:pPr>
              <w:snapToGrid w:val="0"/>
              <w:rPr>
                <w:bCs/>
                <w:szCs w:val="24"/>
              </w:rPr>
            </w:pPr>
            <w:r>
              <w:rPr>
                <w:bCs/>
                <w:szCs w:val="24"/>
              </w:rPr>
              <w:t>SUSTENTA EL CUMPLIMIENTO DE LAS METAS</w:t>
            </w:r>
          </w:p>
        </w:tc>
        <w:tc>
          <w:tcPr>
            <w:tcW w:w="615" w:type="dxa"/>
            <w:shd w:val="clear" w:color="auto" w:fill="auto"/>
            <w:vAlign w:val="bottom"/>
          </w:tcPr>
          <w:p w:rsidR="007E60D0" w:rsidRDefault="007E60D0">
            <w:pPr>
              <w:snapToGrid w:val="0"/>
              <w:jc w:val="center"/>
              <w:rPr>
                <w:rFonts w:eastAsia="Arial Unicode MS"/>
                <w:szCs w:val="24"/>
              </w:rPr>
            </w:pPr>
            <w:r>
              <w:rPr>
                <w:rFonts w:eastAsia="Arial Unicode MS"/>
                <w:szCs w:val="24"/>
              </w:rPr>
              <w:t>41</w:t>
            </w:r>
          </w:p>
        </w:tc>
      </w:tr>
      <w:tr w:rsidR="007E60D0">
        <w:trPr>
          <w:trHeight w:val="405"/>
        </w:trPr>
        <w:tc>
          <w:tcPr>
            <w:tcW w:w="841" w:type="dxa"/>
            <w:shd w:val="clear" w:color="auto" w:fill="auto"/>
            <w:vAlign w:val="bottom"/>
          </w:tcPr>
          <w:p w:rsidR="007E60D0" w:rsidRDefault="007E60D0">
            <w:pPr>
              <w:snapToGrid w:val="0"/>
              <w:rPr>
                <w:bCs/>
                <w:szCs w:val="24"/>
              </w:rPr>
            </w:pPr>
            <w:r>
              <w:rPr>
                <w:bCs/>
                <w:szCs w:val="24"/>
              </w:rPr>
              <w:t>2.4.1.</w:t>
            </w:r>
          </w:p>
        </w:tc>
        <w:tc>
          <w:tcPr>
            <w:tcW w:w="7069" w:type="dxa"/>
            <w:shd w:val="clear" w:color="auto" w:fill="auto"/>
            <w:vAlign w:val="bottom"/>
          </w:tcPr>
          <w:p w:rsidR="007E60D0" w:rsidRDefault="007E60D0">
            <w:pPr>
              <w:snapToGrid w:val="0"/>
              <w:rPr>
                <w:bCs/>
                <w:szCs w:val="24"/>
              </w:rPr>
            </w:pPr>
            <w:r>
              <w:rPr>
                <w:bCs/>
                <w:szCs w:val="24"/>
              </w:rPr>
              <w:t>Cronograma de ejecución de las acciones y metas</w:t>
            </w:r>
          </w:p>
        </w:tc>
        <w:tc>
          <w:tcPr>
            <w:tcW w:w="615" w:type="dxa"/>
            <w:shd w:val="clear" w:color="auto" w:fill="auto"/>
            <w:vAlign w:val="bottom"/>
          </w:tcPr>
          <w:p w:rsidR="007E60D0" w:rsidRDefault="007E60D0">
            <w:pPr>
              <w:snapToGrid w:val="0"/>
              <w:jc w:val="center"/>
              <w:rPr>
                <w:szCs w:val="24"/>
              </w:rPr>
            </w:pPr>
            <w:r>
              <w:rPr>
                <w:szCs w:val="24"/>
              </w:rPr>
              <w:t>42</w:t>
            </w:r>
          </w:p>
        </w:tc>
      </w:tr>
      <w:tr w:rsidR="007E60D0">
        <w:trPr>
          <w:trHeight w:val="405"/>
        </w:trPr>
        <w:tc>
          <w:tcPr>
            <w:tcW w:w="841" w:type="dxa"/>
            <w:shd w:val="clear" w:color="auto" w:fill="auto"/>
            <w:vAlign w:val="bottom"/>
          </w:tcPr>
          <w:p w:rsidR="007E60D0" w:rsidRDefault="007E60D0">
            <w:pPr>
              <w:snapToGrid w:val="0"/>
              <w:rPr>
                <w:b/>
                <w:bCs/>
                <w:szCs w:val="24"/>
              </w:rPr>
            </w:pPr>
          </w:p>
          <w:p w:rsidR="007E60D0" w:rsidRDefault="007E60D0">
            <w:pPr>
              <w:rPr>
                <w:b/>
                <w:bCs/>
                <w:szCs w:val="24"/>
              </w:rPr>
            </w:pPr>
            <w:r>
              <w:rPr>
                <w:b/>
                <w:bCs/>
                <w:szCs w:val="24"/>
              </w:rPr>
              <w:t>3.</w:t>
            </w:r>
          </w:p>
        </w:tc>
        <w:tc>
          <w:tcPr>
            <w:tcW w:w="7069" w:type="dxa"/>
            <w:shd w:val="clear" w:color="auto" w:fill="auto"/>
            <w:vAlign w:val="bottom"/>
          </w:tcPr>
          <w:p w:rsidR="007E60D0" w:rsidRDefault="007E60D0">
            <w:pPr>
              <w:snapToGrid w:val="0"/>
              <w:rPr>
                <w:b/>
                <w:bCs/>
                <w:szCs w:val="24"/>
              </w:rPr>
            </w:pPr>
            <w:r>
              <w:rPr>
                <w:b/>
                <w:bCs/>
                <w:szCs w:val="24"/>
              </w:rPr>
              <w:t>ESTIMACIÓN DEL COSTO FISCAL DE LAS EXENCIONES</w:t>
            </w:r>
          </w:p>
        </w:tc>
        <w:tc>
          <w:tcPr>
            <w:tcW w:w="615" w:type="dxa"/>
            <w:shd w:val="clear" w:color="auto" w:fill="auto"/>
            <w:vAlign w:val="bottom"/>
          </w:tcPr>
          <w:p w:rsidR="007E60D0" w:rsidRDefault="007E60D0">
            <w:pPr>
              <w:snapToGrid w:val="0"/>
              <w:jc w:val="center"/>
              <w:rPr>
                <w:rFonts w:eastAsia="Arial Unicode MS"/>
                <w:szCs w:val="24"/>
              </w:rPr>
            </w:pPr>
          </w:p>
        </w:tc>
      </w:tr>
      <w:tr w:rsidR="007E60D0">
        <w:trPr>
          <w:trHeight w:val="405"/>
        </w:trPr>
        <w:tc>
          <w:tcPr>
            <w:tcW w:w="841" w:type="dxa"/>
            <w:shd w:val="clear" w:color="auto" w:fill="auto"/>
            <w:vAlign w:val="bottom"/>
          </w:tcPr>
          <w:p w:rsidR="007E60D0" w:rsidRDefault="007E60D0">
            <w:pPr>
              <w:snapToGrid w:val="0"/>
              <w:rPr>
                <w:rFonts w:eastAsia="Arial Unicode MS"/>
                <w:b/>
                <w:bCs/>
                <w:szCs w:val="24"/>
              </w:rPr>
            </w:pPr>
          </w:p>
        </w:tc>
        <w:tc>
          <w:tcPr>
            <w:tcW w:w="7069" w:type="dxa"/>
            <w:shd w:val="clear" w:color="auto" w:fill="auto"/>
            <w:vAlign w:val="bottom"/>
          </w:tcPr>
          <w:p w:rsidR="007E60D0" w:rsidRDefault="007E60D0">
            <w:pPr>
              <w:snapToGrid w:val="0"/>
              <w:rPr>
                <w:b/>
                <w:bCs/>
                <w:szCs w:val="24"/>
              </w:rPr>
            </w:pPr>
            <w:r>
              <w:rPr>
                <w:b/>
                <w:bCs/>
                <w:szCs w:val="24"/>
              </w:rPr>
              <w:t>DEDUCCIONES O DESCUENTOS TRIBUTARIOS EXISTENTES</w:t>
            </w:r>
          </w:p>
        </w:tc>
        <w:tc>
          <w:tcPr>
            <w:tcW w:w="615" w:type="dxa"/>
            <w:shd w:val="clear" w:color="auto" w:fill="auto"/>
            <w:vAlign w:val="bottom"/>
          </w:tcPr>
          <w:p w:rsidR="007E60D0" w:rsidRDefault="007E60D0">
            <w:pPr>
              <w:snapToGrid w:val="0"/>
              <w:jc w:val="center"/>
              <w:rPr>
                <w:rFonts w:eastAsia="Arial Unicode MS"/>
                <w:szCs w:val="24"/>
              </w:rPr>
            </w:pPr>
            <w:r>
              <w:rPr>
                <w:rFonts w:eastAsia="Arial Unicode MS"/>
                <w:szCs w:val="24"/>
              </w:rPr>
              <w:t>43</w:t>
            </w:r>
          </w:p>
        </w:tc>
      </w:tr>
      <w:tr w:rsidR="007E60D0">
        <w:trPr>
          <w:trHeight w:val="405"/>
        </w:trPr>
        <w:tc>
          <w:tcPr>
            <w:tcW w:w="841" w:type="dxa"/>
            <w:shd w:val="clear" w:color="auto" w:fill="auto"/>
            <w:vAlign w:val="bottom"/>
          </w:tcPr>
          <w:p w:rsidR="007E60D0" w:rsidRDefault="007E60D0">
            <w:pPr>
              <w:snapToGrid w:val="0"/>
              <w:rPr>
                <w:bCs/>
                <w:szCs w:val="24"/>
              </w:rPr>
            </w:pPr>
            <w:r>
              <w:rPr>
                <w:bCs/>
                <w:szCs w:val="24"/>
              </w:rPr>
              <w:t>3.1.</w:t>
            </w:r>
          </w:p>
        </w:tc>
        <w:tc>
          <w:tcPr>
            <w:tcW w:w="7069" w:type="dxa"/>
            <w:shd w:val="clear" w:color="auto" w:fill="auto"/>
            <w:vAlign w:val="bottom"/>
          </w:tcPr>
          <w:p w:rsidR="007E60D0" w:rsidRDefault="007E60D0">
            <w:pPr>
              <w:snapToGrid w:val="0"/>
              <w:rPr>
                <w:bCs/>
                <w:szCs w:val="24"/>
              </w:rPr>
            </w:pPr>
            <w:r>
              <w:rPr>
                <w:bCs/>
                <w:szCs w:val="24"/>
              </w:rPr>
              <w:t>INCENTIVOS TRIBUTARIOS</w:t>
            </w:r>
          </w:p>
        </w:tc>
        <w:tc>
          <w:tcPr>
            <w:tcW w:w="615" w:type="dxa"/>
            <w:shd w:val="clear" w:color="auto" w:fill="auto"/>
            <w:vAlign w:val="bottom"/>
          </w:tcPr>
          <w:p w:rsidR="007E60D0" w:rsidRDefault="007E60D0">
            <w:pPr>
              <w:snapToGrid w:val="0"/>
              <w:jc w:val="center"/>
              <w:rPr>
                <w:rFonts w:eastAsia="Arial Unicode MS"/>
                <w:szCs w:val="24"/>
              </w:rPr>
            </w:pPr>
            <w:r>
              <w:rPr>
                <w:rFonts w:eastAsia="Arial Unicode MS"/>
                <w:szCs w:val="24"/>
              </w:rPr>
              <w:t>44</w:t>
            </w:r>
          </w:p>
        </w:tc>
      </w:tr>
      <w:tr w:rsidR="007E60D0">
        <w:trPr>
          <w:trHeight w:val="405"/>
        </w:trPr>
        <w:tc>
          <w:tcPr>
            <w:tcW w:w="841" w:type="dxa"/>
            <w:shd w:val="clear" w:color="auto" w:fill="auto"/>
            <w:vAlign w:val="bottom"/>
          </w:tcPr>
          <w:p w:rsidR="007E60D0" w:rsidRDefault="007E60D0">
            <w:pPr>
              <w:snapToGrid w:val="0"/>
              <w:rPr>
                <w:b/>
                <w:bCs/>
                <w:szCs w:val="24"/>
              </w:rPr>
            </w:pPr>
          </w:p>
          <w:p w:rsidR="007E60D0" w:rsidRDefault="007E60D0">
            <w:pPr>
              <w:rPr>
                <w:b/>
                <w:bCs/>
                <w:szCs w:val="24"/>
              </w:rPr>
            </w:pPr>
            <w:r>
              <w:rPr>
                <w:b/>
                <w:bCs/>
                <w:szCs w:val="24"/>
              </w:rPr>
              <w:t>4.</w:t>
            </w:r>
          </w:p>
        </w:tc>
        <w:tc>
          <w:tcPr>
            <w:tcW w:w="7069" w:type="dxa"/>
            <w:shd w:val="clear" w:color="auto" w:fill="auto"/>
            <w:vAlign w:val="bottom"/>
          </w:tcPr>
          <w:p w:rsidR="007E60D0" w:rsidRDefault="007E60D0">
            <w:pPr>
              <w:snapToGrid w:val="0"/>
              <w:rPr>
                <w:b/>
                <w:bCs/>
                <w:szCs w:val="24"/>
              </w:rPr>
            </w:pPr>
            <w:r>
              <w:rPr>
                <w:b/>
                <w:bCs/>
                <w:szCs w:val="24"/>
              </w:rPr>
              <w:t>RELACIÓN DE LOS PASIVOS CONTINGENTES QUE</w:t>
            </w:r>
          </w:p>
        </w:tc>
        <w:tc>
          <w:tcPr>
            <w:tcW w:w="615" w:type="dxa"/>
            <w:shd w:val="clear" w:color="auto" w:fill="auto"/>
            <w:vAlign w:val="bottom"/>
          </w:tcPr>
          <w:p w:rsidR="007E60D0" w:rsidRDefault="007E60D0">
            <w:pPr>
              <w:snapToGrid w:val="0"/>
              <w:jc w:val="center"/>
              <w:rPr>
                <w:rFonts w:eastAsia="Arial Unicode MS"/>
                <w:szCs w:val="24"/>
              </w:rPr>
            </w:pPr>
          </w:p>
        </w:tc>
      </w:tr>
      <w:tr w:rsidR="007E60D0">
        <w:trPr>
          <w:trHeight w:val="405"/>
        </w:trPr>
        <w:tc>
          <w:tcPr>
            <w:tcW w:w="841" w:type="dxa"/>
            <w:shd w:val="clear" w:color="auto" w:fill="auto"/>
            <w:vAlign w:val="bottom"/>
          </w:tcPr>
          <w:p w:rsidR="007E60D0" w:rsidRDefault="007E60D0">
            <w:pPr>
              <w:snapToGrid w:val="0"/>
              <w:rPr>
                <w:rFonts w:eastAsia="Arial Unicode MS"/>
                <w:b/>
                <w:bCs/>
                <w:szCs w:val="24"/>
              </w:rPr>
            </w:pPr>
          </w:p>
        </w:tc>
        <w:tc>
          <w:tcPr>
            <w:tcW w:w="7069" w:type="dxa"/>
            <w:shd w:val="clear" w:color="auto" w:fill="auto"/>
            <w:vAlign w:val="bottom"/>
          </w:tcPr>
          <w:p w:rsidR="007E60D0" w:rsidRDefault="007E60D0">
            <w:pPr>
              <w:snapToGrid w:val="0"/>
              <w:rPr>
                <w:b/>
                <w:bCs/>
                <w:szCs w:val="24"/>
              </w:rPr>
            </w:pPr>
            <w:r>
              <w:rPr>
                <w:b/>
                <w:bCs/>
                <w:szCs w:val="24"/>
              </w:rPr>
              <w:t>PUDIERAN AFECTAR LA SITUACIÓN FINANCIERA DEL MUNICIPIO</w:t>
            </w:r>
          </w:p>
        </w:tc>
        <w:tc>
          <w:tcPr>
            <w:tcW w:w="615" w:type="dxa"/>
            <w:shd w:val="clear" w:color="auto" w:fill="auto"/>
            <w:vAlign w:val="bottom"/>
          </w:tcPr>
          <w:p w:rsidR="007E60D0" w:rsidRDefault="007E60D0">
            <w:pPr>
              <w:snapToGrid w:val="0"/>
              <w:jc w:val="center"/>
              <w:rPr>
                <w:szCs w:val="24"/>
              </w:rPr>
            </w:pPr>
            <w:r>
              <w:rPr>
                <w:szCs w:val="24"/>
              </w:rPr>
              <w:t xml:space="preserve">45 </w:t>
            </w:r>
          </w:p>
        </w:tc>
      </w:tr>
      <w:tr w:rsidR="007E60D0">
        <w:trPr>
          <w:trHeight w:val="405"/>
        </w:trPr>
        <w:tc>
          <w:tcPr>
            <w:tcW w:w="841" w:type="dxa"/>
            <w:shd w:val="clear" w:color="auto" w:fill="auto"/>
            <w:vAlign w:val="bottom"/>
          </w:tcPr>
          <w:p w:rsidR="007E60D0" w:rsidRDefault="007E60D0">
            <w:pPr>
              <w:snapToGrid w:val="0"/>
              <w:rPr>
                <w:bCs/>
                <w:szCs w:val="24"/>
              </w:rPr>
            </w:pPr>
            <w:r>
              <w:rPr>
                <w:bCs/>
                <w:szCs w:val="24"/>
              </w:rPr>
              <w:t>4.1.</w:t>
            </w:r>
          </w:p>
        </w:tc>
        <w:tc>
          <w:tcPr>
            <w:tcW w:w="7069" w:type="dxa"/>
            <w:shd w:val="clear" w:color="auto" w:fill="auto"/>
            <w:vAlign w:val="bottom"/>
          </w:tcPr>
          <w:p w:rsidR="007E60D0" w:rsidRDefault="007E60D0">
            <w:pPr>
              <w:snapToGrid w:val="0"/>
              <w:rPr>
                <w:bCs/>
                <w:szCs w:val="24"/>
              </w:rPr>
            </w:pPr>
            <w:r>
              <w:rPr>
                <w:bCs/>
                <w:szCs w:val="24"/>
              </w:rPr>
              <w:t>PASIVOS EXIGIBLES (PASIVOS PENSIONALES)</w:t>
            </w:r>
          </w:p>
        </w:tc>
        <w:tc>
          <w:tcPr>
            <w:tcW w:w="615" w:type="dxa"/>
            <w:shd w:val="clear" w:color="auto" w:fill="auto"/>
            <w:vAlign w:val="bottom"/>
          </w:tcPr>
          <w:p w:rsidR="007E60D0" w:rsidRDefault="007E60D0">
            <w:pPr>
              <w:snapToGrid w:val="0"/>
              <w:jc w:val="center"/>
              <w:rPr>
                <w:rFonts w:eastAsia="Arial Unicode MS"/>
                <w:szCs w:val="24"/>
              </w:rPr>
            </w:pPr>
            <w:r>
              <w:rPr>
                <w:rFonts w:eastAsia="Arial Unicode MS"/>
                <w:szCs w:val="24"/>
              </w:rPr>
              <w:t>46</w:t>
            </w:r>
          </w:p>
        </w:tc>
      </w:tr>
      <w:tr w:rsidR="007E60D0">
        <w:trPr>
          <w:trHeight w:val="405"/>
        </w:trPr>
        <w:tc>
          <w:tcPr>
            <w:tcW w:w="841" w:type="dxa"/>
            <w:shd w:val="clear" w:color="auto" w:fill="auto"/>
            <w:vAlign w:val="bottom"/>
          </w:tcPr>
          <w:p w:rsidR="007E60D0" w:rsidRDefault="007E60D0">
            <w:pPr>
              <w:snapToGrid w:val="0"/>
              <w:rPr>
                <w:bCs/>
                <w:szCs w:val="24"/>
              </w:rPr>
            </w:pPr>
            <w:r>
              <w:rPr>
                <w:bCs/>
                <w:szCs w:val="24"/>
              </w:rPr>
              <w:t>4.2.</w:t>
            </w:r>
          </w:p>
        </w:tc>
        <w:tc>
          <w:tcPr>
            <w:tcW w:w="7069" w:type="dxa"/>
            <w:shd w:val="clear" w:color="auto" w:fill="auto"/>
            <w:vAlign w:val="bottom"/>
          </w:tcPr>
          <w:p w:rsidR="007E60D0" w:rsidRDefault="007E60D0">
            <w:pPr>
              <w:snapToGrid w:val="0"/>
              <w:rPr>
                <w:bCs/>
                <w:szCs w:val="24"/>
              </w:rPr>
            </w:pPr>
            <w:r>
              <w:rPr>
                <w:bCs/>
                <w:szCs w:val="24"/>
              </w:rPr>
              <w:t>PROCESOS JUDICIALES CONTRA LA ADMINISTRACIÓN</w:t>
            </w:r>
          </w:p>
        </w:tc>
        <w:tc>
          <w:tcPr>
            <w:tcW w:w="615" w:type="dxa"/>
            <w:shd w:val="clear" w:color="auto" w:fill="auto"/>
            <w:vAlign w:val="bottom"/>
          </w:tcPr>
          <w:p w:rsidR="007E60D0" w:rsidRDefault="007E60D0">
            <w:pPr>
              <w:snapToGrid w:val="0"/>
              <w:jc w:val="center"/>
              <w:rPr>
                <w:rFonts w:eastAsia="Arial Unicode MS"/>
                <w:szCs w:val="24"/>
              </w:rPr>
            </w:pPr>
          </w:p>
        </w:tc>
      </w:tr>
      <w:tr w:rsidR="007E60D0">
        <w:trPr>
          <w:trHeight w:val="405"/>
        </w:trPr>
        <w:tc>
          <w:tcPr>
            <w:tcW w:w="841" w:type="dxa"/>
            <w:shd w:val="clear" w:color="auto" w:fill="auto"/>
            <w:vAlign w:val="bottom"/>
          </w:tcPr>
          <w:p w:rsidR="007E60D0" w:rsidRDefault="007E60D0">
            <w:pPr>
              <w:snapToGrid w:val="0"/>
              <w:rPr>
                <w:rFonts w:eastAsia="Arial Unicode MS"/>
                <w:szCs w:val="24"/>
              </w:rPr>
            </w:pPr>
          </w:p>
        </w:tc>
        <w:tc>
          <w:tcPr>
            <w:tcW w:w="7069" w:type="dxa"/>
            <w:shd w:val="clear" w:color="auto" w:fill="auto"/>
            <w:vAlign w:val="bottom"/>
          </w:tcPr>
          <w:p w:rsidR="007E60D0" w:rsidRDefault="007E60D0">
            <w:pPr>
              <w:snapToGrid w:val="0"/>
              <w:rPr>
                <w:bCs/>
                <w:szCs w:val="24"/>
              </w:rPr>
            </w:pPr>
            <w:r>
              <w:rPr>
                <w:bCs/>
                <w:szCs w:val="24"/>
              </w:rPr>
              <w:t>(SENTENCIAS Y CONCILIACIONES)</w:t>
            </w:r>
          </w:p>
        </w:tc>
        <w:tc>
          <w:tcPr>
            <w:tcW w:w="615" w:type="dxa"/>
            <w:shd w:val="clear" w:color="auto" w:fill="auto"/>
            <w:vAlign w:val="bottom"/>
          </w:tcPr>
          <w:p w:rsidR="007E60D0" w:rsidRDefault="007E60D0">
            <w:pPr>
              <w:snapToGrid w:val="0"/>
              <w:jc w:val="center"/>
              <w:rPr>
                <w:rFonts w:eastAsia="Arial Unicode MS"/>
                <w:szCs w:val="24"/>
              </w:rPr>
            </w:pPr>
            <w:r>
              <w:rPr>
                <w:rFonts w:eastAsia="Arial Unicode MS"/>
                <w:szCs w:val="24"/>
              </w:rPr>
              <w:t>46</w:t>
            </w:r>
          </w:p>
        </w:tc>
      </w:tr>
      <w:tr w:rsidR="007E60D0">
        <w:trPr>
          <w:trHeight w:val="405"/>
        </w:trPr>
        <w:tc>
          <w:tcPr>
            <w:tcW w:w="841" w:type="dxa"/>
            <w:shd w:val="clear" w:color="auto" w:fill="auto"/>
            <w:vAlign w:val="bottom"/>
          </w:tcPr>
          <w:p w:rsidR="007E60D0" w:rsidRDefault="007E60D0">
            <w:pPr>
              <w:snapToGrid w:val="0"/>
              <w:rPr>
                <w:b/>
                <w:bCs/>
                <w:szCs w:val="24"/>
              </w:rPr>
            </w:pPr>
            <w:r>
              <w:rPr>
                <w:b/>
                <w:bCs/>
                <w:szCs w:val="24"/>
              </w:rPr>
              <w:lastRenderedPageBreak/>
              <w:t>5.</w:t>
            </w:r>
          </w:p>
        </w:tc>
        <w:tc>
          <w:tcPr>
            <w:tcW w:w="7069" w:type="dxa"/>
            <w:shd w:val="clear" w:color="auto" w:fill="auto"/>
            <w:vAlign w:val="bottom"/>
          </w:tcPr>
          <w:p w:rsidR="007E60D0" w:rsidRDefault="007E60D0">
            <w:pPr>
              <w:snapToGrid w:val="0"/>
              <w:rPr>
                <w:b/>
                <w:bCs/>
                <w:szCs w:val="24"/>
              </w:rPr>
            </w:pPr>
            <w:r>
              <w:rPr>
                <w:b/>
                <w:bCs/>
                <w:szCs w:val="24"/>
              </w:rPr>
              <w:t>RESULTADOS FISCALES VIGENCIA ANTERIOR</w:t>
            </w:r>
          </w:p>
        </w:tc>
        <w:tc>
          <w:tcPr>
            <w:tcW w:w="615" w:type="dxa"/>
            <w:shd w:val="clear" w:color="auto" w:fill="auto"/>
            <w:vAlign w:val="bottom"/>
          </w:tcPr>
          <w:p w:rsidR="007E60D0" w:rsidRDefault="007E60D0">
            <w:pPr>
              <w:snapToGrid w:val="0"/>
              <w:jc w:val="center"/>
              <w:rPr>
                <w:szCs w:val="24"/>
              </w:rPr>
            </w:pPr>
            <w:r>
              <w:rPr>
                <w:szCs w:val="24"/>
              </w:rPr>
              <w:t>54</w:t>
            </w:r>
          </w:p>
        </w:tc>
      </w:tr>
      <w:tr w:rsidR="007E60D0">
        <w:trPr>
          <w:trHeight w:val="405"/>
        </w:trPr>
        <w:tc>
          <w:tcPr>
            <w:tcW w:w="841" w:type="dxa"/>
            <w:shd w:val="clear" w:color="auto" w:fill="auto"/>
            <w:vAlign w:val="bottom"/>
          </w:tcPr>
          <w:p w:rsidR="007E60D0" w:rsidRDefault="007E60D0">
            <w:pPr>
              <w:snapToGrid w:val="0"/>
              <w:rPr>
                <w:bCs/>
                <w:szCs w:val="24"/>
              </w:rPr>
            </w:pPr>
            <w:r>
              <w:rPr>
                <w:bCs/>
                <w:szCs w:val="24"/>
              </w:rPr>
              <w:t>5.1.</w:t>
            </w:r>
          </w:p>
        </w:tc>
        <w:tc>
          <w:tcPr>
            <w:tcW w:w="7069" w:type="dxa"/>
            <w:shd w:val="clear" w:color="auto" w:fill="auto"/>
            <w:vAlign w:val="bottom"/>
          </w:tcPr>
          <w:p w:rsidR="007E60D0" w:rsidRDefault="007E60D0">
            <w:pPr>
              <w:snapToGrid w:val="0"/>
              <w:rPr>
                <w:bCs/>
                <w:szCs w:val="24"/>
              </w:rPr>
            </w:pPr>
            <w:r>
              <w:rPr>
                <w:bCs/>
                <w:szCs w:val="24"/>
              </w:rPr>
              <w:t>SUPERAVIT O DEFICIT PRESUPUESTAL</w:t>
            </w:r>
          </w:p>
        </w:tc>
        <w:tc>
          <w:tcPr>
            <w:tcW w:w="615" w:type="dxa"/>
            <w:shd w:val="clear" w:color="auto" w:fill="auto"/>
            <w:vAlign w:val="bottom"/>
          </w:tcPr>
          <w:p w:rsidR="007E60D0" w:rsidRDefault="007E60D0">
            <w:pPr>
              <w:snapToGrid w:val="0"/>
              <w:jc w:val="center"/>
              <w:rPr>
                <w:szCs w:val="24"/>
              </w:rPr>
            </w:pPr>
            <w:r>
              <w:rPr>
                <w:szCs w:val="24"/>
              </w:rPr>
              <w:t>54</w:t>
            </w:r>
          </w:p>
        </w:tc>
      </w:tr>
      <w:tr w:rsidR="007E60D0">
        <w:trPr>
          <w:trHeight w:val="405"/>
        </w:trPr>
        <w:tc>
          <w:tcPr>
            <w:tcW w:w="841" w:type="dxa"/>
            <w:shd w:val="clear" w:color="auto" w:fill="auto"/>
            <w:vAlign w:val="bottom"/>
          </w:tcPr>
          <w:p w:rsidR="007E60D0" w:rsidRDefault="007E60D0">
            <w:pPr>
              <w:snapToGrid w:val="0"/>
              <w:rPr>
                <w:bCs/>
                <w:szCs w:val="24"/>
              </w:rPr>
            </w:pPr>
            <w:r>
              <w:rPr>
                <w:bCs/>
                <w:szCs w:val="24"/>
              </w:rPr>
              <w:t>5.2.</w:t>
            </w:r>
          </w:p>
        </w:tc>
        <w:tc>
          <w:tcPr>
            <w:tcW w:w="7069" w:type="dxa"/>
            <w:shd w:val="clear" w:color="auto" w:fill="auto"/>
            <w:vAlign w:val="bottom"/>
          </w:tcPr>
          <w:p w:rsidR="007E60D0" w:rsidRDefault="007E60D0">
            <w:pPr>
              <w:snapToGrid w:val="0"/>
              <w:rPr>
                <w:bCs/>
                <w:szCs w:val="24"/>
              </w:rPr>
            </w:pPr>
            <w:r>
              <w:rPr>
                <w:bCs/>
                <w:szCs w:val="24"/>
              </w:rPr>
              <w:t>CAPACIDAD DE ENDEUDAMIENTO</w:t>
            </w:r>
          </w:p>
        </w:tc>
        <w:tc>
          <w:tcPr>
            <w:tcW w:w="615" w:type="dxa"/>
            <w:shd w:val="clear" w:color="auto" w:fill="auto"/>
            <w:vAlign w:val="bottom"/>
          </w:tcPr>
          <w:p w:rsidR="007E60D0" w:rsidRDefault="007E60D0">
            <w:pPr>
              <w:snapToGrid w:val="0"/>
              <w:jc w:val="center"/>
              <w:rPr>
                <w:szCs w:val="24"/>
              </w:rPr>
            </w:pPr>
            <w:r>
              <w:rPr>
                <w:szCs w:val="24"/>
              </w:rPr>
              <w:t>55</w:t>
            </w:r>
          </w:p>
        </w:tc>
      </w:tr>
      <w:tr w:rsidR="007E60D0">
        <w:trPr>
          <w:trHeight w:val="405"/>
        </w:trPr>
        <w:tc>
          <w:tcPr>
            <w:tcW w:w="841" w:type="dxa"/>
            <w:shd w:val="clear" w:color="auto" w:fill="auto"/>
            <w:vAlign w:val="bottom"/>
          </w:tcPr>
          <w:p w:rsidR="007E60D0" w:rsidRDefault="007E60D0">
            <w:pPr>
              <w:snapToGrid w:val="0"/>
              <w:rPr>
                <w:bCs/>
                <w:szCs w:val="24"/>
              </w:rPr>
            </w:pPr>
            <w:r>
              <w:rPr>
                <w:bCs/>
                <w:szCs w:val="24"/>
              </w:rPr>
              <w:t>5.3.</w:t>
            </w:r>
          </w:p>
        </w:tc>
        <w:tc>
          <w:tcPr>
            <w:tcW w:w="7069" w:type="dxa"/>
            <w:shd w:val="clear" w:color="auto" w:fill="auto"/>
            <w:vAlign w:val="bottom"/>
          </w:tcPr>
          <w:p w:rsidR="007E60D0" w:rsidRDefault="007E60D0">
            <w:pPr>
              <w:snapToGrid w:val="0"/>
              <w:rPr>
                <w:bCs/>
                <w:szCs w:val="24"/>
              </w:rPr>
            </w:pPr>
            <w:r>
              <w:rPr>
                <w:bCs/>
                <w:szCs w:val="24"/>
              </w:rPr>
              <w:t>INDICADORES LEY 617 DE 2000</w:t>
            </w:r>
          </w:p>
        </w:tc>
        <w:tc>
          <w:tcPr>
            <w:tcW w:w="615" w:type="dxa"/>
            <w:shd w:val="clear" w:color="auto" w:fill="auto"/>
            <w:vAlign w:val="bottom"/>
          </w:tcPr>
          <w:p w:rsidR="007E60D0" w:rsidRDefault="007E60D0">
            <w:pPr>
              <w:snapToGrid w:val="0"/>
              <w:jc w:val="center"/>
              <w:rPr>
                <w:szCs w:val="24"/>
              </w:rPr>
            </w:pPr>
            <w:r>
              <w:rPr>
                <w:szCs w:val="24"/>
              </w:rPr>
              <w:t>56</w:t>
            </w:r>
          </w:p>
        </w:tc>
      </w:tr>
      <w:tr w:rsidR="007E60D0">
        <w:trPr>
          <w:trHeight w:val="405"/>
        </w:trPr>
        <w:tc>
          <w:tcPr>
            <w:tcW w:w="841" w:type="dxa"/>
            <w:shd w:val="clear" w:color="auto" w:fill="auto"/>
            <w:vAlign w:val="bottom"/>
          </w:tcPr>
          <w:p w:rsidR="007E60D0" w:rsidRDefault="007E60D0">
            <w:pPr>
              <w:snapToGrid w:val="0"/>
              <w:rPr>
                <w:b/>
                <w:bCs/>
                <w:szCs w:val="24"/>
              </w:rPr>
            </w:pPr>
          </w:p>
          <w:p w:rsidR="007E60D0" w:rsidRDefault="007E60D0">
            <w:pPr>
              <w:rPr>
                <w:b/>
                <w:bCs/>
                <w:szCs w:val="24"/>
              </w:rPr>
            </w:pPr>
            <w:r>
              <w:rPr>
                <w:b/>
                <w:bCs/>
                <w:szCs w:val="24"/>
              </w:rPr>
              <w:t>6.</w:t>
            </w:r>
          </w:p>
        </w:tc>
        <w:tc>
          <w:tcPr>
            <w:tcW w:w="7069" w:type="dxa"/>
            <w:shd w:val="clear" w:color="auto" w:fill="auto"/>
            <w:vAlign w:val="bottom"/>
          </w:tcPr>
          <w:p w:rsidR="007E60D0" w:rsidRDefault="007E60D0">
            <w:pPr>
              <w:snapToGrid w:val="0"/>
              <w:rPr>
                <w:b/>
                <w:bCs/>
                <w:szCs w:val="24"/>
              </w:rPr>
            </w:pPr>
            <w:r>
              <w:rPr>
                <w:b/>
                <w:bCs/>
                <w:szCs w:val="24"/>
              </w:rPr>
              <w:t>CONCLUSIONES</w:t>
            </w:r>
          </w:p>
        </w:tc>
        <w:tc>
          <w:tcPr>
            <w:tcW w:w="615" w:type="dxa"/>
            <w:shd w:val="clear" w:color="auto" w:fill="auto"/>
            <w:vAlign w:val="bottom"/>
          </w:tcPr>
          <w:p w:rsidR="007E60D0" w:rsidRDefault="007E60D0">
            <w:pPr>
              <w:snapToGrid w:val="0"/>
              <w:jc w:val="center"/>
              <w:rPr>
                <w:rFonts w:eastAsia="Arial Unicode MS"/>
                <w:szCs w:val="24"/>
              </w:rPr>
            </w:pPr>
            <w:r>
              <w:rPr>
                <w:rFonts w:eastAsia="Arial Unicode MS"/>
                <w:szCs w:val="24"/>
              </w:rPr>
              <w:t>57</w:t>
            </w:r>
          </w:p>
        </w:tc>
      </w:tr>
      <w:tr w:rsidR="007E60D0">
        <w:trPr>
          <w:trHeight w:val="330"/>
        </w:trPr>
        <w:tc>
          <w:tcPr>
            <w:tcW w:w="841" w:type="dxa"/>
            <w:shd w:val="clear" w:color="auto" w:fill="auto"/>
            <w:vAlign w:val="bottom"/>
          </w:tcPr>
          <w:p w:rsidR="007E60D0" w:rsidRDefault="007E60D0">
            <w:pPr>
              <w:snapToGrid w:val="0"/>
              <w:rPr>
                <w:rFonts w:eastAsia="Arial Unicode MS"/>
                <w:b/>
                <w:bCs/>
                <w:szCs w:val="24"/>
              </w:rPr>
            </w:pPr>
          </w:p>
        </w:tc>
        <w:tc>
          <w:tcPr>
            <w:tcW w:w="7069" w:type="dxa"/>
            <w:shd w:val="clear" w:color="auto" w:fill="auto"/>
            <w:vAlign w:val="bottom"/>
          </w:tcPr>
          <w:p w:rsidR="007E60D0" w:rsidRDefault="007E60D0">
            <w:pPr>
              <w:snapToGrid w:val="0"/>
              <w:rPr>
                <w:rFonts w:eastAsia="Arial Unicode MS"/>
                <w:b/>
                <w:bCs/>
                <w:szCs w:val="24"/>
              </w:rPr>
            </w:pPr>
          </w:p>
          <w:p w:rsidR="007E60D0" w:rsidRDefault="007E60D0">
            <w:pPr>
              <w:rPr>
                <w:rFonts w:eastAsia="Arial Unicode MS"/>
                <w:b/>
                <w:bCs/>
                <w:szCs w:val="24"/>
              </w:rPr>
            </w:pPr>
          </w:p>
          <w:p w:rsidR="007E60D0" w:rsidRDefault="007E60D0">
            <w:pPr>
              <w:rPr>
                <w:rFonts w:eastAsia="Arial Unicode MS"/>
                <w:b/>
                <w:bCs/>
                <w:szCs w:val="24"/>
              </w:rPr>
            </w:pPr>
          </w:p>
          <w:p w:rsidR="007E60D0" w:rsidRDefault="007E60D0">
            <w:pPr>
              <w:rPr>
                <w:rFonts w:eastAsia="Arial Unicode MS"/>
                <w:b/>
                <w:bCs/>
                <w:szCs w:val="24"/>
              </w:rPr>
            </w:pPr>
          </w:p>
          <w:p w:rsidR="007E60D0" w:rsidRDefault="007E60D0">
            <w:pPr>
              <w:rPr>
                <w:rFonts w:eastAsia="Arial Unicode MS"/>
                <w:b/>
                <w:bCs/>
                <w:szCs w:val="24"/>
              </w:rPr>
            </w:pPr>
          </w:p>
          <w:p w:rsidR="007E60D0" w:rsidRDefault="007E60D0">
            <w:pPr>
              <w:rPr>
                <w:rFonts w:eastAsia="Arial Unicode MS"/>
                <w:b/>
                <w:bCs/>
                <w:szCs w:val="24"/>
              </w:rPr>
            </w:pPr>
          </w:p>
          <w:p w:rsidR="007E60D0" w:rsidRDefault="007E60D0">
            <w:pPr>
              <w:rPr>
                <w:rFonts w:eastAsia="Arial Unicode MS"/>
                <w:b/>
                <w:bCs/>
                <w:szCs w:val="24"/>
              </w:rPr>
            </w:pPr>
          </w:p>
          <w:p w:rsidR="007E60D0" w:rsidRDefault="007E60D0">
            <w:pPr>
              <w:rPr>
                <w:rFonts w:eastAsia="Arial Unicode MS"/>
                <w:b/>
                <w:bCs/>
                <w:szCs w:val="24"/>
              </w:rPr>
            </w:pPr>
          </w:p>
          <w:p w:rsidR="007E60D0" w:rsidRDefault="007E60D0">
            <w:pPr>
              <w:rPr>
                <w:rFonts w:eastAsia="Arial Unicode MS"/>
                <w:b/>
                <w:bCs/>
                <w:szCs w:val="24"/>
              </w:rPr>
            </w:pPr>
          </w:p>
          <w:p w:rsidR="007E60D0" w:rsidRDefault="007E60D0">
            <w:pPr>
              <w:rPr>
                <w:rFonts w:eastAsia="Arial Unicode MS"/>
                <w:b/>
                <w:bCs/>
                <w:szCs w:val="24"/>
              </w:rPr>
            </w:pPr>
          </w:p>
          <w:p w:rsidR="007E60D0" w:rsidRDefault="007E60D0">
            <w:pPr>
              <w:rPr>
                <w:rFonts w:eastAsia="Arial Unicode MS"/>
                <w:b/>
                <w:bCs/>
                <w:szCs w:val="24"/>
              </w:rPr>
            </w:pPr>
          </w:p>
          <w:p w:rsidR="007E60D0" w:rsidRDefault="007E60D0">
            <w:pPr>
              <w:rPr>
                <w:rFonts w:eastAsia="Arial Unicode MS"/>
                <w:b/>
                <w:bCs/>
                <w:szCs w:val="24"/>
              </w:rPr>
            </w:pPr>
          </w:p>
          <w:p w:rsidR="007E60D0" w:rsidRDefault="007E60D0">
            <w:pPr>
              <w:rPr>
                <w:rFonts w:eastAsia="Arial Unicode MS"/>
                <w:b/>
                <w:bCs/>
                <w:szCs w:val="24"/>
              </w:rPr>
            </w:pPr>
          </w:p>
          <w:p w:rsidR="007E60D0" w:rsidRDefault="007E60D0">
            <w:pPr>
              <w:rPr>
                <w:rFonts w:eastAsia="Arial Unicode MS"/>
                <w:b/>
                <w:bCs/>
                <w:szCs w:val="24"/>
              </w:rPr>
            </w:pPr>
          </w:p>
          <w:p w:rsidR="007E60D0" w:rsidRDefault="007E60D0">
            <w:pPr>
              <w:rPr>
                <w:rFonts w:eastAsia="Arial Unicode MS"/>
                <w:b/>
                <w:bCs/>
                <w:szCs w:val="24"/>
              </w:rPr>
            </w:pPr>
          </w:p>
          <w:p w:rsidR="007E60D0" w:rsidRDefault="007E60D0">
            <w:pPr>
              <w:rPr>
                <w:rFonts w:eastAsia="Arial Unicode MS"/>
                <w:b/>
                <w:bCs/>
                <w:szCs w:val="24"/>
              </w:rPr>
            </w:pPr>
          </w:p>
          <w:p w:rsidR="007E60D0" w:rsidRDefault="007E60D0">
            <w:pPr>
              <w:rPr>
                <w:rFonts w:eastAsia="Arial Unicode MS"/>
                <w:b/>
                <w:bCs/>
                <w:szCs w:val="24"/>
              </w:rPr>
            </w:pPr>
          </w:p>
          <w:p w:rsidR="007E60D0" w:rsidRDefault="007E60D0">
            <w:pPr>
              <w:rPr>
                <w:rFonts w:eastAsia="Arial Unicode MS"/>
                <w:b/>
                <w:bCs/>
                <w:szCs w:val="24"/>
              </w:rPr>
            </w:pPr>
          </w:p>
          <w:p w:rsidR="007E60D0" w:rsidRDefault="007E60D0">
            <w:pPr>
              <w:rPr>
                <w:rFonts w:eastAsia="Arial Unicode MS"/>
                <w:b/>
                <w:bCs/>
                <w:szCs w:val="24"/>
              </w:rPr>
            </w:pPr>
          </w:p>
          <w:p w:rsidR="007E60D0" w:rsidRDefault="007E60D0">
            <w:pPr>
              <w:rPr>
                <w:rFonts w:eastAsia="Arial Unicode MS"/>
                <w:b/>
                <w:bCs/>
                <w:szCs w:val="24"/>
              </w:rPr>
            </w:pPr>
          </w:p>
          <w:p w:rsidR="007E60D0" w:rsidRDefault="007E60D0">
            <w:pPr>
              <w:rPr>
                <w:rFonts w:eastAsia="Arial Unicode MS"/>
                <w:b/>
                <w:bCs/>
                <w:szCs w:val="24"/>
              </w:rPr>
            </w:pPr>
          </w:p>
          <w:p w:rsidR="007E60D0" w:rsidRDefault="007E60D0">
            <w:pPr>
              <w:rPr>
                <w:rFonts w:eastAsia="Arial Unicode MS"/>
                <w:b/>
                <w:bCs/>
                <w:szCs w:val="24"/>
              </w:rPr>
            </w:pPr>
          </w:p>
          <w:p w:rsidR="007E60D0" w:rsidRDefault="007E60D0">
            <w:pPr>
              <w:rPr>
                <w:rFonts w:eastAsia="Arial Unicode MS"/>
                <w:b/>
                <w:bCs/>
                <w:szCs w:val="24"/>
              </w:rPr>
            </w:pPr>
          </w:p>
          <w:p w:rsidR="007E60D0" w:rsidRDefault="007E60D0">
            <w:pPr>
              <w:rPr>
                <w:rFonts w:eastAsia="Arial Unicode MS"/>
                <w:b/>
                <w:bCs/>
                <w:szCs w:val="24"/>
              </w:rPr>
            </w:pPr>
          </w:p>
        </w:tc>
        <w:tc>
          <w:tcPr>
            <w:tcW w:w="615" w:type="dxa"/>
            <w:shd w:val="clear" w:color="auto" w:fill="auto"/>
            <w:vAlign w:val="bottom"/>
          </w:tcPr>
          <w:p w:rsidR="007E60D0" w:rsidRDefault="007E60D0">
            <w:pPr>
              <w:snapToGrid w:val="0"/>
              <w:jc w:val="center"/>
              <w:rPr>
                <w:rFonts w:eastAsia="Arial Unicode MS"/>
                <w:szCs w:val="24"/>
              </w:rPr>
            </w:pPr>
          </w:p>
        </w:tc>
      </w:tr>
      <w:tr w:rsidR="007E60D0">
        <w:trPr>
          <w:trHeight w:val="330"/>
        </w:trPr>
        <w:tc>
          <w:tcPr>
            <w:tcW w:w="841" w:type="dxa"/>
            <w:shd w:val="clear" w:color="auto" w:fill="auto"/>
            <w:vAlign w:val="bottom"/>
          </w:tcPr>
          <w:p w:rsidR="007E60D0" w:rsidRDefault="007E60D0">
            <w:pPr>
              <w:snapToGrid w:val="0"/>
              <w:rPr>
                <w:b/>
                <w:bCs/>
                <w:szCs w:val="24"/>
              </w:rPr>
            </w:pPr>
          </w:p>
        </w:tc>
        <w:tc>
          <w:tcPr>
            <w:tcW w:w="7069" w:type="dxa"/>
            <w:shd w:val="clear" w:color="auto" w:fill="auto"/>
            <w:vAlign w:val="bottom"/>
          </w:tcPr>
          <w:p w:rsidR="007E60D0" w:rsidRDefault="007E60D0">
            <w:pPr>
              <w:snapToGrid w:val="0"/>
              <w:rPr>
                <w:b/>
                <w:bCs/>
                <w:szCs w:val="24"/>
              </w:rPr>
            </w:pPr>
          </w:p>
        </w:tc>
        <w:tc>
          <w:tcPr>
            <w:tcW w:w="615" w:type="dxa"/>
            <w:shd w:val="clear" w:color="auto" w:fill="auto"/>
            <w:vAlign w:val="bottom"/>
          </w:tcPr>
          <w:p w:rsidR="007E60D0" w:rsidRDefault="007E60D0">
            <w:pPr>
              <w:snapToGrid w:val="0"/>
              <w:jc w:val="center"/>
              <w:rPr>
                <w:szCs w:val="24"/>
              </w:rPr>
            </w:pPr>
          </w:p>
        </w:tc>
      </w:tr>
    </w:tbl>
    <w:p w:rsidR="007E60D0" w:rsidRDefault="007E60D0">
      <w:pPr>
        <w:jc w:val="center"/>
        <w:rPr>
          <w:b/>
          <w:bCs/>
          <w:szCs w:val="24"/>
        </w:rPr>
      </w:pPr>
    </w:p>
    <w:p w:rsidR="007E60D0" w:rsidRDefault="007E60D0">
      <w:pPr>
        <w:jc w:val="center"/>
        <w:rPr>
          <w:b/>
          <w:bCs/>
          <w:szCs w:val="24"/>
        </w:rPr>
      </w:pPr>
    </w:p>
    <w:p w:rsidR="007E60D0" w:rsidRDefault="007E60D0">
      <w:pPr>
        <w:jc w:val="center"/>
        <w:rPr>
          <w:b/>
          <w:bCs/>
          <w:szCs w:val="24"/>
        </w:rPr>
      </w:pPr>
    </w:p>
    <w:p w:rsidR="007E60D0" w:rsidRDefault="007E60D0">
      <w:pPr>
        <w:jc w:val="center"/>
        <w:rPr>
          <w:b/>
          <w:bCs/>
          <w:szCs w:val="24"/>
        </w:rPr>
      </w:pPr>
    </w:p>
    <w:p w:rsidR="007E60D0" w:rsidRDefault="007E60D0">
      <w:pPr>
        <w:jc w:val="center"/>
        <w:rPr>
          <w:b/>
          <w:bCs/>
          <w:szCs w:val="24"/>
        </w:rPr>
      </w:pPr>
    </w:p>
    <w:p w:rsidR="007E60D0" w:rsidRDefault="007E60D0">
      <w:pPr>
        <w:jc w:val="center"/>
        <w:rPr>
          <w:b/>
          <w:bCs/>
          <w:szCs w:val="24"/>
        </w:rPr>
      </w:pPr>
    </w:p>
    <w:p w:rsidR="007E60D0" w:rsidRDefault="007E60D0">
      <w:pPr>
        <w:jc w:val="center"/>
        <w:rPr>
          <w:b/>
          <w:bCs/>
          <w:szCs w:val="24"/>
        </w:rPr>
      </w:pPr>
    </w:p>
    <w:p w:rsidR="007E60D0" w:rsidRDefault="007E60D0">
      <w:pPr>
        <w:jc w:val="center"/>
        <w:rPr>
          <w:b/>
          <w:bCs/>
          <w:szCs w:val="24"/>
        </w:rPr>
      </w:pPr>
    </w:p>
    <w:p w:rsidR="007E60D0" w:rsidRDefault="007E60D0">
      <w:pPr>
        <w:jc w:val="center"/>
        <w:rPr>
          <w:b/>
          <w:bCs/>
          <w:szCs w:val="24"/>
        </w:rPr>
      </w:pPr>
    </w:p>
    <w:p w:rsidR="007E60D0" w:rsidRDefault="007E60D0">
      <w:pPr>
        <w:jc w:val="center"/>
        <w:rPr>
          <w:b/>
          <w:bCs/>
          <w:szCs w:val="24"/>
        </w:rPr>
      </w:pPr>
    </w:p>
    <w:tbl>
      <w:tblPr>
        <w:tblW w:w="0" w:type="auto"/>
        <w:tblLayout w:type="fixed"/>
        <w:tblCellMar>
          <w:left w:w="0" w:type="dxa"/>
          <w:right w:w="0" w:type="dxa"/>
        </w:tblCellMar>
        <w:tblLook w:val="0000"/>
      </w:tblPr>
      <w:tblGrid>
        <w:gridCol w:w="780"/>
        <w:gridCol w:w="7855"/>
        <w:gridCol w:w="800"/>
      </w:tblGrid>
      <w:tr w:rsidR="007E60D0">
        <w:trPr>
          <w:trHeight w:val="540"/>
        </w:trPr>
        <w:tc>
          <w:tcPr>
            <w:tcW w:w="780" w:type="dxa"/>
            <w:shd w:val="clear" w:color="auto" w:fill="auto"/>
            <w:vAlign w:val="bottom"/>
          </w:tcPr>
          <w:p w:rsidR="007E60D0" w:rsidRDefault="007E60D0">
            <w:pPr>
              <w:snapToGrid w:val="0"/>
              <w:rPr>
                <w:rFonts w:eastAsia="Arial Unicode MS"/>
                <w:szCs w:val="24"/>
              </w:rPr>
            </w:pPr>
          </w:p>
        </w:tc>
        <w:tc>
          <w:tcPr>
            <w:tcW w:w="7855" w:type="dxa"/>
            <w:shd w:val="clear" w:color="auto" w:fill="auto"/>
            <w:vAlign w:val="bottom"/>
          </w:tcPr>
          <w:p w:rsidR="007E60D0" w:rsidRDefault="007E60D0">
            <w:pPr>
              <w:snapToGrid w:val="0"/>
              <w:jc w:val="center"/>
              <w:rPr>
                <w:b/>
                <w:bCs/>
                <w:color w:val="000000"/>
                <w:sz w:val="28"/>
                <w:szCs w:val="28"/>
              </w:rPr>
            </w:pPr>
            <w:r>
              <w:rPr>
                <w:b/>
                <w:bCs/>
                <w:color w:val="000000"/>
                <w:sz w:val="28"/>
                <w:szCs w:val="28"/>
              </w:rPr>
              <w:t>INDICE DE CUADROS</w:t>
            </w:r>
          </w:p>
          <w:p w:rsidR="007E60D0" w:rsidRDefault="007E60D0">
            <w:pPr>
              <w:jc w:val="center"/>
              <w:rPr>
                <w:rFonts w:eastAsia="Arial Unicode MS"/>
                <w:b/>
                <w:bCs/>
                <w:szCs w:val="24"/>
              </w:rPr>
            </w:pPr>
          </w:p>
        </w:tc>
        <w:tc>
          <w:tcPr>
            <w:tcW w:w="800" w:type="dxa"/>
            <w:shd w:val="clear" w:color="auto" w:fill="auto"/>
            <w:vAlign w:val="bottom"/>
          </w:tcPr>
          <w:p w:rsidR="007E60D0" w:rsidRDefault="007E60D0">
            <w:pPr>
              <w:snapToGrid w:val="0"/>
              <w:rPr>
                <w:rFonts w:eastAsia="Arial Unicode MS"/>
                <w:szCs w:val="24"/>
              </w:rPr>
            </w:pPr>
          </w:p>
        </w:tc>
      </w:tr>
      <w:tr w:rsidR="007E60D0">
        <w:trPr>
          <w:trHeight w:val="390"/>
        </w:trPr>
        <w:tc>
          <w:tcPr>
            <w:tcW w:w="780" w:type="dxa"/>
            <w:shd w:val="clear" w:color="auto" w:fill="auto"/>
            <w:vAlign w:val="bottom"/>
          </w:tcPr>
          <w:p w:rsidR="007E60D0" w:rsidRDefault="007E60D0">
            <w:pPr>
              <w:snapToGrid w:val="0"/>
              <w:jc w:val="center"/>
              <w:rPr>
                <w:rFonts w:eastAsia="Arial Unicode MS"/>
                <w:szCs w:val="24"/>
              </w:rPr>
            </w:pPr>
          </w:p>
        </w:tc>
        <w:tc>
          <w:tcPr>
            <w:tcW w:w="7855" w:type="dxa"/>
            <w:shd w:val="clear" w:color="auto" w:fill="auto"/>
            <w:vAlign w:val="bottom"/>
          </w:tcPr>
          <w:p w:rsidR="007E60D0" w:rsidRDefault="007E60D0">
            <w:pPr>
              <w:snapToGrid w:val="0"/>
              <w:jc w:val="center"/>
              <w:rPr>
                <w:szCs w:val="24"/>
              </w:rPr>
            </w:pPr>
            <w:r>
              <w:rPr>
                <w:szCs w:val="24"/>
              </w:rPr>
              <w:t>DESCRIPCIÓN</w:t>
            </w:r>
          </w:p>
        </w:tc>
        <w:tc>
          <w:tcPr>
            <w:tcW w:w="800" w:type="dxa"/>
            <w:shd w:val="clear" w:color="auto" w:fill="auto"/>
            <w:vAlign w:val="bottom"/>
          </w:tcPr>
          <w:p w:rsidR="007E60D0" w:rsidRDefault="007E60D0">
            <w:pPr>
              <w:snapToGrid w:val="0"/>
              <w:jc w:val="center"/>
              <w:rPr>
                <w:szCs w:val="24"/>
              </w:rPr>
            </w:pPr>
            <w:r>
              <w:rPr>
                <w:szCs w:val="24"/>
              </w:rPr>
              <w:t>Pág.</w:t>
            </w:r>
          </w:p>
        </w:tc>
      </w:tr>
      <w:tr w:rsidR="007E60D0">
        <w:trPr>
          <w:trHeight w:val="390"/>
        </w:trPr>
        <w:tc>
          <w:tcPr>
            <w:tcW w:w="780" w:type="dxa"/>
            <w:shd w:val="clear" w:color="auto" w:fill="auto"/>
            <w:vAlign w:val="bottom"/>
          </w:tcPr>
          <w:p w:rsidR="007E60D0" w:rsidRDefault="007E60D0">
            <w:pPr>
              <w:snapToGrid w:val="0"/>
              <w:jc w:val="center"/>
              <w:rPr>
                <w:szCs w:val="24"/>
              </w:rPr>
            </w:pPr>
            <w:r>
              <w:rPr>
                <w:szCs w:val="24"/>
              </w:rPr>
              <w:t>1</w:t>
            </w:r>
          </w:p>
        </w:tc>
        <w:tc>
          <w:tcPr>
            <w:tcW w:w="7855" w:type="dxa"/>
            <w:shd w:val="clear" w:color="auto" w:fill="auto"/>
            <w:vAlign w:val="bottom"/>
          </w:tcPr>
          <w:p w:rsidR="007E60D0" w:rsidRDefault="007E60D0">
            <w:pPr>
              <w:snapToGrid w:val="0"/>
              <w:rPr>
                <w:szCs w:val="24"/>
              </w:rPr>
            </w:pPr>
            <w:r>
              <w:rPr>
                <w:szCs w:val="24"/>
              </w:rPr>
              <w:t>Comportamiento de los Ingresos - análisis vertical</w:t>
            </w:r>
          </w:p>
        </w:tc>
        <w:tc>
          <w:tcPr>
            <w:tcW w:w="800" w:type="dxa"/>
            <w:shd w:val="clear" w:color="auto" w:fill="auto"/>
            <w:vAlign w:val="bottom"/>
          </w:tcPr>
          <w:p w:rsidR="007E60D0" w:rsidRDefault="007E60D0">
            <w:pPr>
              <w:snapToGrid w:val="0"/>
              <w:jc w:val="center"/>
              <w:rPr>
                <w:szCs w:val="24"/>
              </w:rPr>
            </w:pPr>
            <w:r>
              <w:rPr>
                <w:szCs w:val="24"/>
              </w:rPr>
              <w:t>15</w:t>
            </w:r>
          </w:p>
        </w:tc>
      </w:tr>
      <w:tr w:rsidR="007E60D0">
        <w:trPr>
          <w:trHeight w:val="330"/>
        </w:trPr>
        <w:tc>
          <w:tcPr>
            <w:tcW w:w="780" w:type="dxa"/>
            <w:shd w:val="clear" w:color="auto" w:fill="auto"/>
            <w:vAlign w:val="bottom"/>
          </w:tcPr>
          <w:p w:rsidR="007E60D0" w:rsidRDefault="007E60D0">
            <w:pPr>
              <w:snapToGrid w:val="0"/>
              <w:jc w:val="center"/>
              <w:rPr>
                <w:szCs w:val="24"/>
              </w:rPr>
            </w:pPr>
            <w:r>
              <w:rPr>
                <w:szCs w:val="24"/>
              </w:rPr>
              <w:t>2</w:t>
            </w:r>
          </w:p>
        </w:tc>
        <w:tc>
          <w:tcPr>
            <w:tcW w:w="7855" w:type="dxa"/>
            <w:shd w:val="clear" w:color="auto" w:fill="auto"/>
            <w:vAlign w:val="bottom"/>
          </w:tcPr>
          <w:p w:rsidR="007E60D0" w:rsidRDefault="007E60D0">
            <w:pPr>
              <w:snapToGrid w:val="0"/>
              <w:rPr>
                <w:szCs w:val="24"/>
              </w:rPr>
            </w:pPr>
            <w:r>
              <w:rPr>
                <w:szCs w:val="24"/>
              </w:rPr>
              <w:t>Ingresos Corrientes de Libre Destinación - variación anual</w:t>
            </w:r>
          </w:p>
        </w:tc>
        <w:tc>
          <w:tcPr>
            <w:tcW w:w="800" w:type="dxa"/>
            <w:shd w:val="clear" w:color="auto" w:fill="auto"/>
            <w:vAlign w:val="bottom"/>
          </w:tcPr>
          <w:p w:rsidR="007E60D0" w:rsidRDefault="007E60D0">
            <w:pPr>
              <w:snapToGrid w:val="0"/>
              <w:jc w:val="center"/>
              <w:rPr>
                <w:szCs w:val="24"/>
              </w:rPr>
            </w:pPr>
            <w:r>
              <w:rPr>
                <w:szCs w:val="24"/>
              </w:rPr>
              <w:t>17</w:t>
            </w:r>
          </w:p>
        </w:tc>
      </w:tr>
      <w:tr w:rsidR="007E60D0">
        <w:trPr>
          <w:trHeight w:val="345"/>
        </w:trPr>
        <w:tc>
          <w:tcPr>
            <w:tcW w:w="780" w:type="dxa"/>
            <w:shd w:val="clear" w:color="auto" w:fill="auto"/>
            <w:vAlign w:val="bottom"/>
          </w:tcPr>
          <w:p w:rsidR="007E60D0" w:rsidRDefault="007E60D0">
            <w:pPr>
              <w:snapToGrid w:val="0"/>
              <w:jc w:val="center"/>
              <w:rPr>
                <w:szCs w:val="24"/>
              </w:rPr>
            </w:pPr>
            <w:r>
              <w:rPr>
                <w:szCs w:val="24"/>
              </w:rPr>
              <w:t>3</w:t>
            </w:r>
          </w:p>
        </w:tc>
        <w:tc>
          <w:tcPr>
            <w:tcW w:w="7855" w:type="dxa"/>
            <w:shd w:val="clear" w:color="auto" w:fill="auto"/>
            <w:vAlign w:val="bottom"/>
          </w:tcPr>
          <w:p w:rsidR="007E60D0" w:rsidRDefault="007E60D0">
            <w:pPr>
              <w:snapToGrid w:val="0"/>
              <w:rPr>
                <w:szCs w:val="24"/>
              </w:rPr>
            </w:pPr>
            <w:r>
              <w:rPr>
                <w:szCs w:val="24"/>
              </w:rPr>
              <w:t xml:space="preserve">Estructura de los Gastos </w:t>
            </w:r>
          </w:p>
        </w:tc>
        <w:tc>
          <w:tcPr>
            <w:tcW w:w="800" w:type="dxa"/>
            <w:shd w:val="clear" w:color="auto" w:fill="auto"/>
            <w:vAlign w:val="bottom"/>
          </w:tcPr>
          <w:p w:rsidR="007E60D0" w:rsidRDefault="007E60D0">
            <w:pPr>
              <w:snapToGrid w:val="0"/>
              <w:jc w:val="center"/>
              <w:rPr>
                <w:szCs w:val="24"/>
              </w:rPr>
            </w:pPr>
            <w:r>
              <w:rPr>
                <w:szCs w:val="24"/>
              </w:rPr>
              <w:t>22</w:t>
            </w:r>
          </w:p>
        </w:tc>
      </w:tr>
      <w:tr w:rsidR="007E60D0">
        <w:trPr>
          <w:trHeight w:val="405"/>
        </w:trPr>
        <w:tc>
          <w:tcPr>
            <w:tcW w:w="780" w:type="dxa"/>
            <w:shd w:val="clear" w:color="auto" w:fill="auto"/>
            <w:vAlign w:val="bottom"/>
          </w:tcPr>
          <w:p w:rsidR="007E60D0" w:rsidRDefault="007E60D0">
            <w:pPr>
              <w:snapToGrid w:val="0"/>
              <w:jc w:val="center"/>
              <w:rPr>
                <w:szCs w:val="24"/>
              </w:rPr>
            </w:pPr>
            <w:r>
              <w:rPr>
                <w:szCs w:val="24"/>
              </w:rPr>
              <w:t>4</w:t>
            </w:r>
          </w:p>
        </w:tc>
        <w:tc>
          <w:tcPr>
            <w:tcW w:w="7855" w:type="dxa"/>
            <w:shd w:val="clear" w:color="auto" w:fill="auto"/>
            <w:vAlign w:val="bottom"/>
          </w:tcPr>
          <w:p w:rsidR="007E60D0" w:rsidRDefault="007E60D0">
            <w:pPr>
              <w:snapToGrid w:val="0"/>
              <w:rPr>
                <w:szCs w:val="24"/>
              </w:rPr>
            </w:pPr>
            <w:r>
              <w:rPr>
                <w:szCs w:val="24"/>
              </w:rPr>
              <w:t>Gastos de Funcionamiento</w:t>
            </w:r>
          </w:p>
        </w:tc>
        <w:tc>
          <w:tcPr>
            <w:tcW w:w="800" w:type="dxa"/>
            <w:shd w:val="clear" w:color="auto" w:fill="auto"/>
            <w:vAlign w:val="bottom"/>
          </w:tcPr>
          <w:p w:rsidR="007E60D0" w:rsidRDefault="007E60D0">
            <w:pPr>
              <w:snapToGrid w:val="0"/>
              <w:jc w:val="center"/>
              <w:rPr>
                <w:szCs w:val="24"/>
              </w:rPr>
            </w:pPr>
            <w:r>
              <w:rPr>
                <w:szCs w:val="24"/>
              </w:rPr>
              <w:t>23</w:t>
            </w:r>
          </w:p>
        </w:tc>
      </w:tr>
      <w:tr w:rsidR="007E60D0">
        <w:trPr>
          <w:trHeight w:val="405"/>
        </w:trPr>
        <w:tc>
          <w:tcPr>
            <w:tcW w:w="780" w:type="dxa"/>
            <w:shd w:val="clear" w:color="auto" w:fill="auto"/>
            <w:vAlign w:val="bottom"/>
          </w:tcPr>
          <w:p w:rsidR="007E60D0" w:rsidRDefault="007E60D0">
            <w:pPr>
              <w:snapToGrid w:val="0"/>
              <w:jc w:val="center"/>
              <w:rPr>
                <w:szCs w:val="24"/>
              </w:rPr>
            </w:pPr>
            <w:r>
              <w:rPr>
                <w:szCs w:val="24"/>
              </w:rPr>
              <w:t>5</w:t>
            </w:r>
          </w:p>
        </w:tc>
        <w:tc>
          <w:tcPr>
            <w:tcW w:w="7855" w:type="dxa"/>
            <w:shd w:val="clear" w:color="auto" w:fill="auto"/>
            <w:vAlign w:val="bottom"/>
          </w:tcPr>
          <w:p w:rsidR="007E60D0" w:rsidRDefault="007E60D0">
            <w:pPr>
              <w:snapToGrid w:val="0"/>
              <w:rPr>
                <w:szCs w:val="24"/>
              </w:rPr>
            </w:pPr>
            <w:r>
              <w:rPr>
                <w:szCs w:val="24"/>
              </w:rPr>
              <w:t>Capacidad de Endeudamiento - Vigencia 2011</w:t>
            </w:r>
          </w:p>
        </w:tc>
        <w:tc>
          <w:tcPr>
            <w:tcW w:w="800" w:type="dxa"/>
            <w:shd w:val="clear" w:color="auto" w:fill="auto"/>
            <w:vAlign w:val="bottom"/>
          </w:tcPr>
          <w:p w:rsidR="007E60D0" w:rsidRDefault="007E60D0">
            <w:pPr>
              <w:snapToGrid w:val="0"/>
              <w:jc w:val="center"/>
              <w:rPr>
                <w:szCs w:val="24"/>
              </w:rPr>
            </w:pPr>
            <w:r>
              <w:rPr>
                <w:szCs w:val="24"/>
              </w:rPr>
              <w:t>33</w:t>
            </w:r>
          </w:p>
        </w:tc>
      </w:tr>
      <w:tr w:rsidR="007E60D0">
        <w:trPr>
          <w:trHeight w:val="405"/>
        </w:trPr>
        <w:tc>
          <w:tcPr>
            <w:tcW w:w="780" w:type="dxa"/>
            <w:shd w:val="clear" w:color="auto" w:fill="auto"/>
            <w:vAlign w:val="bottom"/>
          </w:tcPr>
          <w:p w:rsidR="007E60D0" w:rsidRDefault="007E60D0">
            <w:pPr>
              <w:snapToGrid w:val="0"/>
              <w:jc w:val="center"/>
              <w:rPr>
                <w:szCs w:val="24"/>
              </w:rPr>
            </w:pPr>
            <w:r>
              <w:rPr>
                <w:szCs w:val="24"/>
              </w:rPr>
              <w:t>6</w:t>
            </w:r>
          </w:p>
        </w:tc>
        <w:tc>
          <w:tcPr>
            <w:tcW w:w="7855" w:type="dxa"/>
            <w:shd w:val="clear" w:color="auto" w:fill="auto"/>
            <w:vAlign w:val="bottom"/>
          </w:tcPr>
          <w:p w:rsidR="007E60D0" w:rsidRDefault="007E60D0">
            <w:pPr>
              <w:snapToGrid w:val="0"/>
              <w:rPr>
                <w:szCs w:val="24"/>
              </w:rPr>
            </w:pPr>
            <w:r>
              <w:rPr>
                <w:szCs w:val="24"/>
              </w:rPr>
              <w:t>Balance Financiero - Años 2009 y 2010</w:t>
            </w:r>
          </w:p>
        </w:tc>
        <w:tc>
          <w:tcPr>
            <w:tcW w:w="800" w:type="dxa"/>
            <w:shd w:val="clear" w:color="auto" w:fill="auto"/>
            <w:vAlign w:val="bottom"/>
          </w:tcPr>
          <w:p w:rsidR="007E60D0" w:rsidRDefault="007E60D0">
            <w:pPr>
              <w:snapToGrid w:val="0"/>
              <w:jc w:val="center"/>
              <w:rPr>
                <w:szCs w:val="24"/>
              </w:rPr>
            </w:pPr>
            <w:r>
              <w:rPr>
                <w:szCs w:val="24"/>
              </w:rPr>
              <w:t>33</w:t>
            </w:r>
          </w:p>
        </w:tc>
      </w:tr>
      <w:tr w:rsidR="007E60D0">
        <w:trPr>
          <w:trHeight w:val="405"/>
        </w:trPr>
        <w:tc>
          <w:tcPr>
            <w:tcW w:w="780" w:type="dxa"/>
            <w:shd w:val="clear" w:color="auto" w:fill="auto"/>
            <w:vAlign w:val="bottom"/>
          </w:tcPr>
          <w:p w:rsidR="007E60D0" w:rsidRDefault="007E60D0">
            <w:pPr>
              <w:snapToGrid w:val="0"/>
              <w:jc w:val="center"/>
              <w:rPr>
                <w:szCs w:val="24"/>
              </w:rPr>
            </w:pPr>
            <w:r>
              <w:rPr>
                <w:szCs w:val="24"/>
              </w:rPr>
              <w:t>7</w:t>
            </w:r>
          </w:p>
        </w:tc>
        <w:tc>
          <w:tcPr>
            <w:tcW w:w="7855" w:type="dxa"/>
            <w:shd w:val="clear" w:color="auto" w:fill="auto"/>
            <w:vAlign w:val="bottom"/>
          </w:tcPr>
          <w:p w:rsidR="007E60D0" w:rsidRDefault="007E60D0">
            <w:pPr>
              <w:snapToGrid w:val="0"/>
              <w:rPr>
                <w:szCs w:val="24"/>
              </w:rPr>
            </w:pPr>
            <w:r>
              <w:rPr>
                <w:szCs w:val="24"/>
              </w:rPr>
              <w:t>Comparativo Indicadores Ley 617 de 2000</w:t>
            </w:r>
          </w:p>
        </w:tc>
        <w:tc>
          <w:tcPr>
            <w:tcW w:w="800" w:type="dxa"/>
            <w:shd w:val="clear" w:color="auto" w:fill="auto"/>
            <w:vAlign w:val="bottom"/>
          </w:tcPr>
          <w:p w:rsidR="007E60D0" w:rsidRDefault="007E60D0">
            <w:pPr>
              <w:snapToGrid w:val="0"/>
              <w:jc w:val="center"/>
              <w:rPr>
                <w:szCs w:val="24"/>
              </w:rPr>
            </w:pPr>
            <w:r>
              <w:rPr>
                <w:szCs w:val="24"/>
              </w:rPr>
              <w:t>34</w:t>
            </w:r>
          </w:p>
        </w:tc>
      </w:tr>
      <w:tr w:rsidR="007E60D0">
        <w:trPr>
          <w:trHeight w:val="405"/>
        </w:trPr>
        <w:tc>
          <w:tcPr>
            <w:tcW w:w="780" w:type="dxa"/>
            <w:shd w:val="clear" w:color="auto" w:fill="auto"/>
            <w:vAlign w:val="bottom"/>
          </w:tcPr>
          <w:p w:rsidR="007E60D0" w:rsidRDefault="007E60D0">
            <w:pPr>
              <w:snapToGrid w:val="0"/>
              <w:jc w:val="center"/>
              <w:rPr>
                <w:szCs w:val="24"/>
              </w:rPr>
            </w:pPr>
            <w:r>
              <w:rPr>
                <w:szCs w:val="24"/>
              </w:rPr>
              <w:t>8</w:t>
            </w:r>
          </w:p>
        </w:tc>
        <w:tc>
          <w:tcPr>
            <w:tcW w:w="7855" w:type="dxa"/>
            <w:shd w:val="clear" w:color="auto" w:fill="auto"/>
            <w:vAlign w:val="bottom"/>
          </w:tcPr>
          <w:p w:rsidR="007E60D0" w:rsidRDefault="007E60D0">
            <w:pPr>
              <w:snapToGrid w:val="0"/>
              <w:rPr>
                <w:szCs w:val="24"/>
              </w:rPr>
            </w:pPr>
            <w:r>
              <w:rPr>
                <w:szCs w:val="24"/>
              </w:rPr>
              <w:t xml:space="preserve"> Deuda Pública Actual (composición del capital e intereses)</w:t>
            </w:r>
          </w:p>
        </w:tc>
        <w:tc>
          <w:tcPr>
            <w:tcW w:w="800" w:type="dxa"/>
            <w:shd w:val="clear" w:color="auto" w:fill="auto"/>
            <w:vAlign w:val="bottom"/>
          </w:tcPr>
          <w:p w:rsidR="007E60D0" w:rsidRDefault="007E60D0">
            <w:pPr>
              <w:snapToGrid w:val="0"/>
              <w:jc w:val="center"/>
              <w:rPr>
                <w:szCs w:val="24"/>
              </w:rPr>
            </w:pPr>
            <w:r>
              <w:rPr>
                <w:szCs w:val="24"/>
              </w:rPr>
              <w:t>35</w:t>
            </w:r>
          </w:p>
        </w:tc>
      </w:tr>
      <w:tr w:rsidR="007E60D0">
        <w:trPr>
          <w:trHeight w:val="405"/>
        </w:trPr>
        <w:tc>
          <w:tcPr>
            <w:tcW w:w="780" w:type="dxa"/>
            <w:shd w:val="clear" w:color="auto" w:fill="auto"/>
            <w:vAlign w:val="bottom"/>
          </w:tcPr>
          <w:p w:rsidR="007E60D0" w:rsidRDefault="007E60D0">
            <w:pPr>
              <w:snapToGrid w:val="0"/>
              <w:jc w:val="center"/>
              <w:rPr>
                <w:szCs w:val="24"/>
              </w:rPr>
            </w:pPr>
            <w:r>
              <w:rPr>
                <w:szCs w:val="24"/>
              </w:rPr>
              <w:t>9</w:t>
            </w:r>
          </w:p>
        </w:tc>
        <w:tc>
          <w:tcPr>
            <w:tcW w:w="7855" w:type="dxa"/>
            <w:shd w:val="clear" w:color="auto" w:fill="auto"/>
            <w:vAlign w:val="bottom"/>
          </w:tcPr>
          <w:p w:rsidR="007E60D0" w:rsidRDefault="007E60D0">
            <w:pPr>
              <w:snapToGrid w:val="0"/>
              <w:rPr>
                <w:szCs w:val="24"/>
              </w:rPr>
            </w:pPr>
            <w:r>
              <w:rPr>
                <w:szCs w:val="24"/>
              </w:rPr>
              <w:t>Matriz DOFA</w:t>
            </w:r>
          </w:p>
        </w:tc>
        <w:tc>
          <w:tcPr>
            <w:tcW w:w="800" w:type="dxa"/>
            <w:shd w:val="clear" w:color="auto" w:fill="auto"/>
            <w:vAlign w:val="bottom"/>
          </w:tcPr>
          <w:p w:rsidR="007E60D0" w:rsidRDefault="007E60D0">
            <w:pPr>
              <w:snapToGrid w:val="0"/>
              <w:jc w:val="center"/>
              <w:rPr>
                <w:szCs w:val="24"/>
              </w:rPr>
            </w:pPr>
            <w:r>
              <w:rPr>
                <w:szCs w:val="24"/>
              </w:rPr>
              <w:t>36</w:t>
            </w:r>
          </w:p>
        </w:tc>
      </w:tr>
      <w:tr w:rsidR="007E60D0">
        <w:trPr>
          <w:trHeight w:val="405"/>
        </w:trPr>
        <w:tc>
          <w:tcPr>
            <w:tcW w:w="780" w:type="dxa"/>
            <w:shd w:val="clear" w:color="auto" w:fill="auto"/>
            <w:vAlign w:val="bottom"/>
          </w:tcPr>
          <w:p w:rsidR="007E60D0" w:rsidRDefault="007E60D0">
            <w:pPr>
              <w:snapToGrid w:val="0"/>
              <w:jc w:val="center"/>
              <w:rPr>
                <w:szCs w:val="24"/>
              </w:rPr>
            </w:pPr>
            <w:r>
              <w:rPr>
                <w:szCs w:val="24"/>
              </w:rPr>
              <w:t>10</w:t>
            </w:r>
          </w:p>
        </w:tc>
        <w:tc>
          <w:tcPr>
            <w:tcW w:w="7855" w:type="dxa"/>
            <w:shd w:val="clear" w:color="auto" w:fill="auto"/>
            <w:vAlign w:val="bottom"/>
          </w:tcPr>
          <w:p w:rsidR="007E60D0" w:rsidRDefault="007E60D0">
            <w:pPr>
              <w:snapToGrid w:val="0"/>
              <w:rPr>
                <w:szCs w:val="24"/>
              </w:rPr>
            </w:pPr>
            <w:r>
              <w:rPr>
                <w:szCs w:val="24"/>
              </w:rPr>
              <w:t>Estrategias matriz DOFA</w:t>
            </w:r>
          </w:p>
        </w:tc>
        <w:tc>
          <w:tcPr>
            <w:tcW w:w="800" w:type="dxa"/>
            <w:shd w:val="clear" w:color="auto" w:fill="auto"/>
            <w:vAlign w:val="bottom"/>
          </w:tcPr>
          <w:p w:rsidR="007E60D0" w:rsidRDefault="007E60D0">
            <w:pPr>
              <w:snapToGrid w:val="0"/>
              <w:jc w:val="center"/>
              <w:rPr>
                <w:rFonts w:eastAsia="Arial Unicode MS"/>
                <w:szCs w:val="24"/>
              </w:rPr>
            </w:pPr>
            <w:r>
              <w:rPr>
                <w:rFonts w:eastAsia="Arial Unicode MS"/>
                <w:szCs w:val="24"/>
              </w:rPr>
              <w:t>38</w:t>
            </w:r>
          </w:p>
        </w:tc>
      </w:tr>
      <w:tr w:rsidR="007E60D0">
        <w:trPr>
          <w:trHeight w:val="405"/>
        </w:trPr>
        <w:tc>
          <w:tcPr>
            <w:tcW w:w="780" w:type="dxa"/>
            <w:shd w:val="clear" w:color="auto" w:fill="auto"/>
            <w:vAlign w:val="bottom"/>
          </w:tcPr>
          <w:p w:rsidR="007E60D0" w:rsidRDefault="007E60D0">
            <w:pPr>
              <w:snapToGrid w:val="0"/>
              <w:jc w:val="center"/>
              <w:rPr>
                <w:szCs w:val="24"/>
              </w:rPr>
            </w:pPr>
            <w:r>
              <w:rPr>
                <w:szCs w:val="24"/>
              </w:rPr>
              <w:t>11</w:t>
            </w:r>
          </w:p>
        </w:tc>
        <w:tc>
          <w:tcPr>
            <w:tcW w:w="7855" w:type="dxa"/>
            <w:shd w:val="clear" w:color="auto" w:fill="auto"/>
            <w:vAlign w:val="bottom"/>
          </w:tcPr>
          <w:p w:rsidR="007E60D0" w:rsidRDefault="007E60D0">
            <w:pPr>
              <w:snapToGrid w:val="0"/>
              <w:rPr>
                <w:szCs w:val="24"/>
              </w:rPr>
            </w:pPr>
            <w:r>
              <w:rPr>
                <w:szCs w:val="24"/>
              </w:rPr>
              <w:t>Proyección Plan Financiero de Ingresos y Gastos, financiamiento 2011-2021</w:t>
            </w:r>
          </w:p>
        </w:tc>
        <w:tc>
          <w:tcPr>
            <w:tcW w:w="800" w:type="dxa"/>
            <w:shd w:val="clear" w:color="auto" w:fill="auto"/>
            <w:vAlign w:val="bottom"/>
          </w:tcPr>
          <w:p w:rsidR="007E60D0" w:rsidRDefault="007E60D0">
            <w:pPr>
              <w:snapToGrid w:val="0"/>
              <w:jc w:val="center"/>
              <w:rPr>
                <w:szCs w:val="24"/>
              </w:rPr>
            </w:pPr>
            <w:r>
              <w:rPr>
                <w:szCs w:val="24"/>
              </w:rPr>
              <w:t>39</w:t>
            </w:r>
          </w:p>
        </w:tc>
      </w:tr>
      <w:tr w:rsidR="007E60D0">
        <w:trPr>
          <w:trHeight w:val="405"/>
        </w:trPr>
        <w:tc>
          <w:tcPr>
            <w:tcW w:w="780" w:type="dxa"/>
            <w:shd w:val="clear" w:color="auto" w:fill="auto"/>
            <w:vAlign w:val="bottom"/>
          </w:tcPr>
          <w:p w:rsidR="007E60D0" w:rsidRDefault="007E60D0">
            <w:pPr>
              <w:snapToGrid w:val="0"/>
              <w:jc w:val="center"/>
              <w:rPr>
                <w:szCs w:val="24"/>
              </w:rPr>
            </w:pPr>
            <w:r>
              <w:rPr>
                <w:szCs w:val="24"/>
              </w:rPr>
              <w:t>12</w:t>
            </w:r>
          </w:p>
        </w:tc>
        <w:tc>
          <w:tcPr>
            <w:tcW w:w="7855" w:type="dxa"/>
            <w:shd w:val="clear" w:color="auto" w:fill="auto"/>
            <w:vAlign w:val="bottom"/>
          </w:tcPr>
          <w:p w:rsidR="007E60D0" w:rsidRDefault="007E60D0">
            <w:pPr>
              <w:snapToGrid w:val="0"/>
              <w:rPr>
                <w:szCs w:val="24"/>
              </w:rPr>
            </w:pPr>
            <w:r>
              <w:rPr>
                <w:szCs w:val="24"/>
              </w:rPr>
              <w:t>Programa de ejecución de acciones y medidas específicas para el cumplimiento</w:t>
            </w:r>
          </w:p>
        </w:tc>
        <w:tc>
          <w:tcPr>
            <w:tcW w:w="800" w:type="dxa"/>
            <w:shd w:val="clear" w:color="auto" w:fill="auto"/>
            <w:vAlign w:val="bottom"/>
          </w:tcPr>
          <w:p w:rsidR="007E60D0" w:rsidRDefault="007E60D0">
            <w:pPr>
              <w:snapToGrid w:val="0"/>
              <w:jc w:val="center"/>
              <w:rPr>
                <w:rFonts w:eastAsia="Arial Unicode MS"/>
                <w:szCs w:val="24"/>
              </w:rPr>
            </w:pPr>
          </w:p>
        </w:tc>
      </w:tr>
      <w:tr w:rsidR="007E60D0">
        <w:trPr>
          <w:trHeight w:val="405"/>
        </w:trPr>
        <w:tc>
          <w:tcPr>
            <w:tcW w:w="780" w:type="dxa"/>
            <w:shd w:val="clear" w:color="auto" w:fill="auto"/>
            <w:vAlign w:val="bottom"/>
          </w:tcPr>
          <w:p w:rsidR="007E60D0" w:rsidRDefault="007E60D0">
            <w:pPr>
              <w:snapToGrid w:val="0"/>
              <w:jc w:val="center"/>
              <w:rPr>
                <w:rFonts w:eastAsia="Arial Unicode MS"/>
                <w:szCs w:val="24"/>
              </w:rPr>
            </w:pPr>
          </w:p>
        </w:tc>
        <w:tc>
          <w:tcPr>
            <w:tcW w:w="7855" w:type="dxa"/>
            <w:shd w:val="clear" w:color="auto" w:fill="auto"/>
            <w:vAlign w:val="bottom"/>
          </w:tcPr>
          <w:p w:rsidR="007E60D0" w:rsidRDefault="007E60D0">
            <w:pPr>
              <w:snapToGrid w:val="0"/>
              <w:rPr>
                <w:szCs w:val="24"/>
              </w:rPr>
            </w:pPr>
            <w:r>
              <w:rPr>
                <w:szCs w:val="24"/>
              </w:rPr>
              <w:t>de las metas.</w:t>
            </w:r>
          </w:p>
        </w:tc>
        <w:tc>
          <w:tcPr>
            <w:tcW w:w="800" w:type="dxa"/>
            <w:shd w:val="clear" w:color="auto" w:fill="auto"/>
            <w:vAlign w:val="bottom"/>
          </w:tcPr>
          <w:p w:rsidR="007E60D0" w:rsidRDefault="007E60D0">
            <w:pPr>
              <w:snapToGrid w:val="0"/>
              <w:jc w:val="center"/>
              <w:rPr>
                <w:szCs w:val="24"/>
              </w:rPr>
            </w:pPr>
            <w:r>
              <w:rPr>
                <w:szCs w:val="24"/>
              </w:rPr>
              <w:t>43</w:t>
            </w:r>
          </w:p>
        </w:tc>
      </w:tr>
      <w:tr w:rsidR="007E60D0">
        <w:trPr>
          <w:trHeight w:val="405"/>
        </w:trPr>
        <w:tc>
          <w:tcPr>
            <w:tcW w:w="780" w:type="dxa"/>
            <w:shd w:val="clear" w:color="auto" w:fill="auto"/>
            <w:vAlign w:val="bottom"/>
          </w:tcPr>
          <w:p w:rsidR="007E60D0" w:rsidRDefault="007E60D0">
            <w:pPr>
              <w:snapToGrid w:val="0"/>
              <w:jc w:val="center"/>
              <w:rPr>
                <w:szCs w:val="24"/>
              </w:rPr>
            </w:pPr>
            <w:r>
              <w:rPr>
                <w:szCs w:val="24"/>
              </w:rPr>
              <w:t>13</w:t>
            </w:r>
          </w:p>
        </w:tc>
        <w:tc>
          <w:tcPr>
            <w:tcW w:w="7855" w:type="dxa"/>
            <w:shd w:val="clear" w:color="auto" w:fill="auto"/>
            <w:vAlign w:val="bottom"/>
          </w:tcPr>
          <w:p w:rsidR="007E60D0" w:rsidRDefault="007E60D0">
            <w:pPr>
              <w:snapToGrid w:val="0"/>
              <w:rPr>
                <w:szCs w:val="24"/>
              </w:rPr>
            </w:pPr>
            <w:r>
              <w:rPr>
                <w:szCs w:val="24"/>
              </w:rPr>
              <w:t>Relación de acuerdos sancionados en la vigencia 2009-2010</w:t>
            </w:r>
          </w:p>
        </w:tc>
        <w:tc>
          <w:tcPr>
            <w:tcW w:w="800" w:type="dxa"/>
            <w:shd w:val="clear" w:color="auto" w:fill="auto"/>
            <w:vAlign w:val="bottom"/>
          </w:tcPr>
          <w:p w:rsidR="007E60D0" w:rsidRDefault="007E60D0">
            <w:pPr>
              <w:snapToGrid w:val="0"/>
              <w:jc w:val="center"/>
              <w:rPr>
                <w:szCs w:val="24"/>
              </w:rPr>
            </w:pPr>
            <w:r>
              <w:rPr>
                <w:szCs w:val="24"/>
              </w:rPr>
              <w:t>44</w:t>
            </w:r>
          </w:p>
        </w:tc>
      </w:tr>
      <w:tr w:rsidR="007E60D0">
        <w:trPr>
          <w:trHeight w:val="405"/>
        </w:trPr>
        <w:tc>
          <w:tcPr>
            <w:tcW w:w="780" w:type="dxa"/>
            <w:shd w:val="clear" w:color="auto" w:fill="auto"/>
            <w:vAlign w:val="bottom"/>
          </w:tcPr>
          <w:p w:rsidR="007E60D0" w:rsidRDefault="007E60D0">
            <w:pPr>
              <w:snapToGrid w:val="0"/>
              <w:jc w:val="center"/>
              <w:rPr>
                <w:szCs w:val="24"/>
              </w:rPr>
            </w:pPr>
            <w:r>
              <w:rPr>
                <w:szCs w:val="24"/>
              </w:rPr>
              <w:t>14</w:t>
            </w:r>
          </w:p>
        </w:tc>
        <w:tc>
          <w:tcPr>
            <w:tcW w:w="7855" w:type="dxa"/>
            <w:shd w:val="clear" w:color="auto" w:fill="auto"/>
            <w:vAlign w:val="bottom"/>
          </w:tcPr>
          <w:p w:rsidR="007E60D0" w:rsidRDefault="007E60D0">
            <w:pPr>
              <w:snapToGrid w:val="0"/>
              <w:rPr>
                <w:szCs w:val="24"/>
              </w:rPr>
            </w:pPr>
            <w:r>
              <w:rPr>
                <w:szCs w:val="24"/>
              </w:rPr>
              <w:t>Incentivos Tributarios</w:t>
            </w:r>
          </w:p>
        </w:tc>
        <w:tc>
          <w:tcPr>
            <w:tcW w:w="800" w:type="dxa"/>
            <w:shd w:val="clear" w:color="auto" w:fill="auto"/>
            <w:vAlign w:val="bottom"/>
          </w:tcPr>
          <w:p w:rsidR="007E60D0" w:rsidRDefault="007E60D0">
            <w:pPr>
              <w:snapToGrid w:val="0"/>
              <w:jc w:val="center"/>
              <w:rPr>
                <w:rFonts w:eastAsia="Arial Unicode MS"/>
                <w:szCs w:val="24"/>
              </w:rPr>
            </w:pPr>
            <w:r>
              <w:rPr>
                <w:rFonts w:eastAsia="Arial Unicode MS"/>
                <w:szCs w:val="24"/>
              </w:rPr>
              <w:t>44</w:t>
            </w:r>
          </w:p>
        </w:tc>
      </w:tr>
      <w:tr w:rsidR="007E60D0">
        <w:trPr>
          <w:trHeight w:val="345"/>
        </w:trPr>
        <w:tc>
          <w:tcPr>
            <w:tcW w:w="780" w:type="dxa"/>
            <w:shd w:val="clear" w:color="auto" w:fill="auto"/>
            <w:vAlign w:val="bottom"/>
          </w:tcPr>
          <w:p w:rsidR="007E60D0" w:rsidRDefault="007E60D0">
            <w:pPr>
              <w:snapToGrid w:val="0"/>
              <w:jc w:val="center"/>
              <w:rPr>
                <w:szCs w:val="24"/>
              </w:rPr>
            </w:pPr>
            <w:r>
              <w:rPr>
                <w:szCs w:val="24"/>
              </w:rPr>
              <w:t>15</w:t>
            </w:r>
          </w:p>
        </w:tc>
        <w:tc>
          <w:tcPr>
            <w:tcW w:w="7855" w:type="dxa"/>
            <w:shd w:val="clear" w:color="auto" w:fill="auto"/>
            <w:vAlign w:val="bottom"/>
          </w:tcPr>
          <w:p w:rsidR="007E60D0" w:rsidRDefault="007E60D0">
            <w:pPr>
              <w:snapToGrid w:val="0"/>
              <w:rPr>
                <w:szCs w:val="24"/>
              </w:rPr>
            </w:pPr>
            <w:r>
              <w:rPr>
                <w:szCs w:val="24"/>
              </w:rPr>
              <w:t>Resumen de la proyección de pagos contingentes</w:t>
            </w:r>
          </w:p>
        </w:tc>
        <w:tc>
          <w:tcPr>
            <w:tcW w:w="800" w:type="dxa"/>
            <w:shd w:val="clear" w:color="auto" w:fill="auto"/>
            <w:vAlign w:val="bottom"/>
          </w:tcPr>
          <w:p w:rsidR="007E60D0" w:rsidRDefault="007E60D0">
            <w:pPr>
              <w:snapToGrid w:val="0"/>
              <w:jc w:val="center"/>
              <w:rPr>
                <w:szCs w:val="24"/>
              </w:rPr>
            </w:pPr>
            <w:r>
              <w:rPr>
                <w:szCs w:val="24"/>
              </w:rPr>
              <w:t>54</w:t>
            </w:r>
          </w:p>
        </w:tc>
      </w:tr>
      <w:tr w:rsidR="007E60D0">
        <w:trPr>
          <w:trHeight w:val="345"/>
        </w:trPr>
        <w:tc>
          <w:tcPr>
            <w:tcW w:w="780" w:type="dxa"/>
            <w:shd w:val="clear" w:color="auto" w:fill="auto"/>
            <w:vAlign w:val="bottom"/>
          </w:tcPr>
          <w:p w:rsidR="007E60D0" w:rsidRDefault="007E60D0">
            <w:pPr>
              <w:snapToGrid w:val="0"/>
              <w:jc w:val="center"/>
              <w:rPr>
                <w:szCs w:val="24"/>
              </w:rPr>
            </w:pPr>
            <w:r>
              <w:rPr>
                <w:szCs w:val="24"/>
              </w:rPr>
              <w:t>16</w:t>
            </w:r>
          </w:p>
        </w:tc>
        <w:tc>
          <w:tcPr>
            <w:tcW w:w="7855" w:type="dxa"/>
            <w:shd w:val="clear" w:color="auto" w:fill="auto"/>
            <w:vAlign w:val="bottom"/>
          </w:tcPr>
          <w:p w:rsidR="007E60D0" w:rsidRDefault="007E60D0">
            <w:pPr>
              <w:snapToGrid w:val="0"/>
              <w:rPr>
                <w:szCs w:val="24"/>
              </w:rPr>
            </w:pPr>
            <w:r>
              <w:rPr>
                <w:szCs w:val="24"/>
              </w:rPr>
              <w:t>Superávit o Déficit Presupuestal</w:t>
            </w:r>
          </w:p>
        </w:tc>
        <w:tc>
          <w:tcPr>
            <w:tcW w:w="800" w:type="dxa"/>
            <w:shd w:val="clear" w:color="auto" w:fill="auto"/>
            <w:vAlign w:val="bottom"/>
          </w:tcPr>
          <w:p w:rsidR="007E60D0" w:rsidRDefault="007E60D0">
            <w:pPr>
              <w:snapToGrid w:val="0"/>
              <w:jc w:val="center"/>
              <w:rPr>
                <w:szCs w:val="24"/>
              </w:rPr>
            </w:pPr>
            <w:r>
              <w:rPr>
                <w:szCs w:val="24"/>
              </w:rPr>
              <w:t>55</w:t>
            </w:r>
          </w:p>
        </w:tc>
      </w:tr>
      <w:tr w:rsidR="007E60D0">
        <w:trPr>
          <w:trHeight w:val="345"/>
        </w:trPr>
        <w:tc>
          <w:tcPr>
            <w:tcW w:w="780" w:type="dxa"/>
            <w:shd w:val="clear" w:color="auto" w:fill="auto"/>
            <w:vAlign w:val="bottom"/>
          </w:tcPr>
          <w:p w:rsidR="007E60D0" w:rsidRDefault="007E60D0">
            <w:pPr>
              <w:snapToGrid w:val="0"/>
              <w:jc w:val="center"/>
              <w:rPr>
                <w:szCs w:val="24"/>
              </w:rPr>
            </w:pPr>
            <w:r>
              <w:rPr>
                <w:szCs w:val="24"/>
              </w:rPr>
              <w:t>17</w:t>
            </w:r>
          </w:p>
        </w:tc>
        <w:tc>
          <w:tcPr>
            <w:tcW w:w="7855" w:type="dxa"/>
            <w:shd w:val="clear" w:color="auto" w:fill="auto"/>
            <w:vAlign w:val="bottom"/>
          </w:tcPr>
          <w:p w:rsidR="007E60D0" w:rsidRDefault="007E60D0">
            <w:pPr>
              <w:snapToGrid w:val="0"/>
              <w:rPr>
                <w:szCs w:val="24"/>
              </w:rPr>
            </w:pPr>
            <w:r>
              <w:rPr>
                <w:szCs w:val="24"/>
              </w:rPr>
              <w:t>Indicadores de la Ley 617 de 2000</w:t>
            </w:r>
          </w:p>
        </w:tc>
        <w:tc>
          <w:tcPr>
            <w:tcW w:w="800" w:type="dxa"/>
            <w:shd w:val="clear" w:color="auto" w:fill="auto"/>
            <w:vAlign w:val="bottom"/>
          </w:tcPr>
          <w:p w:rsidR="007E60D0" w:rsidRDefault="007E60D0">
            <w:pPr>
              <w:snapToGrid w:val="0"/>
              <w:jc w:val="center"/>
              <w:rPr>
                <w:szCs w:val="24"/>
              </w:rPr>
            </w:pPr>
            <w:r>
              <w:rPr>
                <w:szCs w:val="24"/>
              </w:rPr>
              <w:t>56</w:t>
            </w:r>
          </w:p>
        </w:tc>
      </w:tr>
    </w:tbl>
    <w:p w:rsidR="007E60D0" w:rsidRDefault="007E60D0">
      <w:pPr>
        <w:jc w:val="center"/>
        <w:rPr>
          <w:b/>
          <w:szCs w:val="24"/>
          <w:lang w:val="es-ES_tradnl"/>
        </w:rPr>
      </w:pPr>
    </w:p>
    <w:p w:rsidR="007E60D0" w:rsidRDefault="007E60D0">
      <w:pPr>
        <w:jc w:val="center"/>
        <w:rPr>
          <w:b/>
          <w:szCs w:val="24"/>
          <w:lang w:val="es-ES_tradnl"/>
        </w:rPr>
      </w:pPr>
    </w:p>
    <w:p w:rsidR="007E60D0" w:rsidRDefault="007E60D0">
      <w:pPr>
        <w:jc w:val="center"/>
        <w:rPr>
          <w:b/>
          <w:szCs w:val="24"/>
          <w:lang w:val="es-ES_tradnl"/>
        </w:rPr>
      </w:pPr>
    </w:p>
    <w:p w:rsidR="007E60D0" w:rsidRDefault="007E60D0">
      <w:pPr>
        <w:jc w:val="center"/>
        <w:rPr>
          <w:b/>
          <w:szCs w:val="24"/>
          <w:lang w:val="es-ES_tradnl"/>
        </w:rPr>
      </w:pPr>
    </w:p>
    <w:p w:rsidR="007E60D0" w:rsidRDefault="007E60D0">
      <w:pPr>
        <w:jc w:val="center"/>
        <w:rPr>
          <w:b/>
          <w:szCs w:val="24"/>
          <w:lang w:val="es-ES_tradnl"/>
        </w:rPr>
      </w:pPr>
    </w:p>
    <w:p w:rsidR="007E60D0" w:rsidRDefault="007E60D0">
      <w:pPr>
        <w:jc w:val="center"/>
        <w:rPr>
          <w:b/>
          <w:szCs w:val="24"/>
          <w:lang w:val="es-ES_tradnl"/>
        </w:rPr>
      </w:pPr>
    </w:p>
    <w:p w:rsidR="007E60D0" w:rsidRDefault="007E60D0">
      <w:pPr>
        <w:jc w:val="center"/>
        <w:rPr>
          <w:b/>
          <w:szCs w:val="24"/>
          <w:lang w:val="es-ES_tradnl"/>
        </w:rPr>
      </w:pPr>
    </w:p>
    <w:p w:rsidR="007E60D0" w:rsidRDefault="007E60D0">
      <w:pPr>
        <w:jc w:val="center"/>
        <w:rPr>
          <w:b/>
          <w:szCs w:val="24"/>
          <w:lang w:val="es-ES_tradnl"/>
        </w:rPr>
      </w:pPr>
    </w:p>
    <w:p w:rsidR="007E60D0" w:rsidRDefault="007E60D0">
      <w:pPr>
        <w:jc w:val="center"/>
        <w:rPr>
          <w:b/>
          <w:szCs w:val="24"/>
          <w:lang w:val="es-ES_tradnl"/>
        </w:rPr>
      </w:pPr>
    </w:p>
    <w:p w:rsidR="007E60D0" w:rsidRDefault="007E60D0">
      <w:pPr>
        <w:jc w:val="center"/>
        <w:rPr>
          <w:b/>
          <w:szCs w:val="24"/>
          <w:lang w:val="es-ES_tradnl"/>
        </w:rPr>
      </w:pPr>
    </w:p>
    <w:p w:rsidR="007E60D0" w:rsidRDefault="007E60D0">
      <w:pPr>
        <w:jc w:val="center"/>
        <w:rPr>
          <w:b/>
          <w:szCs w:val="24"/>
          <w:lang w:val="es-ES_tradnl"/>
        </w:rPr>
      </w:pPr>
    </w:p>
    <w:p w:rsidR="007E60D0" w:rsidRDefault="007E60D0">
      <w:pPr>
        <w:jc w:val="center"/>
        <w:rPr>
          <w:b/>
          <w:szCs w:val="24"/>
          <w:lang w:val="es-ES_tradnl"/>
        </w:rPr>
      </w:pPr>
    </w:p>
    <w:p w:rsidR="007E60D0" w:rsidRDefault="007E60D0">
      <w:pPr>
        <w:jc w:val="center"/>
        <w:rPr>
          <w:b/>
          <w:szCs w:val="24"/>
          <w:lang w:val="es-ES_tradnl"/>
        </w:rPr>
      </w:pPr>
    </w:p>
    <w:p w:rsidR="007E60D0" w:rsidRDefault="007E60D0">
      <w:pPr>
        <w:jc w:val="center"/>
        <w:rPr>
          <w:b/>
          <w:szCs w:val="24"/>
          <w:lang w:val="es-ES_tradnl"/>
        </w:rPr>
      </w:pPr>
    </w:p>
    <w:p w:rsidR="007E60D0" w:rsidRDefault="007E60D0">
      <w:pPr>
        <w:jc w:val="center"/>
        <w:rPr>
          <w:b/>
          <w:szCs w:val="24"/>
          <w:lang w:val="es-ES_tradnl"/>
        </w:rPr>
      </w:pPr>
    </w:p>
    <w:p w:rsidR="007E60D0" w:rsidRDefault="007E60D0">
      <w:pPr>
        <w:jc w:val="center"/>
        <w:rPr>
          <w:b/>
          <w:sz w:val="28"/>
          <w:szCs w:val="28"/>
          <w:lang w:val="es-ES_tradnl"/>
        </w:rPr>
      </w:pPr>
      <w:r>
        <w:rPr>
          <w:b/>
          <w:sz w:val="28"/>
          <w:szCs w:val="28"/>
          <w:lang w:val="es-ES_tradnl"/>
        </w:rPr>
        <w:lastRenderedPageBreak/>
        <w:t>INTRODUCCIÓN</w:t>
      </w:r>
    </w:p>
    <w:p w:rsidR="007E60D0" w:rsidRDefault="007E60D0">
      <w:pPr>
        <w:rPr>
          <w:b/>
          <w:szCs w:val="24"/>
          <w:lang w:val="es-ES_tradnl"/>
        </w:rPr>
      </w:pPr>
    </w:p>
    <w:p w:rsidR="007E60D0" w:rsidRDefault="007E60D0">
      <w:pPr>
        <w:jc w:val="both"/>
        <w:rPr>
          <w:szCs w:val="24"/>
        </w:rPr>
      </w:pPr>
      <w:r>
        <w:rPr>
          <w:szCs w:val="24"/>
        </w:rPr>
        <w:t>A la expedición de la Ley 819 de 2003 de responsabilidad fiscal, que fortaleció el marco normativo de la disciplina fiscal compuesto además por las Leyes 358 de 1997, 549 de 1999, 550 de 1999 y 617 de 2000, se han sumado nuevas normativas y reglamentaciones que ameritan una actualización de la versión impresa en 2004.</w:t>
      </w:r>
    </w:p>
    <w:p w:rsidR="007E60D0" w:rsidRDefault="007E60D0">
      <w:pPr>
        <w:jc w:val="both"/>
        <w:rPr>
          <w:szCs w:val="24"/>
        </w:rPr>
      </w:pPr>
    </w:p>
    <w:p w:rsidR="007E60D0" w:rsidRDefault="007E60D0">
      <w:pPr>
        <w:jc w:val="both"/>
        <w:rPr>
          <w:szCs w:val="24"/>
        </w:rPr>
      </w:pPr>
      <w:r>
        <w:rPr>
          <w:szCs w:val="24"/>
        </w:rPr>
        <w:t>Entre otras y en orden cronológico, el marco legal dejó vigente para las entidades territoriales la posibilidad de acudir a la figura de la reestructuración de pasivos para recuperar su viabilidad fiscal (Ley 1116 de 2006); reglamentó las Leyes 448 de 1998 y 819 de 2003 sobre pasivos contingentes de operaciones de crédito público (Decreto 3800 de 2005); asignó al sector central de los municipios de categorías 4, 5 y 6 la responsabilidad de financiar las pólizas de vida y de salud para sus concejales y cambió los límites al gasto de los concejos en los municipios de dichas categorías (Ley 1148 de 2007); modificó el límite de gastos para las contralorías departamentales (Ley 1151 de 2007); definió los porcentajes de cobertura de riesgo de tasa de interés y de tasa de cambio para calcular la capacidad de endeudamiento; reglamentó el artículo 19 de la Ley 617 de 2000 sobre la certificación de cumplimiento de límites al gasto y adopción de programas de saneamiento fiscal y financiero (Decreto 4515 de 2007); reformó el Sistema General de Participaciones (Acto Legislativo 04 de 2007, Ley 1176 de 2007 y Decreto 028 de 2008); y reglamentó el artículo 17 de la Ley 819 de 2003 sobre la inversión de los recursos de las entidades estatales y territoriales (Decreto 538 de 2008).</w:t>
      </w:r>
    </w:p>
    <w:p w:rsidR="007E60D0" w:rsidRDefault="007E60D0">
      <w:pPr>
        <w:jc w:val="both"/>
        <w:rPr>
          <w:szCs w:val="24"/>
        </w:rPr>
      </w:pPr>
    </w:p>
    <w:p w:rsidR="007E60D0" w:rsidRDefault="007E60D0">
      <w:pPr>
        <w:jc w:val="both"/>
        <w:rPr>
          <w:szCs w:val="24"/>
        </w:rPr>
      </w:pPr>
      <w:r>
        <w:rPr>
          <w:szCs w:val="24"/>
        </w:rPr>
        <w:t>Todas estas normas buscan que el proceso de descentralización ordenado desde la Constitución Política se consolide, con departamentos y municipios fuertes desde el punto de vista fiscal, de tal manera que la autonomía territorial sea una realidad evidenciada en mejores ingresos, ahorro y capacidad de pago que junto a los recursos transferidos desde la Nación, garanticen la inversión social que soporte el desarrollo de cada región del país.</w:t>
      </w:r>
    </w:p>
    <w:p w:rsidR="007E60D0" w:rsidRDefault="007E60D0">
      <w:pPr>
        <w:jc w:val="both"/>
        <w:rPr>
          <w:szCs w:val="24"/>
        </w:rPr>
      </w:pPr>
    </w:p>
    <w:p w:rsidR="007E60D0" w:rsidRDefault="007E60D0">
      <w:pPr>
        <w:jc w:val="both"/>
        <w:rPr>
          <w:szCs w:val="24"/>
        </w:rPr>
      </w:pPr>
      <w:r>
        <w:rPr>
          <w:szCs w:val="24"/>
        </w:rPr>
        <w:t>Este marco fiscal se sustenta en la siguiente premisa: “Los Programas de Gobierno y los Planes de Desarrollo deben partir de considerar la situación fiscal de la entidad, so pena de profundizar la problemática de ingresos, gastos y acumulación de pasivos que pueda estar enfrentando la entidad”.</w:t>
      </w:r>
    </w:p>
    <w:p w:rsidR="007E60D0" w:rsidRDefault="007E60D0">
      <w:pPr>
        <w:jc w:val="both"/>
        <w:rPr>
          <w:szCs w:val="24"/>
        </w:rPr>
      </w:pPr>
      <w:r>
        <w:rPr>
          <w:szCs w:val="24"/>
        </w:rPr>
        <w:t xml:space="preserve"> </w:t>
      </w:r>
    </w:p>
    <w:p w:rsidR="007E60D0" w:rsidRDefault="007E60D0">
      <w:pPr>
        <w:jc w:val="both"/>
        <w:rPr>
          <w:szCs w:val="24"/>
        </w:rPr>
      </w:pPr>
      <w:r>
        <w:rPr>
          <w:szCs w:val="24"/>
        </w:rPr>
        <w:t>Así, explica de manera didáctica y resumida los elementos básicos para construir un Marco Fiscal de Mediano Plazo teniendo en cuenta los lineamientos de la política de disciplina fiscal que se han materializado en los planes y convenios de desempeño reglados por la Ley 358 de 1997, los acuerdos de reestructuración de pasivos de la Ley 550 de 1999, los programas de saneamiento fiscal y financiero de la Ley 617 de 2000 y en la Ley 819 de 2003.</w:t>
      </w:r>
    </w:p>
    <w:p w:rsidR="007E60D0" w:rsidRDefault="007E60D0">
      <w:pPr>
        <w:jc w:val="both"/>
        <w:rPr>
          <w:szCs w:val="24"/>
          <w:lang w:val="es-ES_tradnl"/>
        </w:rPr>
      </w:pPr>
    </w:p>
    <w:p w:rsidR="007E60D0" w:rsidRDefault="007E60D0">
      <w:pPr>
        <w:jc w:val="both"/>
        <w:rPr>
          <w:szCs w:val="24"/>
          <w:lang w:val="es-ES_tradnl"/>
        </w:rPr>
      </w:pPr>
      <w:r>
        <w:rPr>
          <w:szCs w:val="24"/>
          <w:lang w:val="es-ES_tradnl"/>
        </w:rPr>
        <w:t xml:space="preserve">La Administración Municipal de Palermo – Huila, presenta al Honorable Concejo del Municipio el Marco Fiscal de Mediano Plazo (MFMP), y a la Contraloría Departamental, </w:t>
      </w:r>
      <w:r>
        <w:rPr>
          <w:szCs w:val="24"/>
          <w:lang w:val="es-ES_tradnl"/>
        </w:rPr>
        <w:lastRenderedPageBreak/>
        <w:t>atendiendo las disposiciones legales establecidas en los artículos 2ª y 5ª de la Ley 819 de 2003.</w:t>
      </w:r>
    </w:p>
    <w:p w:rsidR="007E60D0" w:rsidRDefault="007E60D0">
      <w:pPr>
        <w:jc w:val="both"/>
        <w:rPr>
          <w:szCs w:val="24"/>
          <w:lang w:val="es-ES_tradnl"/>
        </w:rPr>
      </w:pPr>
    </w:p>
    <w:p w:rsidR="007E60D0" w:rsidRDefault="007E60D0">
      <w:pPr>
        <w:jc w:val="both"/>
        <w:rPr>
          <w:szCs w:val="24"/>
        </w:rPr>
      </w:pPr>
      <w:r>
        <w:rPr>
          <w:szCs w:val="24"/>
        </w:rPr>
        <w:t>El presente documento recoge y sintetiza los factores integrantes del MFMP en siete capítulos de conformidad con lo establecido en la Ley 819 de 2003, como instrumento  de referencia de planificación financiera con una perspectiva de 10 años, para la acertada planificación y toma de decisiones a nivel financiero.</w:t>
      </w:r>
    </w:p>
    <w:p w:rsidR="007E60D0" w:rsidRDefault="007E60D0">
      <w:pPr>
        <w:jc w:val="both"/>
        <w:rPr>
          <w:b/>
          <w:szCs w:val="24"/>
        </w:rPr>
      </w:pPr>
    </w:p>
    <w:p w:rsidR="007E60D0" w:rsidRDefault="007E60D0">
      <w:pPr>
        <w:jc w:val="both"/>
        <w:rPr>
          <w:szCs w:val="24"/>
        </w:rPr>
      </w:pPr>
      <w:r>
        <w:rPr>
          <w:szCs w:val="24"/>
        </w:rPr>
        <w:t>Este MFMP es la línea de base del análisis de la estructura financiera de la Administración Municipal, el cual conforme a la ley, debe ser revisado anualmente en la ejecución de sus metas, para determinar los ajustes y medidas necesarias para corregir los posibles incumplimientos y en sus proyecciones futuras realizando las previsiones de cualquier situación endógena y exógena que pueda afectar directamente la situación y el desempeño financiero del municipio de Palermo.</w:t>
      </w:r>
    </w:p>
    <w:p w:rsidR="007E60D0" w:rsidRDefault="007E60D0">
      <w:pPr>
        <w:jc w:val="both"/>
        <w:rPr>
          <w:szCs w:val="24"/>
        </w:rPr>
      </w:pPr>
    </w:p>
    <w:p w:rsidR="007E60D0" w:rsidRDefault="007E60D0">
      <w:pPr>
        <w:jc w:val="both"/>
        <w:rPr>
          <w:szCs w:val="24"/>
        </w:rPr>
      </w:pPr>
      <w:r>
        <w:rPr>
          <w:szCs w:val="24"/>
        </w:rPr>
        <w:t>En términos generales, el municipio se encuentra clasificado en sexta categoría conforme a los criterios de Ingresos Corrientes de Libre Destinación (ICLD) y población, señalados en la Ley 617 de 2000 y en consecuencia debe presentar en cada vigencia desde el año 2005 los ajustes al MFMP, el cual se mostrará al Concejo Municipal a título informativo y conforme a los contenidos señalados por la ley en el MFMP.</w:t>
      </w:r>
    </w:p>
    <w:p w:rsidR="007E60D0" w:rsidRDefault="007E60D0">
      <w:pPr>
        <w:jc w:val="both"/>
        <w:rPr>
          <w:szCs w:val="24"/>
        </w:rPr>
      </w:pPr>
    </w:p>
    <w:p w:rsidR="007E60D0" w:rsidRDefault="007E60D0">
      <w:pPr>
        <w:jc w:val="both"/>
        <w:rPr>
          <w:szCs w:val="24"/>
        </w:rPr>
      </w:pPr>
    </w:p>
    <w:p w:rsidR="007E60D0" w:rsidRDefault="007E60D0">
      <w:pPr>
        <w:jc w:val="both"/>
        <w:rPr>
          <w:szCs w:val="24"/>
        </w:rPr>
      </w:pPr>
    </w:p>
    <w:p w:rsidR="007E60D0" w:rsidRDefault="007E60D0">
      <w:pPr>
        <w:jc w:val="both"/>
        <w:rPr>
          <w:szCs w:val="24"/>
        </w:rPr>
      </w:pPr>
    </w:p>
    <w:p w:rsidR="007E60D0" w:rsidRDefault="007E60D0">
      <w:pPr>
        <w:jc w:val="both"/>
        <w:rPr>
          <w:szCs w:val="24"/>
        </w:rPr>
      </w:pPr>
    </w:p>
    <w:p w:rsidR="007E60D0" w:rsidRDefault="007E60D0">
      <w:pPr>
        <w:jc w:val="both"/>
        <w:rPr>
          <w:szCs w:val="24"/>
        </w:rPr>
      </w:pPr>
    </w:p>
    <w:p w:rsidR="007E60D0" w:rsidRDefault="007E60D0">
      <w:pPr>
        <w:jc w:val="both"/>
        <w:rPr>
          <w:szCs w:val="24"/>
        </w:rPr>
      </w:pPr>
    </w:p>
    <w:p w:rsidR="007E60D0" w:rsidRDefault="007E60D0">
      <w:pPr>
        <w:jc w:val="both"/>
        <w:rPr>
          <w:szCs w:val="24"/>
        </w:rPr>
      </w:pPr>
    </w:p>
    <w:p w:rsidR="007E60D0" w:rsidRDefault="007E60D0">
      <w:pPr>
        <w:jc w:val="both"/>
        <w:rPr>
          <w:szCs w:val="24"/>
        </w:rPr>
      </w:pPr>
    </w:p>
    <w:p w:rsidR="007E60D0" w:rsidRDefault="007E60D0">
      <w:pPr>
        <w:jc w:val="both"/>
        <w:rPr>
          <w:szCs w:val="24"/>
        </w:rPr>
      </w:pPr>
    </w:p>
    <w:p w:rsidR="007E60D0" w:rsidRDefault="007E60D0">
      <w:pPr>
        <w:jc w:val="both"/>
        <w:rPr>
          <w:szCs w:val="24"/>
        </w:rPr>
      </w:pPr>
    </w:p>
    <w:p w:rsidR="007E60D0" w:rsidRDefault="007E60D0">
      <w:pPr>
        <w:jc w:val="both"/>
        <w:rPr>
          <w:szCs w:val="24"/>
        </w:rPr>
      </w:pPr>
    </w:p>
    <w:p w:rsidR="007E60D0" w:rsidRDefault="007E60D0">
      <w:pPr>
        <w:jc w:val="both"/>
        <w:rPr>
          <w:szCs w:val="24"/>
        </w:rPr>
      </w:pPr>
    </w:p>
    <w:p w:rsidR="007E60D0" w:rsidRDefault="007E60D0">
      <w:pPr>
        <w:jc w:val="both"/>
        <w:rPr>
          <w:szCs w:val="24"/>
        </w:rPr>
      </w:pPr>
    </w:p>
    <w:p w:rsidR="007E60D0" w:rsidRDefault="007E60D0">
      <w:pPr>
        <w:jc w:val="both"/>
        <w:rPr>
          <w:szCs w:val="24"/>
        </w:rPr>
      </w:pPr>
    </w:p>
    <w:p w:rsidR="007E60D0" w:rsidRDefault="007E60D0">
      <w:pPr>
        <w:jc w:val="both"/>
        <w:rPr>
          <w:szCs w:val="24"/>
        </w:rPr>
      </w:pPr>
    </w:p>
    <w:p w:rsidR="007E60D0" w:rsidRDefault="007E60D0">
      <w:pPr>
        <w:jc w:val="both"/>
        <w:rPr>
          <w:szCs w:val="24"/>
        </w:rPr>
      </w:pPr>
    </w:p>
    <w:p w:rsidR="007E60D0" w:rsidRDefault="007E60D0">
      <w:pPr>
        <w:jc w:val="both"/>
        <w:rPr>
          <w:szCs w:val="24"/>
        </w:rPr>
      </w:pPr>
    </w:p>
    <w:p w:rsidR="007E60D0" w:rsidRDefault="007E60D0">
      <w:pPr>
        <w:jc w:val="both"/>
        <w:rPr>
          <w:szCs w:val="24"/>
        </w:rPr>
      </w:pPr>
    </w:p>
    <w:p w:rsidR="007E60D0" w:rsidRDefault="007E60D0">
      <w:pPr>
        <w:jc w:val="both"/>
        <w:rPr>
          <w:szCs w:val="24"/>
        </w:rPr>
      </w:pPr>
    </w:p>
    <w:p w:rsidR="007E60D0" w:rsidRDefault="007E60D0">
      <w:pPr>
        <w:jc w:val="both"/>
        <w:rPr>
          <w:szCs w:val="24"/>
        </w:rPr>
      </w:pPr>
    </w:p>
    <w:p w:rsidR="007E60D0" w:rsidRDefault="007E60D0">
      <w:pPr>
        <w:pStyle w:val="Ttulo1"/>
        <w:rPr>
          <w:rFonts w:ascii="Times New Roman" w:hAnsi="Times New Roman" w:cs="Times New Roman"/>
          <w:b/>
          <w:szCs w:val="28"/>
        </w:rPr>
      </w:pPr>
      <w:r>
        <w:rPr>
          <w:rFonts w:ascii="Times New Roman" w:hAnsi="Times New Roman" w:cs="Times New Roman"/>
          <w:b/>
          <w:szCs w:val="28"/>
        </w:rPr>
        <w:lastRenderedPageBreak/>
        <w:t>LINEAMIENTOS PARA DEFINIR EL MARCO FISCAL DE MEDIANO PLAZO</w:t>
      </w:r>
    </w:p>
    <w:p w:rsidR="007E60D0" w:rsidRDefault="007E60D0">
      <w:pPr>
        <w:jc w:val="center"/>
        <w:rPr>
          <w:b/>
          <w:bCs/>
          <w:szCs w:val="24"/>
        </w:rPr>
      </w:pPr>
    </w:p>
    <w:p w:rsidR="007E60D0" w:rsidRDefault="007E60D0">
      <w:pPr>
        <w:jc w:val="both"/>
        <w:rPr>
          <w:szCs w:val="24"/>
        </w:rPr>
      </w:pPr>
      <w:r>
        <w:rPr>
          <w:szCs w:val="24"/>
        </w:rPr>
        <w:t>En general, diseñar un Marco Fiscal de Mediano Plazo tiene como objetivo construir un sendero factible a diez años en el que el comportamiento de los ingresos y de los gastos de la entidad territorial sea tal que garantice el cumplimiento de las normas vigentes de endeudamiento (Ley 358 de 1997), racionalización del gasto (Ley 617 de 2000) y de responsabilidad fiscal (Ley 819 de 2003). Obviamente, encaminar las finanzas municipales dentro de los límites de las leyes de disciplina fiscal significa autonomía fiscal y esta última es uno de los pilares que sustenta el proceso de descentralización.</w:t>
      </w:r>
    </w:p>
    <w:p w:rsidR="007E60D0" w:rsidRDefault="007E60D0">
      <w:pPr>
        <w:jc w:val="both"/>
        <w:rPr>
          <w:szCs w:val="24"/>
        </w:rPr>
      </w:pPr>
    </w:p>
    <w:p w:rsidR="007E60D0" w:rsidRDefault="007E60D0">
      <w:pPr>
        <w:jc w:val="both"/>
        <w:rPr>
          <w:szCs w:val="24"/>
        </w:rPr>
      </w:pPr>
      <w:r>
        <w:rPr>
          <w:szCs w:val="24"/>
        </w:rPr>
        <w:t>Un Marco Fiscal de Mediano Plazo realista se construye a partir del conocimiento detallado de la situación fiscal del municipio. No se trata solamente de relacionar los gastos actuales y estimar unos ingresos que permitan sufragarlos en el tiempo. El diseño de esta herramienta es un proceso que demanda estar al tanto de los pasivos que tiene la entidad, hacer seguimiento a los procesos jurídicos en contra de la administración en todos los niveles, conocer al detalle la estructura actual de ingresos y gastos y establecer claramente si se cumplen los límites legales al endeudamiento, a la sostenibilidad de la deuda y al gasto de funcionamiento.</w:t>
      </w:r>
    </w:p>
    <w:p w:rsidR="007E60D0" w:rsidRDefault="007E60D0">
      <w:pPr>
        <w:jc w:val="both"/>
        <w:rPr>
          <w:szCs w:val="24"/>
        </w:rPr>
      </w:pPr>
    </w:p>
    <w:p w:rsidR="007E60D0" w:rsidRDefault="007E60D0">
      <w:pPr>
        <w:jc w:val="both"/>
        <w:rPr>
          <w:szCs w:val="24"/>
        </w:rPr>
      </w:pPr>
      <w:r>
        <w:rPr>
          <w:szCs w:val="24"/>
        </w:rPr>
        <w:t xml:space="preserve">El entorno macroeconómico a nivel que sirve de fundamento para la elaboración del marco fiscal es la tendencia económica nacional en los últimos tres años, en especial la observada en el año 2010, así como las proyecciones efectuadas a nivel nacional, permiten prever una recuperación general, incremento de la inversión tanto pública como privada y saneamiento del déficit fiscal. </w:t>
      </w:r>
    </w:p>
    <w:p w:rsidR="007E60D0" w:rsidRDefault="007E60D0">
      <w:pPr>
        <w:jc w:val="both"/>
        <w:rPr>
          <w:szCs w:val="24"/>
        </w:rPr>
      </w:pPr>
    </w:p>
    <w:p w:rsidR="007E60D0" w:rsidRDefault="007E60D0">
      <w:pPr>
        <w:jc w:val="both"/>
        <w:rPr>
          <w:szCs w:val="24"/>
        </w:rPr>
      </w:pPr>
      <w:r>
        <w:rPr>
          <w:szCs w:val="24"/>
        </w:rPr>
        <w:t>De las proyecciones efectuadas a corto plazo, se espera un aumento del consumo final de los hogares, baja del consumo del Gobierno influenciado por las medidas de austeridad en el gasto como política nacional y una estabilización para los próximos dos años en el crecimiento global del Producto Interno Bruto, PIB, en el 3,5% porcentaje altamente satisfactorio si se compara con la década pasada que alcanzó en el año 1999, decrecimiento hasta del –4%. A nivel global, la recuperación de impuestos viene presentando incrementos importantes motivados por las Reformas Tributarias y las medidas de control a la evasión y a la elusión de impuestos emprendidos a todos los niveles de la administración pública, además por presentarse una mayor actividad económica que favorece los niveles de recaudo.</w:t>
      </w:r>
    </w:p>
    <w:p w:rsidR="007E60D0" w:rsidRDefault="007E60D0">
      <w:pPr>
        <w:jc w:val="both"/>
        <w:rPr>
          <w:szCs w:val="24"/>
        </w:rPr>
      </w:pPr>
    </w:p>
    <w:p w:rsidR="007E60D0" w:rsidRDefault="007E60D0">
      <w:pPr>
        <w:jc w:val="both"/>
        <w:rPr>
          <w:szCs w:val="24"/>
        </w:rPr>
      </w:pPr>
      <w:r>
        <w:rPr>
          <w:szCs w:val="24"/>
        </w:rPr>
        <w:t>El entorno económico a mediano plazo en el cual se desarrolló el marco fiscal, consulta en sus aspectos fundamentales, el escenario previsto por el nivel nacional caracterizado por crecimiento sostenido del PIB en el 3,5%, reducción de la inflación en un 5% y mantenimiento sostenido de esta tendencia. A continuación se presentan algunos lineamientos generales que se consideran útiles para diseñar una proyección creíble a diez años.</w:t>
      </w:r>
    </w:p>
    <w:p w:rsidR="007E60D0" w:rsidRDefault="007E60D0">
      <w:pPr>
        <w:jc w:val="both"/>
        <w:rPr>
          <w:color w:val="003300"/>
          <w:szCs w:val="24"/>
        </w:rPr>
      </w:pPr>
    </w:p>
    <w:p w:rsidR="007E60D0" w:rsidRDefault="007E60D0">
      <w:pPr>
        <w:jc w:val="both"/>
        <w:rPr>
          <w:szCs w:val="24"/>
        </w:rPr>
      </w:pPr>
      <w:r>
        <w:rPr>
          <w:szCs w:val="24"/>
        </w:rPr>
        <w:t>El Gobierno Nacional según los criterios de evaluación establecidos por la Dirección de Desarrollo Territorial Sostenible del Departamento Nacional de Planeación (DNP) y en coordinación con la Secretaria de Planeación Departamental, en cumplimiento a lo dispuesto en: el Artículo 49, numerales 1° y 2° y en el artículo 79 de la Ley 617/2000, ha desarrollado una metodología para evaluar los resultados del desempeño fiscal de los municipios y para clasificarlos de acuerdo a la eficacia y eficiencia en la utilización de los recursos en el “RANKING” Nacional. Dicha clasificación es muy importante al momento de distribuir los recursos del Sistema General de Participaciones en sus componentes de Eficiencia Fiscal y Administrativa.</w:t>
      </w:r>
    </w:p>
    <w:p w:rsidR="007E60D0" w:rsidRDefault="007E60D0">
      <w:pPr>
        <w:jc w:val="both"/>
        <w:rPr>
          <w:szCs w:val="24"/>
        </w:rPr>
      </w:pPr>
    </w:p>
    <w:p w:rsidR="007E60D0" w:rsidRDefault="007E60D0">
      <w:pPr>
        <w:jc w:val="both"/>
        <w:rPr>
          <w:szCs w:val="24"/>
        </w:rPr>
      </w:pPr>
      <w:r>
        <w:rPr>
          <w:szCs w:val="24"/>
        </w:rPr>
        <w:t>La evaluación la realiza el DNP, fundamentados en los informes financieros y contables a los Organismos de Control Administrativo y Fiscal, los informes presentados por las Empresas Prestadoras de los Servicios Públicos de Acueducto, Alcantarillado y Saneamiento Básico, los presentados por las Unidades Ejecutoras de Saneamiento y los informes del Departamento Administrativo de la función pública, que a diario los entes territoriales deben reportar.</w:t>
      </w:r>
    </w:p>
    <w:p w:rsidR="007E60D0" w:rsidRDefault="007E60D0">
      <w:pPr>
        <w:jc w:val="both"/>
        <w:rPr>
          <w:szCs w:val="24"/>
        </w:rPr>
      </w:pPr>
    </w:p>
    <w:p w:rsidR="007E60D0" w:rsidRDefault="007E60D0">
      <w:pPr>
        <w:jc w:val="both"/>
        <w:rPr>
          <w:color w:val="003300"/>
          <w:szCs w:val="24"/>
        </w:rPr>
      </w:pPr>
      <w:r>
        <w:rPr>
          <w:szCs w:val="24"/>
        </w:rPr>
        <w:t>La clasificación del municipio de Palermo ha sido la siguiente</w:t>
      </w:r>
      <w:r>
        <w:rPr>
          <w:rStyle w:val="Caracteresdenotaalpie"/>
          <w:color w:val="003300"/>
          <w:szCs w:val="24"/>
        </w:rPr>
        <w:footnoteReference w:id="1"/>
      </w:r>
      <w:r>
        <w:rPr>
          <w:color w:val="003300"/>
          <w:szCs w:val="24"/>
        </w:rPr>
        <w:t>:</w:t>
      </w:r>
    </w:p>
    <w:p w:rsidR="007E60D0" w:rsidRDefault="007E60D0">
      <w:pPr>
        <w:jc w:val="both"/>
        <w:rPr>
          <w:color w:val="003300"/>
          <w:szCs w:val="24"/>
        </w:rPr>
      </w:pPr>
    </w:p>
    <w:tbl>
      <w:tblPr>
        <w:tblW w:w="0" w:type="auto"/>
        <w:tblInd w:w="70" w:type="dxa"/>
        <w:tblLayout w:type="fixed"/>
        <w:tblCellMar>
          <w:left w:w="70" w:type="dxa"/>
          <w:right w:w="70" w:type="dxa"/>
        </w:tblCellMar>
        <w:tblLook w:val="0000"/>
      </w:tblPr>
      <w:tblGrid>
        <w:gridCol w:w="620"/>
        <w:gridCol w:w="1200"/>
        <w:gridCol w:w="680"/>
        <w:gridCol w:w="1110"/>
        <w:gridCol w:w="1306"/>
        <w:gridCol w:w="1387"/>
        <w:gridCol w:w="851"/>
        <w:gridCol w:w="1275"/>
        <w:gridCol w:w="851"/>
        <w:gridCol w:w="1002"/>
      </w:tblGrid>
      <w:tr w:rsidR="007E60D0">
        <w:trPr>
          <w:trHeight w:val="680"/>
        </w:trPr>
        <w:tc>
          <w:tcPr>
            <w:tcW w:w="10282" w:type="dxa"/>
            <w:gridSpan w:val="10"/>
            <w:tcBorders>
              <w:top w:val="single" w:sz="4" w:space="0" w:color="000000"/>
              <w:left w:val="single" w:sz="4" w:space="0" w:color="000000"/>
              <w:bottom w:val="single" w:sz="4" w:space="0" w:color="000000"/>
              <w:right w:val="single" w:sz="4" w:space="0" w:color="000000"/>
            </w:tcBorders>
            <w:shd w:val="clear" w:color="auto" w:fill="FFFFFF"/>
            <w:vAlign w:val="center"/>
          </w:tcPr>
          <w:p w:rsidR="007E60D0" w:rsidRDefault="007E60D0">
            <w:pPr>
              <w:snapToGrid w:val="0"/>
              <w:jc w:val="center"/>
              <w:rPr>
                <w:b/>
                <w:bCs/>
              </w:rPr>
            </w:pPr>
            <w:r>
              <w:rPr>
                <w:b/>
                <w:bCs/>
              </w:rPr>
              <w:t>MUNICIPIO DE  PALERMO</w:t>
            </w:r>
            <w:r>
              <w:rPr>
                <w:b/>
                <w:bCs/>
              </w:rPr>
              <w:br/>
              <w:t>DESEMPEÑO FISCAL 2007 – 2010</w:t>
            </w:r>
            <w:r>
              <w:rPr>
                <w:b/>
                <w:bCs/>
              </w:rPr>
              <w:br/>
              <w:t>CLASIFICACIÓN NACIONAL Y DEPARTAMENTAL</w:t>
            </w:r>
          </w:p>
        </w:tc>
      </w:tr>
      <w:tr w:rsidR="007E60D0">
        <w:trPr>
          <w:cantSplit/>
          <w:trHeight w:val="2004"/>
        </w:trPr>
        <w:tc>
          <w:tcPr>
            <w:tcW w:w="620" w:type="dxa"/>
            <w:tcBorders>
              <w:left w:val="single" w:sz="4" w:space="0" w:color="000000"/>
              <w:bottom w:val="single" w:sz="4" w:space="0" w:color="000000"/>
            </w:tcBorders>
            <w:shd w:val="clear" w:color="auto" w:fill="auto"/>
            <w:vAlign w:val="center"/>
          </w:tcPr>
          <w:p w:rsidR="007E60D0" w:rsidRDefault="007E60D0">
            <w:pPr>
              <w:snapToGrid w:val="0"/>
              <w:ind w:left="113" w:right="113"/>
              <w:jc w:val="center"/>
              <w:rPr>
                <w:b/>
                <w:bCs/>
              </w:rPr>
            </w:pPr>
            <w:r>
              <w:rPr>
                <w:b/>
                <w:bCs/>
              </w:rPr>
              <w:t>Año</w:t>
            </w:r>
          </w:p>
        </w:tc>
        <w:tc>
          <w:tcPr>
            <w:tcW w:w="1200" w:type="dxa"/>
            <w:tcBorders>
              <w:left w:val="single" w:sz="4" w:space="0" w:color="000000"/>
              <w:bottom w:val="single" w:sz="4" w:space="0" w:color="000000"/>
            </w:tcBorders>
            <w:shd w:val="clear" w:color="auto" w:fill="FFFFFF"/>
            <w:vAlign w:val="center"/>
          </w:tcPr>
          <w:p w:rsidR="007E60D0" w:rsidRDefault="007E60D0">
            <w:pPr>
              <w:snapToGrid w:val="0"/>
              <w:ind w:left="113" w:right="113"/>
              <w:jc w:val="center"/>
              <w:rPr>
                <w:b/>
                <w:bCs/>
                <w:color w:val="000000"/>
                <w:sz w:val="22"/>
                <w:szCs w:val="22"/>
              </w:rPr>
            </w:pPr>
            <w:r>
              <w:rPr>
                <w:b/>
                <w:bCs/>
                <w:color w:val="000000"/>
                <w:sz w:val="22"/>
                <w:szCs w:val="22"/>
              </w:rPr>
              <w:t xml:space="preserve">Porcentaje de ingresos corrientes destinados a funcionamiento </w:t>
            </w:r>
          </w:p>
        </w:tc>
        <w:tc>
          <w:tcPr>
            <w:tcW w:w="680" w:type="dxa"/>
            <w:tcBorders>
              <w:left w:val="single" w:sz="4" w:space="0" w:color="000000"/>
              <w:bottom w:val="single" w:sz="4" w:space="0" w:color="000000"/>
            </w:tcBorders>
            <w:shd w:val="clear" w:color="auto" w:fill="FFFFFF"/>
            <w:vAlign w:val="center"/>
          </w:tcPr>
          <w:p w:rsidR="007E60D0" w:rsidRDefault="007E60D0">
            <w:pPr>
              <w:snapToGrid w:val="0"/>
              <w:ind w:left="113" w:right="113"/>
              <w:jc w:val="center"/>
              <w:rPr>
                <w:b/>
                <w:bCs/>
                <w:color w:val="000000"/>
                <w:sz w:val="22"/>
                <w:szCs w:val="22"/>
              </w:rPr>
            </w:pPr>
            <w:r>
              <w:rPr>
                <w:b/>
                <w:bCs/>
                <w:color w:val="000000"/>
                <w:sz w:val="22"/>
                <w:szCs w:val="22"/>
              </w:rPr>
              <w:t>Magnitud de la Deuda</w:t>
            </w:r>
          </w:p>
        </w:tc>
        <w:tc>
          <w:tcPr>
            <w:tcW w:w="1110" w:type="dxa"/>
            <w:tcBorders>
              <w:left w:val="single" w:sz="4" w:space="0" w:color="000000"/>
              <w:bottom w:val="single" w:sz="4" w:space="0" w:color="000000"/>
            </w:tcBorders>
            <w:shd w:val="clear" w:color="auto" w:fill="FFFFFF"/>
            <w:vAlign w:val="center"/>
          </w:tcPr>
          <w:p w:rsidR="007E60D0" w:rsidRDefault="007E60D0">
            <w:pPr>
              <w:snapToGrid w:val="0"/>
              <w:ind w:left="113" w:right="113"/>
              <w:jc w:val="center"/>
              <w:rPr>
                <w:b/>
                <w:bCs/>
                <w:color w:val="000000"/>
                <w:sz w:val="22"/>
                <w:szCs w:val="22"/>
              </w:rPr>
            </w:pPr>
            <w:r>
              <w:rPr>
                <w:b/>
                <w:bCs/>
                <w:color w:val="000000"/>
                <w:sz w:val="22"/>
                <w:szCs w:val="22"/>
              </w:rPr>
              <w:t>Porcentaje de ingresos que corresponden a transferencias</w:t>
            </w:r>
          </w:p>
        </w:tc>
        <w:tc>
          <w:tcPr>
            <w:tcW w:w="1306" w:type="dxa"/>
            <w:tcBorders>
              <w:left w:val="single" w:sz="4" w:space="0" w:color="000000"/>
              <w:bottom w:val="single" w:sz="4" w:space="0" w:color="000000"/>
            </w:tcBorders>
            <w:shd w:val="clear" w:color="auto" w:fill="FFFFFF"/>
            <w:vAlign w:val="center"/>
          </w:tcPr>
          <w:p w:rsidR="007E60D0" w:rsidRDefault="007E60D0">
            <w:pPr>
              <w:snapToGrid w:val="0"/>
              <w:ind w:left="113" w:right="113"/>
              <w:jc w:val="center"/>
              <w:rPr>
                <w:b/>
                <w:bCs/>
                <w:color w:val="000000"/>
                <w:sz w:val="22"/>
                <w:szCs w:val="22"/>
              </w:rPr>
            </w:pPr>
            <w:r>
              <w:rPr>
                <w:b/>
                <w:bCs/>
                <w:color w:val="000000"/>
                <w:sz w:val="22"/>
                <w:szCs w:val="22"/>
              </w:rPr>
              <w:t>Porcentaje de ingresos que corresponden a recursos propios</w:t>
            </w:r>
          </w:p>
        </w:tc>
        <w:tc>
          <w:tcPr>
            <w:tcW w:w="1387" w:type="dxa"/>
            <w:tcBorders>
              <w:left w:val="single" w:sz="4" w:space="0" w:color="000000"/>
              <w:bottom w:val="single" w:sz="4" w:space="0" w:color="000000"/>
            </w:tcBorders>
            <w:shd w:val="clear" w:color="auto" w:fill="FFFFFF"/>
            <w:vAlign w:val="center"/>
          </w:tcPr>
          <w:p w:rsidR="007E60D0" w:rsidRDefault="007E60D0">
            <w:pPr>
              <w:snapToGrid w:val="0"/>
              <w:ind w:left="113" w:right="113"/>
              <w:jc w:val="center"/>
              <w:rPr>
                <w:b/>
                <w:bCs/>
                <w:color w:val="000000"/>
                <w:sz w:val="22"/>
                <w:szCs w:val="22"/>
              </w:rPr>
            </w:pPr>
            <w:r>
              <w:rPr>
                <w:b/>
                <w:bCs/>
                <w:color w:val="000000"/>
                <w:sz w:val="22"/>
                <w:szCs w:val="22"/>
              </w:rPr>
              <w:t>Porcentaje del gasto total destinado a Inversión</w:t>
            </w:r>
          </w:p>
        </w:tc>
        <w:tc>
          <w:tcPr>
            <w:tcW w:w="851" w:type="dxa"/>
            <w:tcBorders>
              <w:left w:val="single" w:sz="4" w:space="0" w:color="000000"/>
              <w:bottom w:val="single" w:sz="4" w:space="0" w:color="000000"/>
            </w:tcBorders>
            <w:shd w:val="clear" w:color="auto" w:fill="FFFFFF"/>
            <w:vAlign w:val="center"/>
          </w:tcPr>
          <w:p w:rsidR="007E60D0" w:rsidRDefault="007E60D0">
            <w:pPr>
              <w:snapToGrid w:val="0"/>
              <w:ind w:left="113" w:right="113"/>
              <w:jc w:val="center"/>
              <w:rPr>
                <w:b/>
                <w:bCs/>
                <w:color w:val="000000"/>
                <w:sz w:val="22"/>
                <w:szCs w:val="22"/>
              </w:rPr>
            </w:pPr>
            <w:r>
              <w:rPr>
                <w:b/>
                <w:bCs/>
                <w:color w:val="000000"/>
                <w:sz w:val="22"/>
                <w:szCs w:val="22"/>
              </w:rPr>
              <w:t>Capacidad de Ahorro</w:t>
            </w:r>
          </w:p>
        </w:tc>
        <w:tc>
          <w:tcPr>
            <w:tcW w:w="1275" w:type="dxa"/>
            <w:tcBorders>
              <w:left w:val="single" w:sz="4" w:space="0" w:color="000000"/>
              <w:bottom w:val="single" w:sz="4" w:space="0" w:color="000000"/>
            </w:tcBorders>
            <w:shd w:val="clear" w:color="auto" w:fill="FFFFFF"/>
            <w:vAlign w:val="center"/>
          </w:tcPr>
          <w:p w:rsidR="007E60D0" w:rsidRDefault="007E60D0">
            <w:pPr>
              <w:snapToGrid w:val="0"/>
              <w:ind w:left="113" w:right="113"/>
              <w:jc w:val="center"/>
              <w:rPr>
                <w:b/>
                <w:bCs/>
                <w:color w:val="000000"/>
                <w:sz w:val="22"/>
                <w:szCs w:val="22"/>
              </w:rPr>
            </w:pPr>
            <w:r>
              <w:rPr>
                <w:b/>
                <w:bCs/>
                <w:color w:val="000000"/>
                <w:sz w:val="22"/>
                <w:szCs w:val="22"/>
              </w:rPr>
              <w:t>Indicador de Desempeño Fiscal</w:t>
            </w:r>
          </w:p>
        </w:tc>
        <w:tc>
          <w:tcPr>
            <w:tcW w:w="851" w:type="dxa"/>
            <w:tcBorders>
              <w:left w:val="single" w:sz="4" w:space="0" w:color="000000"/>
              <w:bottom w:val="single" w:sz="4" w:space="0" w:color="000000"/>
            </w:tcBorders>
            <w:shd w:val="clear" w:color="auto" w:fill="FFFFFF"/>
            <w:vAlign w:val="center"/>
          </w:tcPr>
          <w:p w:rsidR="007E60D0" w:rsidRDefault="007E60D0">
            <w:pPr>
              <w:snapToGrid w:val="0"/>
              <w:ind w:left="113" w:right="113"/>
              <w:jc w:val="center"/>
              <w:rPr>
                <w:b/>
                <w:bCs/>
                <w:color w:val="000000"/>
                <w:sz w:val="22"/>
                <w:szCs w:val="22"/>
              </w:rPr>
            </w:pPr>
            <w:r>
              <w:rPr>
                <w:b/>
                <w:bCs/>
                <w:color w:val="000000"/>
                <w:sz w:val="22"/>
                <w:szCs w:val="22"/>
              </w:rPr>
              <w:t>Posición a nivel Nacional</w:t>
            </w:r>
          </w:p>
        </w:tc>
        <w:tc>
          <w:tcPr>
            <w:tcW w:w="1002" w:type="dxa"/>
            <w:tcBorders>
              <w:left w:val="single" w:sz="4" w:space="0" w:color="000000"/>
              <w:bottom w:val="single" w:sz="4" w:space="0" w:color="000000"/>
              <w:right w:val="single" w:sz="4" w:space="0" w:color="000000"/>
            </w:tcBorders>
            <w:shd w:val="clear" w:color="auto" w:fill="FFFFFF"/>
            <w:vAlign w:val="center"/>
          </w:tcPr>
          <w:p w:rsidR="007E60D0" w:rsidRDefault="007E60D0">
            <w:pPr>
              <w:snapToGrid w:val="0"/>
              <w:ind w:left="113" w:right="113"/>
              <w:jc w:val="center"/>
              <w:rPr>
                <w:b/>
                <w:bCs/>
                <w:color w:val="000000"/>
                <w:sz w:val="22"/>
                <w:szCs w:val="22"/>
              </w:rPr>
            </w:pPr>
            <w:r>
              <w:rPr>
                <w:b/>
                <w:bCs/>
                <w:color w:val="000000"/>
                <w:sz w:val="22"/>
                <w:szCs w:val="22"/>
              </w:rPr>
              <w:t>Posición a nivel Departamental</w:t>
            </w:r>
          </w:p>
        </w:tc>
      </w:tr>
      <w:tr w:rsidR="007E60D0">
        <w:trPr>
          <w:trHeight w:val="496"/>
        </w:trPr>
        <w:tc>
          <w:tcPr>
            <w:tcW w:w="620" w:type="dxa"/>
            <w:tcBorders>
              <w:left w:val="single" w:sz="4" w:space="0" w:color="000000"/>
              <w:bottom w:val="single" w:sz="4" w:space="0" w:color="000000"/>
            </w:tcBorders>
            <w:shd w:val="clear" w:color="auto" w:fill="auto"/>
            <w:vAlign w:val="center"/>
          </w:tcPr>
          <w:p w:rsidR="007E60D0" w:rsidRDefault="007E60D0">
            <w:pPr>
              <w:snapToGrid w:val="0"/>
              <w:jc w:val="center"/>
              <w:rPr>
                <w:b/>
                <w:color w:val="000000"/>
                <w:sz w:val="22"/>
                <w:szCs w:val="22"/>
              </w:rPr>
            </w:pPr>
            <w:r>
              <w:rPr>
                <w:b/>
                <w:color w:val="000000"/>
                <w:sz w:val="22"/>
                <w:szCs w:val="22"/>
              </w:rPr>
              <w:t>2007</w:t>
            </w:r>
          </w:p>
        </w:tc>
        <w:tc>
          <w:tcPr>
            <w:tcW w:w="1200" w:type="dxa"/>
            <w:tcBorders>
              <w:left w:val="single" w:sz="4" w:space="0" w:color="000000"/>
              <w:bottom w:val="single" w:sz="4" w:space="0" w:color="000000"/>
            </w:tcBorders>
            <w:shd w:val="clear" w:color="auto" w:fill="FFFFFF"/>
            <w:vAlign w:val="center"/>
          </w:tcPr>
          <w:p w:rsidR="007E60D0" w:rsidRDefault="007E60D0">
            <w:pPr>
              <w:snapToGrid w:val="0"/>
              <w:jc w:val="center"/>
              <w:rPr>
                <w:sz w:val="22"/>
                <w:szCs w:val="22"/>
              </w:rPr>
            </w:pPr>
            <w:r>
              <w:rPr>
                <w:sz w:val="22"/>
                <w:szCs w:val="22"/>
              </w:rPr>
              <w:t>43,23</w:t>
            </w:r>
          </w:p>
        </w:tc>
        <w:tc>
          <w:tcPr>
            <w:tcW w:w="680" w:type="dxa"/>
            <w:tcBorders>
              <w:left w:val="single" w:sz="4" w:space="0" w:color="000000"/>
              <w:bottom w:val="single" w:sz="4" w:space="0" w:color="000000"/>
            </w:tcBorders>
            <w:shd w:val="clear" w:color="auto" w:fill="FFFFFF"/>
            <w:vAlign w:val="center"/>
          </w:tcPr>
          <w:p w:rsidR="007E60D0" w:rsidRDefault="007E60D0">
            <w:pPr>
              <w:snapToGrid w:val="0"/>
              <w:jc w:val="center"/>
              <w:rPr>
                <w:sz w:val="22"/>
                <w:szCs w:val="22"/>
              </w:rPr>
            </w:pPr>
            <w:r>
              <w:rPr>
                <w:sz w:val="22"/>
                <w:szCs w:val="22"/>
              </w:rPr>
              <w:t>3,64</w:t>
            </w:r>
          </w:p>
        </w:tc>
        <w:tc>
          <w:tcPr>
            <w:tcW w:w="1110" w:type="dxa"/>
            <w:tcBorders>
              <w:left w:val="single" w:sz="4" w:space="0" w:color="000000"/>
              <w:bottom w:val="single" w:sz="4" w:space="0" w:color="000000"/>
            </w:tcBorders>
            <w:shd w:val="clear" w:color="auto" w:fill="FFFFFF"/>
            <w:vAlign w:val="center"/>
          </w:tcPr>
          <w:p w:rsidR="007E60D0" w:rsidRDefault="007E60D0">
            <w:pPr>
              <w:snapToGrid w:val="0"/>
              <w:jc w:val="center"/>
              <w:rPr>
                <w:sz w:val="22"/>
                <w:szCs w:val="22"/>
              </w:rPr>
            </w:pPr>
            <w:r>
              <w:rPr>
                <w:sz w:val="22"/>
                <w:szCs w:val="22"/>
              </w:rPr>
              <w:t>22,12</w:t>
            </w:r>
          </w:p>
        </w:tc>
        <w:tc>
          <w:tcPr>
            <w:tcW w:w="1306" w:type="dxa"/>
            <w:tcBorders>
              <w:left w:val="single" w:sz="4" w:space="0" w:color="000000"/>
              <w:bottom w:val="single" w:sz="4" w:space="0" w:color="000000"/>
            </w:tcBorders>
            <w:shd w:val="clear" w:color="auto" w:fill="FFFFFF"/>
            <w:vAlign w:val="center"/>
          </w:tcPr>
          <w:p w:rsidR="007E60D0" w:rsidRDefault="007E60D0">
            <w:pPr>
              <w:snapToGrid w:val="0"/>
              <w:jc w:val="center"/>
              <w:rPr>
                <w:sz w:val="22"/>
                <w:szCs w:val="22"/>
              </w:rPr>
            </w:pPr>
            <w:r>
              <w:rPr>
                <w:sz w:val="22"/>
                <w:szCs w:val="22"/>
              </w:rPr>
              <w:t>11,33</w:t>
            </w:r>
          </w:p>
        </w:tc>
        <w:tc>
          <w:tcPr>
            <w:tcW w:w="1387" w:type="dxa"/>
            <w:tcBorders>
              <w:left w:val="single" w:sz="4" w:space="0" w:color="000000"/>
              <w:bottom w:val="single" w:sz="4" w:space="0" w:color="000000"/>
            </w:tcBorders>
            <w:shd w:val="clear" w:color="auto" w:fill="FFFFFF"/>
            <w:vAlign w:val="center"/>
          </w:tcPr>
          <w:p w:rsidR="007E60D0" w:rsidRDefault="007E60D0">
            <w:pPr>
              <w:snapToGrid w:val="0"/>
              <w:jc w:val="center"/>
              <w:rPr>
                <w:sz w:val="22"/>
                <w:szCs w:val="22"/>
              </w:rPr>
            </w:pPr>
            <w:r>
              <w:rPr>
                <w:sz w:val="22"/>
                <w:szCs w:val="22"/>
              </w:rPr>
              <w:t>94,82</w:t>
            </w:r>
          </w:p>
        </w:tc>
        <w:tc>
          <w:tcPr>
            <w:tcW w:w="851" w:type="dxa"/>
            <w:tcBorders>
              <w:left w:val="single" w:sz="4" w:space="0" w:color="000000"/>
              <w:bottom w:val="single" w:sz="4" w:space="0" w:color="000000"/>
            </w:tcBorders>
            <w:shd w:val="clear" w:color="auto" w:fill="FFFFFF"/>
            <w:vAlign w:val="center"/>
          </w:tcPr>
          <w:p w:rsidR="007E60D0" w:rsidRDefault="007E60D0">
            <w:pPr>
              <w:snapToGrid w:val="0"/>
              <w:jc w:val="center"/>
              <w:rPr>
                <w:sz w:val="22"/>
                <w:szCs w:val="22"/>
              </w:rPr>
            </w:pPr>
            <w:r>
              <w:rPr>
                <w:sz w:val="22"/>
                <w:szCs w:val="22"/>
              </w:rPr>
              <w:t>57,16</w:t>
            </w:r>
          </w:p>
        </w:tc>
        <w:tc>
          <w:tcPr>
            <w:tcW w:w="1275" w:type="dxa"/>
            <w:tcBorders>
              <w:left w:val="single" w:sz="4" w:space="0" w:color="000000"/>
              <w:bottom w:val="single" w:sz="4" w:space="0" w:color="000000"/>
            </w:tcBorders>
            <w:shd w:val="clear" w:color="auto" w:fill="FFFFFF"/>
            <w:vAlign w:val="center"/>
          </w:tcPr>
          <w:p w:rsidR="007E60D0" w:rsidRDefault="007E60D0">
            <w:pPr>
              <w:snapToGrid w:val="0"/>
              <w:jc w:val="center"/>
              <w:rPr>
                <w:b/>
                <w:bCs/>
                <w:sz w:val="22"/>
                <w:szCs w:val="22"/>
              </w:rPr>
            </w:pPr>
            <w:r>
              <w:rPr>
                <w:b/>
                <w:bCs/>
                <w:sz w:val="22"/>
                <w:szCs w:val="22"/>
              </w:rPr>
              <w:t>78,88</w:t>
            </w:r>
          </w:p>
        </w:tc>
        <w:tc>
          <w:tcPr>
            <w:tcW w:w="851" w:type="dxa"/>
            <w:tcBorders>
              <w:left w:val="single" w:sz="4" w:space="0" w:color="000000"/>
              <w:bottom w:val="single" w:sz="4" w:space="0" w:color="000000"/>
            </w:tcBorders>
            <w:shd w:val="clear" w:color="auto" w:fill="FFFFFF"/>
            <w:vAlign w:val="center"/>
          </w:tcPr>
          <w:p w:rsidR="007E60D0" w:rsidRDefault="007E60D0">
            <w:pPr>
              <w:snapToGrid w:val="0"/>
              <w:jc w:val="center"/>
              <w:rPr>
                <w:b/>
                <w:bCs/>
                <w:sz w:val="22"/>
                <w:szCs w:val="22"/>
              </w:rPr>
            </w:pPr>
            <w:r>
              <w:rPr>
                <w:b/>
                <w:bCs/>
                <w:sz w:val="22"/>
                <w:szCs w:val="22"/>
              </w:rPr>
              <w:t>37</w:t>
            </w:r>
          </w:p>
        </w:tc>
        <w:tc>
          <w:tcPr>
            <w:tcW w:w="1002" w:type="dxa"/>
            <w:tcBorders>
              <w:left w:val="single" w:sz="4" w:space="0" w:color="000000"/>
              <w:bottom w:val="single" w:sz="4" w:space="0" w:color="000000"/>
              <w:right w:val="single" w:sz="4" w:space="0" w:color="000000"/>
            </w:tcBorders>
            <w:shd w:val="clear" w:color="auto" w:fill="FFFFFF"/>
            <w:vAlign w:val="center"/>
          </w:tcPr>
          <w:p w:rsidR="007E60D0" w:rsidRDefault="007E60D0">
            <w:pPr>
              <w:snapToGrid w:val="0"/>
              <w:jc w:val="center"/>
              <w:rPr>
                <w:b/>
                <w:bCs/>
                <w:sz w:val="22"/>
                <w:szCs w:val="22"/>
              </w:rPr>
            </w:pPr>
            <w:r>
              <w:rPr>
                <w:b/>
                <w:bCs/>
                <w:sz w:val="22"/>
                <w:szCs w:val="22"/>
              </w:rPr>
              <w:t>2</w:t>
            </w:r>
          </w:p>
        </w:tc>
      </w:tr>
      <w:tr w:rsidR="007E60D0">
        <w:trPr>
          <w:trHeight w:val="496"/>
        </w:trPr>
        <w:tc>
          <w:tcPr>
            <w:tcW w:w="620" w:type="dxa"/>
            <w:tcBorders>
              <w:left w:val="single" w:sz="4" w:space="0" w:color="000000"/>
              <w:bottom w:val="single" w:sz="4" w:space="0" w:color="000000"/>
            </w:tcBorders>
            <w:shd w:val="clear" w:color="auto" w:fill="auto"/>
            <w:vAlign w:val="center"/>
          </w:tcPr>
          <w:p w:rsidR="007E60D0" w:rsidRDefault="007E60D0">
            <w:pPr>
              <w:snapToGrid w:val="0"/>
              <w:jc w:val="center"/>
              <w:rPr>
                <w:b/>
                <w:color w:val="000000"/>
                <w:sz w:val="22"/>
                <w:szCs w:val="22"/>
              </w:rPr>
            </w:pPr>
            <w:r>
              <w:rPr>
                <w:b/>
                <w:color w:val="000000"/>
                <w:sz w:val="22"/>
                <w:szCs w:val="22"/>
              </w:rPr>
              <w:t>2008</w:t>
            </w:r>
          </w:p>
        </w:tc>
        <w:tc>
          <w:tcPr>
            <w:tcW w:w="1200" w:type="dxa"/>
            <w:tcBorders>
              <w:left w:val="single" w:sz="4" w:space="0" w:color="000000"/>
              <w:bottom w:val="single" w:sz="4" w:space="0" w:color="000000"/>
            </w:tcBorders>
            <w:shd w:val="clear" w:color="auto" w:fill="FFFFFF"/>
            <w:vAlign w:val="center"/>
          </w:tcPr>
          <w:p w:rsidR="007E60D0" w:rsidRDefault="007E60D0">
            <w:pPr>
              <w:snapToGrid w:val="0"/>
              <w:jc w:val="center"/>
              <w:rPr>
                <w:sz w:val="22"/>
                <w:szCs w:val="22"/>
              </w:rPr>
            </w:pPr>
            <w:r>
              <w:rPr>
                <w:sz w:val="22"/>
                <w:szCs w:val="22"/>
              </w:rPr>
              <w:t>48,64</w:t>
            </w:r>
          </w:p>
        </w:tc>
        <w:tc>
          <w:tcPr>
            <w:tcW w:w="680" w:type="dxa"/>
            <w:tcBorders>
              <w:left w:val="single" w:sz="4" w:space="0" w:color="000000"/>
              <w:bottom w:val="single" w:sz="4" w:space="0" w:color="000000"/>
            </w:tcBorders>
            <w:shd w:val="clear" w:color="auto" w:fill="FFFFFF"/>
            <w:vAlign w:val="center"/>
          </w:tcPr>
          <w:p w:rsidR="007E60D0" w:rsidRDefault="007E60D0">
            <w:pPr>
              <w:snapToGrid w:val="0"/>
              <w:jc w:val="center"/>
              <w:rPr>
                <w:sz w:val="22"/>
                <w:szCs w:val="22"/>
              </w:rPr>
            </w:pPr>
            <w:r>
              <w:rPr>
                <w:sz w:val="22"/>
                <w:szCs w:val="22"/>
              </w:rPr>
              <w:t>2,84</w:t>
            </w:r>
          </w:p>
        </w:tc>
        <w:tc>
          <w:tcPr>
            <w:tcW w:w="1110" w:type="dxa"/>
            <w:tcBorders>
              <w:left w:val="single" w:sz="4" w:space="0" w:color="000000"/>
              <w:bottom w:val="single" w:sz="4" w:space="0" w:color="000000"/>
            </w:tcBorders>
            <w:shd w:val="clear" w:color="auto" w:fill="FFFFFF"/>
            <w:vAlign w:val="center"/>
          </w:tcPr>
          <w:p w:rsidR="007E60D0" w:rsidRDefault="007E60D0">
            <w:pPr>
              <w:snapToGrid w:val="0"/>
              <w:jc w:val="center"/>
              <w:rPr>
                <w:sz w:val="22"/>
                <w:szCs w:val="22"/>
              </w:rPr>
            </w:pPr>
            <w:r>
              <w:rPr>
                <w:sz w:val="22"/>
                <w:szCs w:val="22"/>
              </w:rPr>
              <w:t>20,55</w:t>
            </w:r>
          </w:p>
        </w:tc>
        <w:tc>
          <w:tcPr>
            <w:tcW w:w="1306" w:type="dxa"/>
            <w:tcBorders>
              <w:left w:val="single" w:sz="4" w:space="0" w:color="000000"/>
              <w:bottom w:val="single" w:sz="4" w:space="0" w:color="000000"/>
            </w:tcBorders>
            <w:shd w:val="clear" w:color="auto" w:fill="FFFFFF"/>
            <w:vAlign w:val="center"/>
          </w:tcPr>
          <w:p w:rsidR="007E60D0" w:rsidRDefault="007E60D0">
            <w:pPr>
              <w:snapToGrid w:val="0"/>
              <w:jc w:val="center"/>
              <w:rPr>
                <w:sz w:val="22"/>
                <w:szCs w:val="22"/>
              </w:rPr>
            </w:pPr>
            <w:r>
              <w:rPr>
                <w:sz w:val="22"/>
                <w:szCs w:val="22"/>
              </w:rPr>
              <w:t>10,64</w:t>
            </w:r>
          </w:p>
        </w:tc>
        <w:tc>
          <w:tcPr>
            <w:tcW w:w="1387" w:type="dxa"/>
            <w:tcBorders>
              <w:left w:val="single" w:sz="4" w:space="0" w:color="000000"/>
              <w:bottom w:val="single" w:sz="4" w:space="0" w:color="000000"/>
            </w:tcBorders>
            <w:shd w:val="clear" w:color="auto" w:fill="FFFFFF"/>
            <w:vAlign w:val="center"/>
          </w:tcPr>
          <w:p w:rsidR="007E60D0" w:rsidRDefault="007E60D0">
            <w:pPr>
              <w:snapToGrid w:val="0"/>
              <w:jc w:val="center"/>
              <w:rPr>
                <w:sz w:val="22"/>
                <w:szCs w:val="22"/>
              </w:rPr>
            </w:pPr>
            <w:r>
              <w:rPr>
                <w:sz w:val="22"/>
                <w:szCs w:val="22"/>
              </w:rPr>
              <w:t>93,97</w:t>
            </w:r>
          </w:p>
        </w:tc>
        <w:tc>
          <w:tcPr>
            <w:tcW w:w="851" w:type="dxa"/>
            <w:tcBorders>
              <w:left w:val="single" w:sz="4" w:space="0" w:color="000000"/>
              <w:bottom w:val="single" w:sz="4" w:space="0" w:color="000000"/>
            </w:tcBorders>
            <w:shd w:val="clear" w:color="auto" w:fill="FFFFFF"/>
            <w:vAlign w:val="center"/>
          </w:tcPr>
          <w:p w:rsidR="007E60D0" w:rsidRDefault="007E60D0">
            <w:pPr>
              <w:snapToGrid w:val="0"/>
              <w:jc w:val="center"/>
              <w:rPr>
                <w:sz w:val="22"/>
                <w:szCs w:val="22"/>
              </w:rPr>
            </w:pPr>
            <w:r>
              <w:rPr>
                <w:sz w:val="22"/>
                <w:szCs w:val="22"/>
              </w:rPr>
              <w:t>54,66</w:t>
            </w:r>
          </w:p>
        </w:tc>
        <w:tc>
          <w:tcPr>
            <w:tcW w:w="1275" w:type="dxa"/>
            <w:tcBorders>
              <w:left w:val="single" w:sz="4" w:space="0" w:color="000000"/>
              <w:bottom w:val="single" w:sz="4" w:space="0" w:color="000000"/>
            </w:tcBorders>
            <w:shd w:val="clear" w:color="auto" w:fill="FFFFFF"/>
            <w:vAlign w:val="center"/>
          </w:tcPr>
          <w:p w:rsidR="007E60D0" w:rsidRDefault="007E60D0">
            <w:pPr>
              <w:snapToGrid w:val="0"/>
              <w:jc w:val="center"/>
              <w:rPr>
                <w:b/>
                <w:bCs/>
                <w:sz w:val="22"/>
                <w:szCs w:val="22"/>
              </w:rPr>
            </w:pPr>
            <w:r>
              <w:rPr>
                <w:b/>
                <w:bCs/>
                <w:sz w:val="22"/>
                <w:szCs w:val="22"/>
              </w:rPr>
              <w:t>79,03</w:t>
            </w:r>
          </w:p>
        </w:tc>
        <w:tc>
          <w:tcPr>
            <w:tcW w:w="851" w:type="dxa"/>
            <w:tcBorders>
              <w:left w:val="single" w:sz="4" w:space="0" w:color="000000"/>
              <w:bottom w:val="single" w:sz="4" w:space="0" w:color="000000"/>
            </w:tcBorders>
            <w:shd w:val="clear" w:color="auto" w:fill="FFFFFF"/>
            <w:vAlign w:val="center"/>
          </w:tcPr>
          <w:p w:rsidR="007E60D0" w:rsidRDefault="007E60D0">
            <w:pPr>
              <w:snapToGrid w:val="0"/>
              <w:jc w:val="center"/>
              <w:rPr>
                <w:b/>
                <w:bCs/>
                <w:sz w:val="22"/>
                <w:szCs w:val="22"/>
              </w:rPr>
            </w:pPr>
            <w:r>
              <w:rPr>
                <w:b/>
                <w:bCs/>
                <w:sz w:val="22"/>
                <w:szCs w:val="22"/>
              </w:rPr>
              <w:t>31</w:t>
            </w:r>
          </w:p>
        </w:tc>
        <w:tc>
          <w:tcPr>
            <w:tcW w:w="1002" w:type="dxa"/>
            <w:tcBorders>
              <w:left w:val="single" w:sz="4" w:space="0" w:color="000000"/>
              <w:bottom w:val="single" w:sz="4" w:space="0" w:color="000000"/>
              <w:right w:val="single" w:sz="4" w:space="0" w:color="000000"/>
            </w:tcBorders>
            <w:shd w:val="clear" w:color="auto" w:fill="FFFFFF"/>
            <w:vAlign w:val="center"/>
          </w:tcPr>
          <w:p w:rsidR="007E60D0" w:rsidRDefault="007E60D0">
            <w:pPr>
              <w:snapToGrid w:val="0"/>
              <w:jc w:val="center"/>
              <w:rPr>
                <w:b/>
                <w:bCs/>
                <w:sz w:val="22"/>
                <w:szCs w:val="22"/>
              </w:rPr>
            </w:pPr>
            <w:r>
              <w:rPr>
                <w:b/>
                <w:bCs/>
                <w:sz w:val="22"/>
                <w:szCs w:val="22"/>
              </w:rPr>
              <w:t>1</w:t>
            </w:r>
          </w:p>
        </w:tc>
      </w:tr>
      <w:tr w:rsidR="007E60D0">
        <w:trPr>
          <w:trHeight w:val="417"/>
        </w:trPr>
        <w:tc>
          <w:tcPr>
            <w:tcW w:w="620" w:type="dxa"/>
            <w:tcBorders>
              <w:left w:val="single" w:sz="4" w:space="0" w:color="000000"/>
              <w:bottom w:val="single" w:sz="4" w:space="0" w:color="000000"/>
            </w:tcBorders>
            <w:shd w:val="clear" w:color="auto" w:fill="auto"/>
            <w:vAlign w:val="center"/>
          </w:tcPr>
          <w:p w:rsidR="007E60D0" w:rsidRDefault="007E60D0">
            <w:pPr>
              <w:snapToGrid w:val="0"/>
              <w:jc w:val="center"/>
              <w:rPr>
                <w:b/>
                <w:color w:val="000000"/>
                <w:sz w:val="22"/>
                <w:szCs w:val="22"/>
              </w:rPr>
            </w:pPr>
            <w:r>
              <w:rPr>
                <w:b/>
                <w:color w:val="000000"/>
                <w:sz w:val="22"/>
                <w:szCs w:val="22"/>
              </w:rPr>
              <w:t>2009</w:t>
            </w:r>
          </w:p>
        </w:tc>
        <w:tc>
          <w:tcPr>
            <w:tcW w:w="1200" w:type="dxa"/>
            <w:tcBorders>
              <w:left w:val="single" w:sz="4" w:space="0" w:color="000000"/>
              <w:bottom w:val="single" w:sz="4" w:space="0" w:color="000000"/>
            </w:tcBorders>
            <w:shd w:val="clear" w:color="auto" w:fill="FFFFFF"/>
            <w:vAlign w:val="center"/>
          </w:tcPr>
          <w:p w:rsidR="007E60D0" w:rsidRDefault="007E60D0">
            <w:pPr>
              <w:snapToGrid w:val="0"/>
              <w:jc w:val="center"/>
              <w:rPr>
                <w:sz w:val="22"/>
                <w:szCs w:val="22"/>
              </w:rPr>
            </w:pPr>
            <w:r>
              <w:rPr>
                <w:sz w:val="22"/>
                <w:szCs w:val="22"/>
              </w:rPr>
              <w:t>52,38</w:t>
            </w:r>
          </w:p>
        </w:tc>
        <w:tc>
          <w:tcPr>
            <w:tcW w:w="680" w:type="dxa"/>
            <w:tcBorders>
              <w:left w:val="single" w:sz="4" w:space="0" w:color="000000"/>
              <w:bottom w:val="single" w:sz="4" w:space="0" w:color="000000"/>
            </w:tcBorders>
            <w:shd w:val="clear" w:color="auto" w:fill="FFFFFF"/>
            <w:vAlign w:val="center"/>
          </w:tcPr>
          <w:p w:rsidR="007E60D0" w:rsidRDefault="007E60D0">
            <w:pPr>
              <w:snapToGrid w:val="0"/>
              <w:jc w:val="center"/>
              <w:rPr>
                <w:sz w:val="22"/>
                <w:szCs w:val="22"/>
              </w:rPr>
            </w:pPr>
            <w:r>
              <w:rPr>
                <w:sz w:val="22"/>
                <w:szCs w:val="22"/>
              </w:rPr>
              <w:t>9,84</w:t>
            </w:r>
          </w:p>
        </w:tc>
        <w:tc>
          <w:tcPr>
            <w:tcW w:w="1110" w:type="dxa"/>
            <w:tcBorders>
              <w:left w:val="single" w:sz="4" w:space="0" w:color="000000"/>
              <w:bottom w:val="single" w:sz="4" w:space="0" w:color="000000"/>
            </w:tcBorders>
            <w:shd w:val="clear" w:color="auto" w:fill="FFFFFF"/>
            <w:vAlign w:val="center"/>
          </w:tcPr>
          <w:p w:rsidR="007E60D0" w:rsidRDefault="007E60D0">
            <w:pPr>
              <w:snapToGrid w:val="0"/>
              <w:jc w:val="center"/>
              <w:rPr>
                <w:sz w:val="22"/>
                <w:szCs w:val="22"/>
              </w:rPr>
            </w:pPr>
            <w:r>
              <w:rPr>
                <w:sz w:val="22"/>
                <w:szCs w:val="22"/>
              </w:rPr>
              <w:t>69,83</w:t>
            </w:r>
          </w:p>
        </w:tc>
        <w:tc>
          <w:tcPr>
            <w:tcW w:w="1306" w:type="dxa"/>
            <w:tcBorders>
              <w:left w:val="single" w:sz="4" w:space="0" w:color="000000"/>
              <w:bottom w:val="single" w:sz="4" w:space="0" w:color="000000"/>
            </w:tcBorders>
            <w:shd w:val="clear" w:color="auto" w:fill="FFFFFF"/>
            <w:vAlign w:val="center"/>
          </w:tcPr>
          <w:p w:rsidR="007E60D0" w:rsidRDefault="007E60D0">
            <w:pPr>
              <w:snapToGrid w:val="0"/>
              <w:jc w:val="center"/>
              <w:rPr>
                <w:sz w:val="22"/>
                <w:szCs w:val="22"/>
              </w:rPr>
            </w:pPr>
            <w:r>
              <w:rPr>
                <w:sz w:val="22"/>
                <w:szCs w:val="22"/>
              </w:rPr>
              <w:t>13,96</w:t>
            </w:r>
          </w:p>
        </w:tc>
        <w:tc>
          <w:tcPr>
            <w:tcW w:w="1387" w:type="dxa"/>
            <w:tcBorders>
              <w:left w:val="single" w:sz="4" w:space="0" w:color="000000"/>
              <w:bottom w:val="single" w:sz="4" w:space="0" w:color="000000"/>
            </w:tcBorders>
            <w:shd w:val="clear" w:color="auto" w:fill="FFFFFF"/>
            <w:vAlign w:val="center"/>
          </w:tcPr>
          <w:p w:rsidR="007E60D0" w:rsidRDefault="007E60D0">
            <w:pPr>
              <w:snapToGrid w:val="0"/>
              <w:jc w:val="center"/>
              <w:rPr>
                <w:sz w:val="22"/>
                <w:szCs w:val="22"/>
              </w:rPr>
            </w:pPr>
            <w:r>
              <w:rPr>
                <w:sz w:val="22"/>
                <w:szCs w:val="22"/>
              </w:rPr>
              <w:t>92,85</w:t>
            </w:r>
          </w:p>
        </w:tc>
        <w:tc>
          <w:tcPr>
            <w:tcW w:w="851" w:type="dxa"/>
            <w:tcBorders>
              <w:left w:val="single" w:sz="4" w:space="0" w:color="000000"/>
              <w:bottom w:val="single" w:sz="4" w:space="0" w:color="000000"/>
            </w:tcBorders>
            <w:shd w:val="clear" w:color="auto" w:fill="FFFFFF"/>
            <w:vAlign w:val="center"/>
          </w:tcPr>
          <w:p w:rsidR="007E60D0" w:rsidRDefault="007E60D0">
            <w:pPr>
              <w:snapToGrid w:val="0"/>
              <w:jc w:val="center"/>
              <w:rPr>
                <w:sz w:val="22"/>
                <w:szCs w:val="22"/>
              </w:rPr>
            </w:pPr>
            <w:r>
              <w:rPr>
                <w:sz w:val="22"/>
                <w:szCs w:val="22"/>
              </w:rPr>
              <w:t>55,33</w:t>
            </w:r>
          </w:p>
        </w:tc>
        <w:tc>
          <w:tcPr>
            <w:tcW w:w="1275" w:type="dxa"/>
            <w:tcBorders>
              <w:left w:val="single" w:sz="4" w:space="0" w:color="000000"/>
              <w:bottom w:val="single" w:sz="4" w:space="0" w:color="000000"/>
            </w:tcBorders>
            <w:shd w:val="clear" w:color="auto" w:fill="FFFFFF"/>
            <w:vAlign w:val="center"/>
          </w:tcPr>
          <w:p w:rsidR="007E60D0" w:rsidRDefault="007E60D0">
            <w:pPr>
              <w:snapToGrid w:val="0"/>
              <w:jc w:val="center"/>
              <w:rPr>
                <w:b/>
                <w:bCs/>
                <w:sz w:val="22"/>
                <w:szCs w:val="22"/>
              </w:rPr>
            </w:pPr>
            <w:r>
              <w:rPr>
                <w:b/>
                <w:bCs/>
                <w:sz w:val="22"/>
                <w:szCs w:val="22"/>
              </w:rPr>
              <w:t>64,91</w:t>
            </w:r>
          </w:p>
        </w:tc>
        <w:tc>
          <w:tcPr>
            <w:tcW w:w="851" w:type="dxa"/>
            <w:tcBorders>
              <w:left w:val="single" w:sz="4" w:space="0" w:color="000000"/>
              <w:bottom w:val="single" w:sz="4" w:space="0" w:color="000000"/>
            </w:tcBorders>
            <w:shd w:val="clear" w:color="auto" w:fill="FFFFFF"/>
            <w:vAlign w:val="center"/>
          </w:tcPr>
          <w:p w:rsidR="007E60D0" w:rsidRDefault="007E60D0">
            <w:pPr>
              <w:snapToGrid w:val="0"/>
              <w:jc w:val="center"/>
              <w:rPr>
                <w:b/>
                <w:bCs/>
                <w:sz w:val="22"/>
                <w:szCs w:val="22"/>
              </w:rPr>
            </w:pPr>
            <w:r>
              <w:rPr>
                <w:b/>
                <w:bCs/>
                <w:sz w:val="22"/>
                <w:szCs w:val="22"/>
              </w:rPr>
              <w:t>191</w:t>
            </w:r>
          </w:p>
        </w:tc>
        <w:tc>
          <w:tcPr>
            <w:tcW w:w="1002" w:type="dxa"/>
            <w:tcBorders>
              <w:left w:val="single" w:sz="4" w:space="0" w:color="000000"/>
              <w:bottom w:val="single" w:sz="4" w:space="0" w:color="000000"/>
              <w:right w:val="single" w:sz="4" w:space="0" w:color="000000"/>
            </w:tcBorders>
            <w:shd w:val="clear" w:color="auto" w:fill="FFFFFF"/>
            <w:vAlign w:val="center"/>
          </w:tcPr>
          <w:p w:rsidR="007E60D0" w:rsidRDefault="007E60D0">
            <w:pPr>
              <w:snapToGrid w:val="0"/>
              <w:jc w:val="center"/>
              <w:rPr>
                <w:b/>
                <w:bCs/>
                <w:sz w:val="22"/>
                <w:szCs w:val="22"/>
              </w:rPr>
            </w:pPr>
            <w:r>
              <w:rPr>
                <w:b/>
                <w:bCs/>
                <w:sz w:val="22"/>
                <w:szCs w:val="22"/>
              </w:rPr>
              <w:t>2</w:t>
            </w:r>
          </w:p>
        </w:tc>
      </w:tr>
      <w:tr w:rsidR="007E60D0">
        <w:trPr>
          <w:trHeight w:val="420"/>
        </w:trPr>
        <w:tc>
          <w:tcPr>
            <w:tcW w:w="620" w:type="dxa"/>
            <w:tcBorders>
              <w:left w:val="single" w:sz="4" w:space="0" w:color="000000"/>
              <w:bottom w:val="single" w:sz="4" w:space="0" w:color="000000"/>
            </w:tcBorders>
            <w:shd w:val="clear" w:color="auto" w:fill="auto"/>
            <w:vAlign w:val="center"/>
          </w:tcPr>
          <w:p w:rsidR="007E60D0" w:rsidRDefault="007E60D0">
            <w:pPr>
              <w:snapToGrid w:val="0"/>
              <w:jc w:val="center"/>
              <w:rPr>
                <w:b/>
                <w:color w:val="000000"/>
                <w:sz w:val="22"/>
                <w:szCs w:val="22"/>
              </w:rPr>
            </w:pPr>
            <w:r>
              <w:rPr>
                <w:b/>
                <w:color w:val="000000"/>
                <w:sz w:val="22"/>
                <w:szCs w:val="22"/>
              </w:rPr>
              <w:t>2010</w:t>
            </w:r>
          </w:p>
        </w:tc>
        <w:tc>
          <w:tcPr>
            <w:tcW w:w="1200" w:type="dxa"/>
            <w:tcBorders>
              <w:left w:val="single" w:sz="4" w:space="0" w:color="000000"/>
              <w:bottom w:val="single" w:sz="4" w:space="0" w:color="000000"/>
            </w:tcBorders>
            <w:shd w:val="clear" w:color="auto" w:fill="FFFFFF"/>
            <w:vAlign w:val="center"/>
          </w:tcPr>
          <w:p w:rsidR="007E60D0" w:rsidRDefault="007E60D0">
            <w:pPr>
              <w:snapToGrid w:val="0"/>
              <w:jc w:val="center"/>
              <w:rPr>
                <w:sz w:val="22"/>
                <w:szCs w:val="22"/>
              </w:rPr>
            </w:pPr>
            <w:r>
              <w:rPr>
                <w:sz w:val="22"/>
                <w:szCs w:val="22"/>
              </w:rPr>
              <w:t>52,53</w:t>
            </w:r>
          </w:p>
        </w:tc>
        <w:tc>
          <w:tcPr>
            <w:tcW w:w="680" w:type="dxa"/>
            <w:tcBorders>
              <w:left w:val="single" w:sz="4" w:space="0" w:color="000000"/>
              <w:bottom w:val="single" w:sz="4" w:space="0" w:color="000000"/>
            </w:tcBorders>
            <w:shd w:val="clear" w:color="auto" w:fill="FFFFFF"/>
            <w:vAlign w:val="center"/>
          </w:tcPr>
          <w:p w:rsidR="007E60D0" w:rsidRDefault="007E60D0">
            <w:pPr>
              <w:snapToGrid w:val="0"/>
              <w:jc w:val="center"/>
              <w:rPr>
                <w:sz w:val="22"/>
                <w:szCs w:val="22"/>
              </w:rPr>
            </w:pPr>
            <w:r>
              <w:rPr>
                <w:sz w:val="22"/>
                <w:szCs w:val="22"/>
              </w:rPr>
              <w:t>5,08</w:t>
            </w:r>
          </w:p>
        </w:tc>
        <w:tc>
          <w:tcPr>
            <w:tcW w:w="1110" w:type="dxa"/>
            <w:tcBorders>
              <w:left w:val="single" w:sz="4" w:space="0" w:color="000000"/>
              <w:bottom w:val="single" w:sz="4" w:space="0" w:color="000000"/>
            </w:tcBorders>
            <w:shd w:val="clear" w:color="auto" w:fill="FFFFFF"/>
            <w:vAlign w:val="center"/>
          </w:tcPr>
          <w:p w:rsidR="007E60D0" w:rsidRDefault="007E60D0">
            <w:pPr>
              <w:snapToGrid w:val="0"/>
              <w:jc w:val="center"/>
              <w:rPr>
                <w:sz w:val="22"/>
                <w:szCs w:val="22"/>
              </w:rPr>
            </w:pPr>
            <w:r>
              <w:rPr>
                <w:sz w:val="22"/>
                <w:szCs w:val="22"/>
              </w:rPr>
              <w:t>62,99</w:t>
            </w:r>
          </w:p>
        </w:tc>
        <w:tc>
          <w:tcPr>
            <w:tcW w:w="1306" w:type="dxa"/>
            <w:tcBorders>
              <w:left w:val="single" w:sz="4" w:space="0" w:color="000000"/>
              <w:bottom w:val="single" w:sz="4" w:space="0" w:color="000000"/>
            </w:tcBorders>
            <w:shd w:val="clear" w:color="auto" w:fill="FFFFFF"/>
            <w:vAlign w:val="center"/>
          </w:tcPr>
          <w:p w:rsidR="007E60D0" w:rsidRDefault="007E60D0">
            <w:pPr>
              <w:snapToGrid w:val="0"/>
              <w:jc w:val="center"/>
              <w:rPr>
                <w:sz w:val="22"/>
                <w:szCs w:val="22"/>
              </w:rPr>
            </w:pPr>
            <w:r>
              <w:rPr>
                <w:sz w:val="22"/>
                <w:szCs w:val="22"/>
              </w:rPr>
              <w:t>88,64</w:t>
            </w:r>
          </w:p>
        </w:tc>
        <w:tc>
          <w:tcPr>
            <w:tcW w:w="1387" w:type="dxa"/>
            <w:tcBorders>
              <w:left w:val="single" w:sz="4" w:space="0" w:color="000000"/>
              <w:bottom w:val="single" w:sz="4" w:space="0" w:color="000000"/>
            </w:tcBorders>
            <w:shd w:val="clear" w:color="auto" w:fill="FFFFFF"/>
            <w:vAlign w:val="center"/>
          </w:tcPr>
          <w:p w:rsidR="007E60D0" w:rsidRDefault="007E60D0">
            <w:pPr>
              <w:snapToGrid w:val="0"/>
              <w:jc w:val="center"/>
              <w:rPr>
                <w:sz w:val="22"/>
                <w:szCs w:val="22"/>
              </w:rPr>
            </w:pPr>
            <w:r>
              <w:rPr>
                <w:sz w:val="22"/>
                <w:szCs w:val="22"/>
              </w:rPr>
              <w:t>90,40</w:t>
            </w:r>
          </w:p>
        </w:tc>
        <w:tc>
          <w:tcPr>
            <w:tcW w:w="851" w:type="dxa"/>
            <w:tcBorders>
              <w:left w:val="single" w:sz="4" w:space="0" w:color="000000"/>
              <w:bottom w:val="single" w:sz="4" w:space="0" w:color="000000"/>
            </w:tcBorders>
            <w:shd w:val="clear" w:color="auto" w:fill="FFFFFF"/>
            <w:vAlign w:val="center"/>
          </w:tcPr>
          <w:p w:rsidR="007E60D0" w:rsidRDefault="007E60D0">
            <w:pPr>
              <w:snapToGrid w:val="0"/>
              <w:jc w:val="center"/>
              <w:rPr>
                <w:sz w:val="22"/>
                <w:szCs w:val="22"/>
              </w:rPr>
            </w:pPr>
            <w:r>
              <w:rPr>
                <w:sz w:val="22"/>
                <w:szCs w:val="22"/>
              </w:rPr>
              <w:t>36,10</w:t>
            </w:r>
          </w:p>
        </w:tc>
        <w:tc>
          <w:tcPr>
            <w:tcW w:w="1275" w:type="dxa"/>
            <w:tcBorders>
              <w:left w:val="single" w:sz="4" w:space="0" w:color="000000"/>
              <w:bottom w:val="single" w:sz="4" w:space="0" w:color="000000"/>
            </w:tcBorders>
            <w:shd w:val="clear" w:color="auto" w:fill="FFFFFF"/>
            <w:vAlign w:val="center"/>
          </w:tcPr>
          <w:p w:rsidR="007E60D0" w:rsidRDefault="007E60D0">
            <w:pPr>
              <w:snapToGrid w:val="0"/>
              <w:jc w:val="center"/>
              <w:rPr>
                <w:b/>
                <w:bCs/>
                <w:sz w:val="22"/>
                <w:szCs w:val="22"/>
              </w:rPr>
            </w:pPr>
            <w:r>
              <w:rPr>
                <w:b/>
                <w:bCs/>
                <w:sz w:val="22"/>
                <w:szCs w:val="22"/>
              </w:rPr>
              <w:t>75,67</w:t>
            </w:r>
          </w:p>
        </w:tc>
        <w:tc>
          <w:tcPr>
            <w:tcW w:w="851" w:type="dxa"/>
            <w:tcBorders>
              <w:left w:val="single" w:sz="4" w:space="0" w:color="000000"/>
              <w:bottom w:val="single" w:sz="4" w:space="0" w:color="000000"/>
            </w:tcBorders>
            <w:shd w:val="clear" w:color="auto" w:fill="FFFFFF"/>
            <w:vAlign w:val="center"/>
          </w:tcPr>
          <w:p w:rsidR="007E60D0" w:rsidRDefault="007E60D0">
            <w:pPr>
              <w:snapToGrid w:val="0"/>
              <w:jc w:val="center"/>
              <w:rPr>
                <w:b/>
                <w:bCs/>
                <w:sz w:val="22"/>
                <w:szCs w:val="22"/>
              </w:rPr>
            </w:pPr>
            <w:r>
              <w:rPr>
                <w:b/>
                <w:bCs/>
                <w:sz w:val="22"/>
                <w:szCs w:val="22"/>
              </w:rPr>
              <w:t>170</w:t>
            </w:r>
          </w:p>
        </w:tc>
        <w:tc>
          <w:tcPr>
            <w:tcW w:w="1002" w:type="dxa"/>
            <w:tcBorders>
              <w:left w:val="single" w:sz="4" w:space="0" w:color="000000"/>
              <w:bottom w:val="single" w:sz="4" w:space="0" w:color="000000"/>
              <w:right w:val="single" w:sz="4" w:space="0" w:color="000000"/>
            </w:tcBorders>
            <w:shd w:val="clear" w:color="auto" w:fill="FFFFFF"/>
            <w:vAlign w:val="center"/>
          </w:tcPr>
          <w:p w:rsidR="007E60D0" w:rsidRDefault="007E60D0">
            <w:pPr>
              <w:snapToGrid w:val="0"/>
              <w:jc w:val="center"/>
              <w:rPr>
                <w:b/>
                <w:bCs/>
                <w:sz w:val="22"/>
                <w:szCs w:val="22"/>
              </w:rPr>
            </w:pPr>
            <w:r>
              <w:rPr>
                <w:b/>
                <w:bCs/>
                <w:sz w:val="22"/>
                <w:szCs w:val="22"/>
              </w:rPr>
              <w:t>4</w:t>
            </w:r>
          </w:p>
        </w:tc>
      </w:tr>
    </w:tbl>
    <w:p w:rsidR="007E60D0" w:rsidRDefault="007E60D0">
      <w:pPr>
        <w:jc w:val="both"/>
        <w:rPr>
          <w:color w:val="003300"/>
          <w:szCs w:val="24"/>
        </w:rPr>
      </w:pPr>
    </w:p>
    <w:p w:rsidR="007E60D0" w:rsidRDefault="007E60D0">
      <w:pPr>
        <w:pStyle w:val="Prrafodelista"/>
        <w:numPr>
          <w:ilvl w:val="0"/>
          <w:numId w:val="3"/>
        </w:numPr>
        <w:jc w:val="center"/>
        <w:rPr>
          <w:rFonts w:ascii="Times New Roman" w:hAnsi="Times New Roman" w:cs="Times New Roman"/>
          <w:b/>
          <w:sz w:val="28"/>
          <w:szCs w:val="28"/>
          <w:lang w:val="es-ES_tradnl"/>
        </w:rPr>
      </w:pPr>
      <w:r>
        <w:rPr>
          <w:rFonts w:ascii="Times New Roman" w:hAnsi="Times New Roman" w:cs="Times New Roman"/>
          <w:b/>
          <w:sz w:val="28"/>
          <w:szCs w:val="28"/>
          <w:lang w:val="es-ES_tradnl"/>
        </w:rPr>
        <w:lastRenderedPageBreak/>
        <w:t>PLAN FINANCIERO</w:t>
      </w:r>
    </w:p>
    <w:p w:rsidR="007E60D0" w:rsidRDefault="007E60D0">
      <w:pPr>
        <w:jc w:val="both"/>
        <w:rPr>
          <w:b/>
          <w:szCs w:val="24"/>
          <w:lang w:val="es-ES_tradnl"/>
        </w:rPr>
      </w:pPr>
    </w:p>
    <w:p w:rsidR="007E60D0" w:rsidRDefault="007E60D0">
      <w:pPr>
        <w:jc w:val="both"/>
        <w:rPr>
          <w:szCs w:val="24"/>
          <w:lang w:val="es-ES_tradnl"/>
        </w:rPr>
      </w:pPr>
      <w:r>
        <w:rPr>
          <w:szCs w:val="24"/>
          <w:lang w:val="es-ES_tradnl"/>
        </w:rPr>
        <w:t>El Plan Financiero del Municipio de Palermo, es un instrumento de planificación y gestión financiera del sector público, que tiene como base las operaciones efectivas de caja. Este Plan, toma en consideración la previsión de ingresos, gastos, déficit y su financiación compatibles con el programa anual de caja.</w:t>
      </w:r>
    </w:p>
    <w:p w:rsidR="007E60D0" w:rsidRDefault="007E60D0">
      <w:pPr>
        <w:jc w:val="both"/>
        <w:rPr>
          <w:szCs w:val="24"/>
          <w:lang w:val="es-ES_tradnl"/>
        </w:rPr>
      </w:pPr>
    </w:p>
    <w:p w:rsidR="007E60D0" w:rsidRDefault="007E60D0">
      <w:pPr>
        <w:jc w:val="both"/>
        <w:rPr>
          <w:szCs w:val="24"/>
          <w:lang w:val="es-ES_tradnl"/>
        </w:rPr>
      </w:pPr>
      <w:r>
        <w:rPr>
          <w:szCs w:val="24"/>
          <w:lang w:val="es-ES_tradnl"/>
        </w:rPr>
        <w:t>Este Plan, puede utilizarse como un instrumento de planificación, que partiendo de un diagnostico, determina objetivos, estrategias y metas de ingresos y gastos, para sanear las finanzas territoriales y lograr las metas del Plan de Desarrollo.</w:t>
      </w:r>
    </w:p>
    <w:p w:rsidR="007E60D0" w:rsidRDefault="007E60D0">
      <w:pPr>
        <w:jc w:val="both"/>
        <w:rPr>
          <w:szCs w:val="24"/>
          <w:lang w:val="es-ES_tradnl"/>
        </w:rPr>
      </w:pPr>
    </w:p>
    <w:p w:rsidR="007E60D0" w:rsidRDefault="007E60D0">
      <w:pPr>
        <w:jc w:val="both"/>
        <w:rPr>
          <w:szCs w:val="24"/>
          <w:lang w:val="es-ES_tradnl"/>
        </w:rPr>
      </w:pPr>
      <w:r>
        <w:rPr>
          <w:szCs w:val="24"/>
          <w:lang w:val="es-ES_tradnl"/>
        </w:rPr>
        <w:t>También al definir las metas máximas de pagos a efectuarse durante una vigencia fiscal, sirve de base para elaborar el Presupuesto Anual y el Plan Operativo Anual de Inversiones; por lo tanto es un componente fundamental del sistema presupuestal.</w:t>
      </w:r>
    </w:p>
    <w:p w:rsidR="007E60D0" w:rsidRDefault="007E60D0">
      <w:pPr>
        <w:rPr>
          <w:szCs w:val="24"/>
          <w:lang w:val="es-ES_tradnl"/>
        </w:rPr>
      </w:pPr>
    </w:p>
    <w:p w:rsidR="007E60D0" w:rsidRDefault="007E60D0">
      <w:pPr>
        <w:jc w:val="both"/>
        <w:rPr>
          <w:szCs w:val="24"/>
          <w:lang w:val="es-ES_tradnl"/>
        </w:rPr>
      </w:pPr>
      <w:r>
        <w:rPr>
          <w:szCs w:val="24"/>
          <w:lang w:val="es-ES_tradnl"/>
        </w:rPr>
        <w:t>Por lo anterior, el Plan Financiero debe estar regulado en el Estatuto de Presupuesto Municipal, siguiendo las disposiciones de la Ley orgánica de presupuesto. Mientras se expiden estas normas, se aplicará la ley orgánica de presupuesto en lo que fuere pertinente (artículo 109 del decreto 111 de 1996).</w:t>
      </w:r>
    </w:p>
    <w:p w:rsidR="007E60D0" w:rsidRDefault="007E60D0">
      <w:pPr>
        <w:jc w:val="both"/>
        <w:rPr>
          <w:szCs w:val="24"/>
          <w:lang w:val="es-ES_tradnl"/>
        </w:rPr>
      </w:pPr>
    </w:p>
    <w:p w:rsidR="007E60D0" w:rsidRDefault="007E60D0">
      <w:pPr>
        <w:jc w:val="center"/>
        <w:rPr>
          <w:b/>
          <w:szCs w:val="24"/>
          <w:lang w:val="es-ES_tradnl"/>
        </w:rPr>
      </w:pPr>
      <w:r>
        <w:rPr>
          <w:b/>
          <w:szCs w:val="24"/>
          <w:lang w:val="es-ES_tradnl"/>
        </w:rPr>
        <w:t>DIAGNOSTICO</w:t>
      </w:r>
    </w:p>
    <w:p w:rsidR="007E60D0" w:rsidRDefault="007E60D0">
      <w:pPr>
        <w:jc w:val="both"/>
        <w:rPr>
          <w:szCs w:val="24"/>
          <w:lang w:val="es-ES_tradnl"/>
        </w:rPr>
      </w:pPr>
    </w:p>
    <w:p w:rsidR="007E60D0" w:rsidRDefault="007E60D0">
      <w:pPr>
        <w:jc w:val="both"/>
        <w:rPr>
          <w:szCs w:val="24"/>
          <w:lang w:val="es-ES_tradnl"/>
        </w:rPr>
      </w:pPr>
      <w:r>
        <w:rPr>
          <w:szCs w:val="24"/>
          <w:lang w:val="es-ES_tradnl"/>
        </w:rPr>
        <w:t>Como todo proceso de planeación, se parte de un diagnóstico que permita detectar la problemática financiera, las oportunidades, amenazas, fortalezas y debilidades, en este sentido es necesario hacer un análisis de:</w:t>
      </w:r>
    </w:p>
    <w:p w:rsidR="007E60D0" w:rsidRDefault="007E60D0">
      <w:pPr>
        <w:jc w:val="both"/>
        <w:rPr>
          <w:szCs w:val="24"/>
          <w:lang w:val="es-ES_tradnl"/>
        </w:rPr>
      </w:pPr>
    </w:p>
    <w:p w:rsidR="007E60D0" w:rsidRDefault="007E60D0">
      <w:pPr>
        <w:jc w:val="both"/>
        <w:rPr>
          <w:b/>
          <w:szCs w:val="24"/>
          <w:lang w:val="es-ES_tradnl"/>
        </w:rPr>
      </w:pPr>
      <w:r>
        <w:rPr>
          <w:b/>
          <w:szCs w:val="24"/>
          <w:lang w:val="es-ES_tradnl"/>
        </w:rPr>
        <w:t>1.1</w:t>
      </w:r>
      <w:r>
        <w:rPr>
          <w:b/>
          <w:szCs w:val="24"/>
          <w:lang w:val="es-ES_tradnl"/>
        </w:rPr>
        <w:tab/>
        <w:t>Estructura de los Ingresos Municipales</w:t>
      </w:r>
    </w:p>
    <w:p w:rsidR="007E60D0" w:rsidRDefault="007E60D0">
      <w:pPr>
        <w:jc w:val="both"/>
        <w:rPr>
          <w:szCs w:val="24"/>
        </w:rPr>
      </w:pPr>
    </w:p>
    <w:p w:rsidR="007E60D0" w:rsidRDefault="007E60D0">
      <w:pPr>
        <w:jc w:val="both"/>
        <w:rPr>
          <w:b/>
          <w:szCs w:val="24"/>
        </w:rPr>
      </w:pPr>
      <w:r>
        <w:rPr>
          <w:szCs w:val="24"/>
        </w:rPr>
        <w:t>Se comienza con el análisis de ingresos porque se considera vital entender que la posibilidad de financiar determinado nivel de gasto sea de funcionamiento o de inversión depende de la capacidad para generar ingresos propios (impuestos principalmente), del monto de transferencias (Sistema General de Participaciones) y otros recursos que realmente puedan entrar a las arcas públicas</w:t>
      </w:r>
      <w:r>
        <w:rPr>
          <w:b/>
          <w:szCs w:val="24"/>
        </w:rPr>
        <w:t>.</w:t>
      </w:r>
    </w:p>
    <w:p w:rsidR="007E60D0" w:rsidRDefault="007E60D0">
      <w:pPr>
        <w:jc w:val="both"/>
        <w:rPr>
          <w:szCs w:val="24"/>
          <w:lang w:val="es-ES_tradnl"/>
        </w:rPr>
      </w:pPr>
    </w:p>
    <w:p w:rsidR="007E60D0" w:rsidRDefault="007E60D0">
      <w:pPr>
        <w:jc w:val="both"/>
        <w:rPr>
          <w:szCs w:val="24"/>
        </w:rPr>
      </w:pPr>
      <w:r>
        <w:rPr>
          <w:szCs w:val="24"/>
        </w:rPr>
        <w:t>La estructura de los ingresos de los municipios, se conforma de la siguiente manera:</w:t>
      </w:r>
    </w:p>
    <w:p w:rsidR="007E60D0" w:rsidRDefault="007E60D0">
      <w:pPr>
        <w:jc w:val="both"/>
        <w:rPr>
          <w:szCs w:val="24"/>
        </w:rPr>
      </w:pPr>
    </w:p>
    <w:p w:rsidR="007E60D0" w:rsidRDefault="007E60D0">
      <w:pPr>
        <w:jc w:val="both"/>
        <w:rPr>
          <w:szCs w:val="24"/>
        </w:rPr>
      </w:pPr>
      <w:r>
        <w:rPr>
          <w:b/>
          <w:szCs w:val="24"/>
        </w:rPr>
        <w:t>INGRESOS TOTALES:</w:t>
      </w:r>
      <w:r>
        <w:rPr>
          <w:szCs w:val="24"/>
        </w:rPr>
        <w:t xml:space="preserve"> Ingresos corrientes + ingresos de capital</w:t>
      </w:r>
    </w:p>
    <w:p w:rsidR="007E60D0" w:rsidRDefault="007E60D0">
      <w:pPr>
        <w:jc w:val="both"/>
        <w:rPr>
          <w:szCs w:val="24"/>
        </w:rPr>
      </w:pPr>
    </w:p>
    <w:p w:rsidR="007E60D0" w:rsidRDefault="007E60D0">
      <w:pPr>
        <w:jc w:val="both"/>
        <w:rPr>
          <w:szCs w:val="24"/>
        </w:rPr>
      </w:pPr>
      <w:r>
        <w:rPr>
          <w:b/>
          <w:szCs w:val="24"/>
        </w:rPr>
        <w:t>INGRESOS CORRIENTES:</w:t>
      </w:r>
      <w:r>
        <w:rPr>
          <w:szCs w:val="24"/>
        </w:rPr>
        <w:t xml:space="preserve"> Ingresos tributarios + ingresos no tributarios</w:t>
      </w:r>
    </w:p>
    <w:p w:rsidR="007E60D0" w:rsidRDefault="007E60D0">
      <w:pPr>
        <w:jc w:val="both"/>
        <w:rPr>
          <w:szCs w:val="24"/>
        </w:rPr>
      </w:pPr>
    </w:p>
    <w:p w:rsidR="007E60D0" w:rsidRDefault="007E60D0">
      <w:pPr>
        <w:jc w:val="both"/>
        <w:rPr>
          <w:szCs w:val="24"/>
        </w:rPr>
      </w:pPr>
      <w:r>
        <w:rPr>
          <w:b/>
          <w:szCs w:val="24"/>
        </w:rPr>
        <w:t>INGRESOS TRIBUTARIOS:</w:t>
      </w:r>
      <w:r>
        <w:rPr>
          <w:szCs w:val="24"/>
        </w:rPr>
        <w:t xml:space="preserve"> Impuestos directos + impuestos indirectos</w:t>
      </w:r>
    </w:p>
    <w:p w:rsidR="007E60D0" w:rsidRDefault="007E60D0">
      <w:pPr>
        <w:jc w:val="both"/>
        <w:rPr>
          <w:b/>
          <w:szCs w:val="24"/>
        </w:rPr>
      </w:pPr>
    </w:p>
    <w:p w:rsidR="007E60D0" w:rsidRDefault="007E60D0">
      <w:pPr>
        <w:jc w:val="both"/>
        <w:rPr>
          <w:szCs w:val="24"/>
        </w:rPr>
      </w:pPr>
      <w:r>
        <w:rPr>
          <w:b/>
          <w:szCs w:val="24"/>
        </w:rPr>
        <w:t>INGRESOS NO TRIBUTARIOS:</w:t>
      </w:r>
      <w:r>
        <w:rPr>
          <w:szCs w:val="24"/>
        </w:rPr>
        <w:t xml:space="preserve"> Tasas, multas, arriendos, alquiler de maquinaria y equipo, contribuciones, transferencias, fondos especiales, otros ingresos no tributarios.</w:t>
      </w:r>
    </w:p>
    <w:p w:rsidR="007E60D0" w:rsidRDefault="007E60D0">
      <w:pPr>
        <w:jc w:val="both"/>
        <w:rPr>
          <w:b/>
          <w:szCs w:val="24"/>
        </w:rPr>
      </w:pPr>
    </w:p>
    <w:p w:rsidR="007E60D0" w:rsidRDefault="007E60D0">
      <w:pPr>
        <w:jc w:val="both"/>
        <w:rPr>
          <w:szCs w:val="24"/>
        </w:rPr>
      </w:pPr>
      <w:r>
        <w:rPr>
          <w:b/>
          <w:szCs w:val="24"/>
        </w:rPr>
        <w:t>INGRESOS DE CAPITAL:</w:t>
      </w:r>
      <w:r>
        <w:rPr>
          <w:szCs w:val="24"/>
        </w:rPr>
        <w:t xml:space="preserve"> Fondo Nacional de Regalías, cofinanciación, regalías recursos del crédito, recursos del balance, rendimiento de inversiones financieras, donaciones, excedentes financieros, aprovechamientos, fondo de ahorro,  estabilización petrolera, otros ingresos de capital.</w:t>
      </w:r>
    </w:p>
    <w:p w:rsidR="007E60D0" w:rsidRDefault="007E60D0">
      <w:pPr>
        <w:jc w:val="both"/>
        <w:rPr>
          <w:szCs w:val="24"/>
        </w:rPr>
      </w:pPr>
    </w:p>
    <w:p w:rsidR="007E60D0" w:rsidRDefault="007E60D0">
      <w:pPr>
        <w:jc w:val="both"/>
        <w:rPr>
          <w:b/>
          <w:bCs/>
          <w:szCs w:val="24"/>
        </w:rPr>
      </w:pPr>
      <w:r>
        <w:rPr>
          <w:b/>
          <w:szCs w:val="24"/>
          <w:lang w:val="es-ES_tradnl"/>
        </w:rPr>
        <w:t>1.1.1</w:t>
      </w:r>
      <w:r>
        <w:rPr>
          <w:b/>
          <w:bCs/>
          <w:szCs w:val="24"/>
        </w:rPr>
        <w:t xml:space="preserve"> Estimación</w:t>
      </w:r>
    </w:p>
    <w:p w:rsidR="007E60D0" w:rsidRDefault="007E60D0">
      <w:pPr>
        <w:jc w:val="both"/>
        <w:rPr>
          <w:szCs w:val="24"/>
        </w:rPr>
      </w:pPr>
    </w:p>
    <w:p w:rsidR="007E60D0" w:rsidRDefault="007E60D0">
      <w:pPr>
        <w:jc w:val="both"/>
        <w:rPr>
          <w:szCs w:val="24"/>
        </w:rPr>
      </w:pPr>
      <w:r>
        <w:rPr>
          <w:szCs w:val="24"/>
        </w:rPr>
        <w:t>La estimación a diez años de los ingresos dependerá del tipo de recurso que entra a las arcas del municipio.</w:t>
      </w:r>
    </w:p>
    <w:p w:rsidR="007E60D0" w:rsidRDefault="007E60D0">
      <w:pPr>
        <w:jc w:val="both"/>
        <w:rPr>
          <w:szCs w:val="24"/>
        </w:rPr>
      </w:pPr>
    </w:p>
    <w:p w:rsidR="007E60D0" w:rsidRDefault="007E60D0">
      <w:pPr>
        <w:jc w:val="both"/>
        <w:rPr>
          <w:b/>
          <w:bCs/>
          <w:szCs w:val="24"/>
        </w:rPr>
      </w:pPr>
      <w:r>
        <w:rPr>
          <w:b/>
          <w:bCs/>
          <w:szCs w:val="24"/>
        </w:rPr>
        <w:t>a. Impuestos</w:t>
      </w:r>
    </w:p>
    <w:p w:rsidR="007E60D0" w:rsidRDefault="007E60D0">
      <w:pPr>
        <w:jc w:val="both"/>
        <w:rPr>
          <w:szCs w:val="24"/>
        </w:rPr>
      </w:pPr>
    </w:p>
    <w:p w:rsidR="007E60D0" w:rsidRDefault="007E60D0">
      <w:pPr>
        <w:jc w:val="both"/>
        <w:rPr>
          <w:szCs w:val="24"/>
        </w:rPr>
      </w:pPr>
      <w:r>
        <w:rPr>
          <w:szCs w:val="24"/>
        </w:rPr>
        <w:t>El procedimiento mínimo es realizar la proyección del ingreso con un criterio conservador; es decir, asumiendo que la renta mantendrá el comportamiento de las últimas vigencias o como mínimo se incrementará al ritmo de la inflación esperada que es del 3,5%. Además, es importante conocer su comportamiento estacional, es decir, como se ha distribuido mensualmente el recaudo dentro de las tres últimas vigencias.</w:t>
      </w:r>
    </w:p>
    <w:p w:rsidR="007E60D0" w:rsidRDefault="007E60D0">
      <w:pPr>
        <w:jc w:val="both"/>
        <w:rPr>
          <w:szCs w:val="24"/>
        </w:rPr>
      </w:pPr>
    </w:p>
    <w:p w:rsidR="007E60D0" w:rsidRDefault="007E60D0">
      <w:pPr>
        <w:jc w:val="both"/>
        <w:rPr>
          <w:szCs w:val="24"/>
        </w:rPr>
      </w:pPr>
      <w:r>
        <w:rPr>
          <w:szCs w:val="24"/>
        </w:rPr>
        <w:t>Revisada esta parte, se observa que la situación de estos tributos hace necesario establecer plenamente el potencial de contribuyentes y desde ahí identificar a aquellos que están cumpliendo plenamente con sus obligaciones. Al contar con la base potencial y con la parte que efectivamente paga el impuesto, es posible conocer a los evasores y morosos para definir la mejor manera a que contribuyan efectivamente y de esta forma recuperar cartera no cancelada en vigencias anteriores. Igualmente, es posible analizar la estructura de tarifas de los impuestos y comparar los resultados con la situación de otras entidades en condiciones socio – económicas similares.</w:t>
      </w:r>
    </w:p>
    <w:p w:rsidR="007E60D0" w:rsidRDefault="007E60D0">
      <w:pPr>
        <w:jc w:val="both"/>
        <w:rPr>
          <w:szCs w:val="24"/>
        </w:rPr>
      </w:pPr>
      <w:r>
        <w:rPr>
          <w:szCs w:val="24"/>
        </w:rPr>
        <w:t xml:space="preserve"> </w:t>
      </w:r>
    </w:p>
    <w:p w:rsidR="007E60D0" w:rsidRDefault="007E60D0">
      <w:pPr>
        <w:jc w:val="both"/>
        <w:rPr>
          <w:szCs w:val="24"/>
        </w:rPr>
      </w:pPr>
      <w:r>
        <w:rPr>
          <w:szCs w:val="24"/>
        </w:rPr>
        <w:t xml:space="preserve">Otra tarea que muestra excelentes resultados es revisar la bondad del proceso de discusión y cobro de cada impuesto; ello, para definir si el costo del recaudo es eficiente o si es posible fortalecer de alguna manera dicho proceso en la entidad. </w:t>
      </w:r>
    </w:p>
    <w:p w:rsidR="007E60D0" w:rsidRDefault="007E60D0">
      <w:pPr>
        <w:jc w:val="both"/>
        <w:rPr>
          <w:szCs w:val="24"/>
        </w:rPr>
      </w:pPr>
    </w:p>
    <w:p w:rsidR="007E60D0" w:rsidRDefault="007E60D0">
      <w:pPr>
        <w:jc w:val="both"/>
        <w:rPr>
          <w:szCs w:val="24"/>
        </w:rPr>
      </w:pPr>
      <w:r>
        <w:rPr>
          <w:szCs w:val="24"/>
        </w:rPr>
        <w:t>Hay que tener en cuenta que aunque la reforma de estatutos tributarios o el establecimiento de programas de fiscalización son las medidas por excelencia para el mejoramiento de los ingresos, el solo compromiso de la administración o la simple promulgación de las reformas no modifican los supuestos de la estimación de los impuestos. Estos últimos tan solo cambian como consecuencia de los resultados alcanzados en el nivel efectivo de recaudos.</w:t>
      </w:r>
    </w:p>
    <w:p w:rsidR="007E60D0" w:rsidRDefault="007E60D0">
      <w:pPr>
        <w:jc w:val="both"/>
        <w:rPr>
          <w:szCs w:val="24"/>
        </w:rPr>
      </w:pPr>
    </w:p>
    <w:p w:rsidR="007E60D0" w:rsidRDefault="007E60D0">
      <w:pPr>
        <w:jc w:val="both"/>
        <w:rPr>
          <w:b/>
          <w:bCs/>
          <w:szCs w:val="24"/>
        </w:rPr>
      </w:pPr>
      <w:r>
        <w:rPr>
          <w:b/>
          <w:bCs/>
          <w:szCs w:val="24"/>
        </w:rPr>
        <w:t>b. Ingresos no Tributarios</w:t>
      </w:r>
    </w:p>
    <w:p w:rsidR="007E60D0" w:rsidRDefault="007E60D0">
      <w:pPr>
        <w:jc w:val="both"/>
        <w:rPr>
          <w:szCs w:val="24"/>
        </w:rPr>
      </w:pPr>
      <w:r>
        <w:rPr>
          <w:szCs w:val="24"/>
        </w:rPr>
        <w:t>Se trata de ingresos como las tasas, las multas o los arrendamientos, que tienen libre destinación y generalmente participan con un porcentaje bastante pequeño de los ingresos propios del municipio.</w:t>
      </w:r>
    </w:p>
    <w:p w:rsidR="007E60D0" w:rsidRDefault="007E60D0">
      <w:pPr>
        <w:jc w:val="both"/>
        <w:rPr>
          <w:szCs w:val="24"/>
        </w:rPr>
      </w:pPr>
    </w:p>
    <w:p w:rsidR="007E60D0" w:rsidRDefault="007E60D0">
      <w:pPr>
        <w:jc w:val="both"/>
        <w:rPr>
          <w:szCs w:val="24"/>
        </w:rPr>
      </w:pPr>
      <w:r>
        <w:rPr>
          <w:szCs w:val="24"/>
        </w:rPr>
        <w:lastRenderedPageBreak/>
        <w:t>Esta situación es lamentable, pues se entiende que la primera justificación para iniciar un proceso de descentralización es la posibilidad de conseguir mayores niveles de eficiencia en la prestación de los servicios y los bienes públicos.</w:t>
      </w:r>
    </w:p>
    <w:p w:rsidR="007E60D0" w:rsidRDefault="007E60D0">
      <w:pPr>
        <w:jc w:val="both"/>
        <w:rPr>
          <w:szCs w:val="24"/>
        </w:rPr>
      </w:pPr>
    </w:p>
    <w:p w:rsidR="007E60D0" w:rsidRDefault="007E60D0">
      <w:pPr>
        <w:jc w:val="both"/>
        <w:rPr>
          <w:szCs w:val="24"/>
        </w:rPr>
      </w:pPr>
      <w:r>
        <w:rPr>
          <w:szCs w:val="24"/>
        </w:rPr>
        <w:t>La principal manera de aumentar el financiamiento propio del municipio, debiera ser a través de los pagos requeridos a quienes se favorecen directa e indirectamente - en algunos casos - con la prestación de los bienes y servicios públicos. Precisamente, son estos ingresos, los que se obtienen a través del cobro de tasas y tarifas.</w:t>
      </w:r>
    </w:p>
    <w:p w:rsidR="007E60D0" w:rsidRDefault="007E60D0">
      <w:pPr>
        <w:jc w:val="both"/>
        <w:rPr>
          <w:szCs w:val="24"/>
        </w:rPr>
      </w:pPr>
    </w:p>
    <w:p w:rsidR="007E60D0" w:rsidRDefault="007E60D0">
      <w:pPr>
        <w:jc w:val="both"/>
        <w:rPr>
          <w:szCs w:val="24"/>
        </w:rPr>
      </w:pPr>
      <w:r>
        <w:rPr>
          <w:szCs w:val="24"/>
        </w:rPr>
        <w:t>Respecto a la estimación de estas fuentes de ingresos, se recomienda un procedimiento similar al de los ingresos tributarios. Las proyecciones deben ser conservadoras o hacerse con la meta de inflación que es aproximadamente del 3,5%; es importante tener en cuenta la estacionalidad del recaudo y de manera adicional la puesta en marcha de procesos de fiscalización y cobro de los ingresos tributarios.</w:t>
      </w:r>
    </w:p>
    <w:p w:rsidR="007E60D0" w:rsidRDefault="007E60D0">
      <w:pPr>
        <w:jc w:val="both"/>
        <w:rPr>
          <w:szCs w:val="24"/>
        </w:rPr>
      </w:pPr>
    </w:p>
    <w:p w:rsidR="007E60D0" w:rsidRDefault="007E60D0">
      <w:pPr>
        <w:jc w:val="both"/>
        <w:rPr>
          <w:b/>
          <w:bCs/>
          <w:szCs w:val="24"/>
        </w:rPr>
      </w:pPr>
      <w:r>
        <w:rPr>
          <w:b/>
          <w:bCs/>
          <w:szCs w:val="24"/>
        </w:rPr>
        <w:t>c. Sistema General de Participaciones</w:t>
      </w:r>
    </w:p>
    <w:p w:rsidR="007E60D0" w:rsidRDefault="007E60D0">
      <w:pPr>
        <w:jc w:val="both"/>
        <w:rPr>
          <w:b/>
          <w:bCs/>
          <w:szCs w:val="24"/>
        </w:rPr>
      </w:pPr>
    </w:p>
    <w:p w:rsidR="007E60D0" w:rsidRDefault="007E60D0">
      <w:pPr>
        <w:jc w:val="both"/>
        <w:rPr>
          <w:szCs w:val="24"/>
        </w:rPr>
      </w:pPr>
      <w:r>
        <w:rPr>
          <w:szCs w:val="24"/>
        </w:rPr>
        <w:t>Los recursos que el nivel nacional transfiere y que hacen parte del sistema general de participaciones son una entrada externa, cuyos criterios de distribución están establecidos en la Constitución Política, en la Ley 715 de 2001 y en la Ley 1176 de 2007. Con dichos criterios el Departamento Nacional de Planeación anualmente realiza la distribución de los recursos. Por ello, la mejor alternativa para estimar estos ingresos la constituye conocer las reglas básicas contenidas en las normas mencionadas e indagar por las estimaciones que al respecto haga el DNP.</w:t>
      </w:r>
    </w:p>
    <w:p w:rsidR="007E60D0" w:rsidRDefault="007E60D0">
      <w:pPr>
        <w:jc w:val="both"/>
        <w:rPr>
          <w:szCs w:val="24"/>
        </w:rPr>
      </w:pPr>
    </w:p>
    <w:p w:rsidR="007E60D0" w:rsidRDefault="007E60D0">
      <w:pPr>
        <w:jc w:val="both"/>
        <w:rPr>
          <w:szCs w:val="24"/>
        </w:rPr>
      </w:pPr>
      <w:r>
        <w:rPr>
          <w:szCs w:val="24"/>
        </w:rPr>
        <w:t>Aunque proyectar con la inflación esperada siempre es un recurso, puede afinarse la estimación tomando en cuenta que los criterios de distribución del sistema están determinados por elementos estructurales. Por ejemplo, la población atendida, la población por atender, la equidad en el caso de la participación de educación; la pobreza relativa, la proporción entre población urbana y rural, la eficiencia fiscal y eficiencia administrativa en el caso de la participación de propósito general.</w:t>
      </w:r>
    </w:p>
    <w:p w:rsidR="007E60D0" w:rsidRDefault="007E60D0">
      <w:pPr>
        <w:jc w:val="both"/>
        <w:rPr>
          <w:szCs w:val="24"/>
        </w:rPr>
      </w:pPr>
    </w:p>
    <w:p w:rsidR="007E60D0" w:rsidRDefault="007E60D0">
      <w:pPr>
        <w:jc w:val="both"/>
        <w:rPr>
          <w:szCs w:val="24"/>
        </w:rPr>
      </w:pPr>
      <w:r>
        <w:rPr>
          <w:szCs w:val="24"/>
        </w:rPr>
        <w:t>Finalmente, es importante tener en cuenta que el Acto Legislativo 04 de 2007 modificó los artículos 356 y 357 de la Constitución Política y que la Ley 1176 de 2007 desarrolló dicho acto legislativo, lo que implica cambios frente a la Ley 715 de 2001. Las reformas traen nuevos elementos como atención integral a la primera infancia, participación específica para agua potable y saneamiento básico.</w:t>
      </w:r>
    </w:p>
    <w:p w:rsidR="007E60D0" w:rsidRDefault="007E60D0">
      <w:pPr>
        <w:jc w:val="both"/>
        <w:rPr>
          <w:szCs w:val="24"/>
        </w:rPr>
      </w:pPr>
    </w:p>
    <w:p w:rsidR="007E60D0" w:rsidRDefault="007E60D0">
      <w:pPr>
        <w:jc w:val="both"/>
        <w:rPr>
          <w:szCs w:val="24"/>
        </w:rPr>
      </w:pPr>
      <w:r>
        <w:rPr>
          <w:szCs w:val="24"/>
        </w:rPr>
        <w:t>En esta parte, es importante tener cuidado respecto a establecer la categoría sexta del municipio y enviar el decreto a través del cual se asume la misma al Ministerio del Interior para constituir el monto de la asignación de los recursos del sistema general de participación en la cuenta del FONPET. Al respecto, el artículo 22 de la Ley 1176 de 2007 establece:</w:t>
      </w:r>
    </w:p>
    <w:p w:rsidR="007E60D0" w:rsidRDefault="007E60D0">
      <w:pPr>
        <w:jc w:val="both"/>
        <w:rPr>
          <w:szCs w:val="24"/>
        </w:rPr>
      </w:pPr>
    </w:p>
    <w:p w:rsidR="007E60D0" w:rsidRDefault="007E60D0">
      <w:pPr>
        <w:jc w:val="both"/>
        <w:rPr>
          <w:szCs w:val="24"/>
        </w:rPr>
      </w:pPr>
      <w:r>
        <w:rPr>
          <w:szCs w:val="24"/>
        </w:rPr>
        <w:lastRenderedPageBreak/>
        <w:t>“En caso de que la categoría de un Distrito o Municipio no pueda ser certificada por el Ministerio del Interior y Justicia y no se encuentre en la categorización expedida por la Contaduría General de la Nación, se considerará la categoría certificada por dichas entidades para la vigencia anterior, y en última instancia, el Departamento Nacional de Planeación procederá a estimar dicha categoría, la cual, en este caso, solo tendrá efectos para la distribución del porcentaje destinado al Fonpet de que trata el artículo anterior”.</w:t>
      </w:r>
    </w:p>
    <w:p w:rsidR="007E60D0" w:rsidRDefault="007E60D0">
      <w:pPr>
        <w:jc w:val="both"/>
        <w:rPr>
          <w:szCs w:val="24"/>
        </w:rPr>
      </w:pPr>
    </w:p>
    <w:p w:rsidR="007E60D0" w:rsidRDefault="007E60D0">
      <w:pPr>
        <w:jc w:val="both"/>
        <w:rPr>
          <w:b/>
          <w:bCs/>
          <w:szCs w:val="24"/>
        </w:rPr>
      </w:pPr>
      <w:r>
        <w:rPr>
          <w:b/>
          <w:bCs/>
          <w:szCs w:val="24"/>
        </w:rPr>
        <w:t>d. Otros</w:t>
      </w:r>
    </w:p>
    <w:p w:rsidR="007E60D0" w:rsidRDefault="007E60D0">
      <w:pPr>
        <w:jc w:val="both"/>
        <w:rPr>
          <w:b/>
          <w:bCs/>
          <w:szCs w:val="24"/>
        </w:rPr>
      </w:pPr>
    </w:p>
    <w:p w:rsidR="007E60D0" w:rsidRDefault="007E60D0">
      <w:pPr>
        <w:jc w:val="both"/>
        <w:rPr>
          <w:szCs w:val="24"/>
        </w:rPr>
      </w:pPr>
      <w:r>
        <w:rPr>
          <w:szCs w:val="24"/>
        </w:rPr>
        <w:t>No se debe proyectar ingresos provenientes de contrapartidas cuyos desembolsos no hayan sido plenamente aprobados. Los recursos por este concepto dependen de la gestión que se haga, misma que comienza por la inscripción de los proyectos en el Banco de Proyectos de inversión.</w:t>
      </w:r>
    </w:p>
    <w:p w:rsidR="007E60D0" w:rsidRDefault="007E60D0">
      <w:pPr>
        <w:jc w:val="both"/>
        <w:rPr>
          <w:szCs w:val="24"/>
        </w:rPr>
      </w:pPr>
    </w:p>
    <w:p w:rsidR="007E60D0" w:rsidRDefault="007E60D0">
      <w:pPr>
        <w:jc w:val="both"/>
        <w:rPr>
          <w:szCs w:val="24"/>
        </w:rPr>
      </w:pPr>
      <w:r>
        <w:rPr>
          <w:szCs w:val="24"/>
        </w:rPr>
        <w:t>Una fuente de ingresos que es necesario explorar es el cobro de cuotas partes pensiónales. Al respecto, se pide al municipio tener en cuenta que la gestión que hagan en este sentido está directamente relacionada con la financiación de mesadas pensiónales hoy a su cargo. El efecto más importante de hacerlo es la liberación de una porción de los ingresos corrientes de libre destinación, porcentaje que pueden orientar a sanear sus finanzas o a complementar la financiación de gastos que garanticen el desarrollo de sus comunidades.</w:t>
      </w:r>
    </w:p>
    <w:p w:rsidR="007E60D0" w:rsidRDefault="007E60D0">
      <w:pPr>
        <w:jc w:val="both"/>
        <w:rPr>
          <w:szCs w:val="24"/>
        </w:rPr>
      </w:pPr>
    </w:p>
    <w:p w:rsidR="007E60D0" w:rsidRDefault="007E60D0">
      <w:pPr>
        <w:jc w:val="both"/>
        <w:rPr>
          <w:b/>
          <w:bCs/>
          <w:szCs w:val="24"/>
        </w:rPr>
      </w:pPr>
      <w:r>
        <w:rPr>
          <w:b/>
          <w:szCs w:val="24"/>
          <w:lang w:val="es-ES_tradnl"/>
        </w:rPr>
        <w:t>1.1.2</w:t>
      </w:r>
      <w:r>
        <w:rPr>
          <w:b/>
          <w:bCs/>
          <w:szCs w:val="24"/>
        </w:rPr>
        <w:t xml:space="preserve"> Diferenciar Usos Posibles</w:t>
      </w:r>
    </w:p>
    <w:p w:rsidR="007E60D0" w:rsidRDefault="007E60D0">
      <w:pPr>
        <w:jc w:val="both"/>
        <w:rPr>
          <w:b/>
          <w:bCs/>
          <w:szCs w:val="24"/>
        </w:rPr>
      </w:pPr>
    </w:p>
    <w:p w:rsidR="007E60D0" w:rsidRDefault="007E60D0">
      <w:pPr>
        <w:jc w:val="both"/>
        <w:rPr>
          <w:szCs w:val="24"/>
        </w:rPr>
      </w:pPr>
      <w:r>
        <w:rPr>
          <w:szCs w:val="24"/>
        </w:rPr>
        <w:t>Es importante tener en cuenta que salvo los ingresos corrientes de libre destinación, las otras fuentes de ingreso del municipio tienen una destinación específica dada desde la Constitución Política en algunos casos o desde las leyes, ordenanzas o acuerdos en otros.</w:t>
      </w:r>
    </w:p>
    <w:p w:rsidR="007E60D0" w:rsidRDefault="007E60D0">
      <w:pPr>
        <w:jc w:val="both"/>
        <w:rPr>
          <w:szCs w:val="24"/>
        </w:rPr>
      </w:pPr>
    </w:p>
    <w:p w:rsidR="007E60D0" w:rsidRDefault="007E60D0">
      <w:pPr>
        <w:jc w:val="both"/>
        <w:rPr>
          <w:b/>
          <w:bCs/>
          <w:szCs w:val="24"/>
        </w:rPr>
      </w:pPr>
      <w:r>
        <w:rPr>
          <w:b/>
          <w:bCs/>
          <w:szCs w:val="24"/>
        </w:rPr>
        <w:t>a. Ingresos de libre destinación</w:t>
      </w:r>
    </w:p>
    <w:p w:rsidR="007E60D0" w:rsidRDefault="007E60D0">
      <w:pPr>
        <w:jc w:val="both"/>
        <w:rPr>
          <w:b/>
          <w:bCs/>
          <w:szCs w:val="24"/>
        </w:rPr>
      </w:pPr>
    </w:p>
    <w:p w:rsidR="007E60D0" w:rsidRDefault="007E60D0">
      <w:pPr>
        <w:jc w:val="both"/>
        <w:rPr>
          <w:szCs w:val="24"/>
        </w:rPr>
      </w:pPr>
      <w:r>
        <w:rPr>
          <w:szCs w:val="24"/>
        </w:rPr>
        <w:t xml:space="preserve">Son aquellos recursos cuyo uso no está direccionado desde la Constitución, la Ley o acto administrativo de la entidad territorial. Normalmente están constituidos por los ingresos propios (generados autónomamente) de origen tributario y no tributario. En los municipios de categorías 5ª se puede contar además con el 42% de la participación de propósito general. </w:t>
      </w:r>
    </w:p>
    <w:p w:rsidR="007E60D0" w:rsidRDefault="007E60D0">
      <w:pPr>
        <w:jc w:val="both"/>
        <w:rPr>
          <w:szCs w:val="24"/>
        </w:rPr>
      </w:pPr>
    </w:p>
    <w:p w:rsidR="007E60D0" w:rsidRDefault="007E60D0">
      <w:pPr>
        <w:jc w:val="both"/>
        <w:rPr>
          <w:szCs w:val="24"/>
        </w:rPr>
      </w:pPr>
      <w:r>
        <w:rPr>
          <w:szCs w:val="24"/>
        </w:rPr>
        <w:t xml:space="preserve">Estos ingresos se pueden utilizar para financiar el gasto de funcionamiento en los porcentajes establecidos por la Ley 617 de 2000, límites que dependen de la categoría del municipio. </w:t>
      </w:r>
    </w:p>
    <w:p w:rsidR="007E60D0" w:rsidRDefault="007E60D0">
      <w:pPr>
        <w:jc w:val="both"/>
        <w:rPr>
          <w:szCs w:val="24"/>
        </w:rPr>
      </w:pPr>
    </w:p>
    <w:p w:rsidR="007E60D0" w:rsidRDefault="007E60D0">
      <w:pPr>
        <w:jc w:val="both"/>
        <w:rPr>
          <w:szCs w:val="24"/>
        </w:rPr>
      </w:pPr>
      <w:r>
        <w:rPr>
          <w:szCs w:val="24"/>
        </w:rPr>
        <w:t>La parte de estos ingresos que no se emplean en sufragar gasto de funcionamiento, se puede utilizar para financiar la cancelación de pasivos acumulados de vigencias anteriores y / o gastos de inversión.</w:t>
      </w:r>
    </w:p>
    <w:p w:rsidR="007E60D0" w:rsidRDefault="007E60D0">
      <w:pPr>
        <w:jc w:val="both"/>
        <w:rPr>
          <w:b/>
          <w:bCs/>
          <w:szCs w:val="24"/>
        </w:rPr>
      </w:pPr>
    </w:p>
    <w:p w:rsidR="007E60D0" w:rsidRDefault="007E60D0">
      <w:pPr>
        <w:jc w:val="both"/>
        <w:rPr>
          <w:b/>
          <w:bCs/>
          <w:szCs w:val="24"/>
        </w:rPr>
      </w:pPr>
      <w:r>
        <w:rPr>
          <w:b/>
          <w:bCs/>
          <w:szCs w:val="24"/>
        </w:rPr>
        <w:t>b. Ingresos con Destinación Específica</w:t>
      </w:r>
    </w:p>
    <w:p w:rsidR="007E60D0" w:rsidRDefault="007E60D0">
      <w:pPr>
        <w:jc w:val="both"/>
        <w:rPr>
          <w:szCs w:val="24"/>
        </w:rPr>
      </w:pPr>
    </w:p>
    <w:p w:rsidR="007E60D0" w:rsidRDefault="007E60D0">
      <w:pPr>
        <w:jc w:val="both"/>
        <w:rPr>
          <w:szCs w:val="24"/>
        </w:rPr>
      </w:pPr>
      <w:r>
        <w:rPr>
          <w:szCs w:val="24"/>
        </w:rPr>
        <w:t>Se trata de aquellas fuentes de ingresos cuyo recaudo ha sido destinado desde la Constitución, las Leyes de la República y en algunos casos desde Acuerdos, a financiar sectores específicos normalmente en inversión. Entre éstos tenemos:</w:t>
      </w:r>
    </w:p>
    <w:p w:rsidR="007E60D0" w:rsidRDefault="007E60D0">
      <w:pPr>
        <w:jc w:val="both"/>
        <w:rPr>
          <w:b/>
          <w:bCs/>
          <w:szCs w:val="24"/>
        </w:rPr>
      </w:pPr>
    </w:p>
    <w:p w:rsidR="007E60D0" w:rsidRDefault="007E60D0">
      <w:pPr>
        <w:jc w:val="both"/>
        <w:rPr>
          <w:b/>
          <w:bCs/>
          <w:szCs w:val="24"/>
        </w:rPr>
      </w:pPr>
      <w:r>
        <w:rPr>
          <w:b/>
          <w:bCs/>
          <w:szCs w:val="24"/>
        </w:rPr>
        <w:t>b.1. Con destinación forzosa a inversión</w:t>
      </w:r>
    </w:p>
    <w:p w:rsidR="007E60D0" w:rsidRDefault="007E60D0">
      <w:pPr>
        <w:jc w:val="both"/>
        <w:rPr>
          <w:b/>
          <w:bCs/>
          <w:szCs w:val="24"/>
        </w:rPr>
      </w:pPr>
    </w:p>
    <w:p w:rsidR="007E60D0" w:rsidRDefault="007E60D0">
      <w:pPr>
        <w:jc w:val="both"/>
        <w:rPr>
          <w:szCs w:val="24"/>
        </w:rPr>
      </w:pPr>
      <w:r>
        <w:rPr>
          <w:szCs w:val="24"/>
        </w:rPr>
        <w:t>Es el caso de los recursos del Sistema General de Participaciones que han sido orientados exclusivamente a sufragar gasto social en educación y salud, agua potable y saneamiento básico, cultura, recreación, deporte y FONPET y cuya utilización y porcentajes de destinación está claramente reglamentada en las Leyes 549 de 1999, 715 de 2001, 863 de 2003 y 1176 de 2007.</w:t>
      </w:r>
    </w:p>
    <w:p w:rsidR="007E60D0" w:rsidRDefault="007E60D0">
      <w:pPr>
        <w:jc w:val="both"/>
        <w:rPr>
          <w:szCs w:val="24"/>
        </w:rPr>
      </w:pPr>
    </w:p>
    <w:p w:rsidR="007E60D0" w:rsidRDefault="007E60D0">
      <w:pPr>
        <w:jc w:val="both"/>
        <w:rPr>
          <w:szCs w:val="24"/>
        </w:rPr>
      </w:pPr>
      <w:r>
        <w:rPr>
          <w:szCs w:val="24"/>
        </w:rPr>
        <w:t>Se incluyen aquí los recursos que se puedan obtener por el esquema de contrapartida (los provenientes del Fondo Nacional de Regalías), las donaciones, los que tienen destinación exclusiva a financiar gastos en el sector salud (por ejemplo, los recursos del monopolio de juegos de suerte y azar, el porcentaje del impuesto al consumo de la cerveza, las transferencias de Etesa, etc.) últimos que se consideran como pertenecientes al Sistema de Seguridad Social en Salud y el 51% de los recursos del monopolio de licores que de acuerdo con el Decreto 4692 de 2005 deben ser destinados a la financiación de los servicios de salud y educación. En este apartado también es posible incluir el cobro de cuotas partes pensiónales.</w:t>
      </w:r>
    </w:p>
    <w:p w:rsidR="007E60D0" w:rsidRDefault="007E60D0">
      <w:pPr>
        <w:jc w:val="both"/>
        <w:rPr>
          <w:szCs w:val="24"/>
        </w:rPr>
      </w:pPr>
    </w:p>
    <w:p w:rsidR="007E60D0" w:rsidRDefault="007E60D0">
      <w:pPr>
        <w:jc w:val="both"/>
        <w:rPr>
          <w:b/>
          <w:bCs/>
          <w:szCs w:val="24"/>
        </w:rPr>
      </w:pPr>
      <w:r>
        <w:rPr>
          <w:b/>
          <w:bCs/>
          <w:szCs w:val="24"/>
        </w:rPr>
        <w:t>b.2 Reasignables</w:t>
      </w:r>
    </w:p>
    <w:p w:rsidR="007E60D0" w:rsidRDefault="007E60D0">
      <w:pPr>
        <w:jc w:val="both"/>
        <w:rPr>
          <w:szCs w:val="24"/>
        </w:rPr>
      </w:pPr>
    </w:p>
    <w:p w:rsidR="007E60D0" w:rsidRDefault="007E60D0">
      <w:pPr>
        <w:jc w:val="both"/>
        <w:rPr>
          <w:szCs w:val="24"/>
        </w:rPr>
      </w:pPr>
      <w:r>
        <w:rPr>
          <w:szCs w:val="24"/>
        </w:rPr>
        <w:t>Son aquellos recursos como las estampillas, el componente de libre inversión de la participación de propósito general del sistema general de participaciones o el producto de la venta de activos, entre otros, que han sido destinados por la Ley a financiar gastos en inversión social y otro tipo de gasto específico, pero que se diferencian de los de forzosa inversión porque el artículo 12 de la Ley 617 de 2000 autorizó a reorientarlos para financiar saneamiento fiscal de las entidades territoriales siempre y cuando se cumpla con ciertas reglas que tienen que ver con la adopción formal de un programa de saneamiento fiscal y financiero en el que sustente la necesidad y conveniencia de reorientar dichas rentas.</w:t>
      </w:r>
    </w:p>
    <w:p w:rsidR="007E60D0" w:rsidRDefault="007E60D0">
      <w:pPr>
        <w:jc w:val="both"/>
        <w:rPr>
          <w:szCs w:val="24"/>
        </w:rPr>
      </w:pPr>
    </w:p>
    <w:p w:rsidR="007E60D0" w:rsidRDefault="007E60D0">
      <w:pPr>
        <w:jc w:val="both"/>
        <w:rPr>
          <w:szCs w:val="24"/>
        </w:rPr>
      </w:pPr>
      <w:r>
        <w:rPr>
          <w:szCs w:val="24"/>
        </w:rPr>
        <w:t>El recaudo obtenido por la sobretasa a la gasolina, que es un ingreso de libre destinación, eventualmente también puede ser reorientado a financiar el saneamiento de la entidad territorial.</w:t>
      </w:r>
    </w:p>
    <w:p w:rsidR="007E60D0" w:rsidRDefault="007E60D0">
      <w:pPr>
        <w:jc w:val="both"/>
        <w:rPr>
          <w:b/>
          <w:bCs/>
          <w:szCs w:val="24"/>
        </w:rPr>
      </w:pPr>
    </w:p>
    <w:p w:rsidR="007E60D0" w:rsidRDefault="007E60D0">
      <w:pPr>
        <w:jc w:val="both"/>
        <w:rPr>
          <w:b/>
          <w:bCs/>
          <w:szCs w:val="24"/>
        </w:rPr>
      </w:pPr>
    </w:p>
    <w:p w:rsidR="007E60D0" w:rsidRDefault="007E60D0">
      <w:pPr>
        <w:jc w:val="both"/>
        <w:rPr>
          <w:b/>
          <w:bCs/>
          <w:szCs w:val="24"/>
        </w:rPr>
      </w:pPr>
      <w:r>
        <w:rPr>
          <w:b/>
          <w:bCs/>
          <w:szCs w:val="24"/>
        </w:rPr>
        <w:t>c. Otros ingresos</w:t>
      </w:r>
    </w:p>
    <w:p w:rsidR="007E60D0" w:rsidRDefault="007E60D0">
      <w:pPr>
        <w:jc w:val="both"/>
        <w:rPr>
          <w:szCs w:val="24"/>
        </w:rPr>
      </w:pPr>
    </w:p>
    <w:p w:rsidR="007E60D0" w:rsidRDefault="007E60D0">
      <w:pPr>
        <w:jc w:val="both"/>
        <w:rPr>
          <w:szCs w:val="24"/>
        </w:rPr>
      </w:pPr>
      <w:r>
        <w:rPr>
          <w:szCs w:val="24"/>
        </w:rPr>
        <w:t xml:space="preserve">En esta parte se quiere resaltar la existencia de recursos de capital que son producto de la gestión financiera de la entidad territorial y que están sujetos a factores externos que </w:t>
      </w:r>
      <w:r>
        <w:rPr>
          <w:szCs w:val="24"/>
        </w:rPr>
        <w:lastRenderedPageBreak/>
        <w:t>impiden que su estimación sea cierta. Se trata básicamente de los rendimientos financieros, la venta de activos, los excedentes financieros y las utilidades de las empresas municipales.</w:t>
      </w:r>
    </w:p>
    <w:p w:rsidR="007E60D0" w:rsidRDefault="007E60D0">
      <w:pPr>
        <w:jc w:val="both"/>
        <w:rPr>
          <w:szCs w:val="24"/>
        </w:rPr>
      </w:pPr>
    </w:p>
    <w:p w:rsidR="007E60D0" w:rsidRDefault="007E60D0">
      <w:pPr>
        <w:jc w:val="both"/>
        <w:rPr>
          <w:szCs w:val="24"/>
        </w:rPr>
      </w:pPr>
      <w:r>
        <w:rPr>
          <w:szCs w:val="24"/>
        </w:rPr>
        <w:t>Estos recursos por su naturaleza no son recurrentes y aunque pueden ser de libre destinación no deben soportar gasto corriente. La práctica fiscal no los acepta como soportes válidos de una estimación de gasto a mediano plazo, por lo que se recomienda no proyectarlos como fuente del marco fiscal de mediano plazo. Una vez estén en caja se podrán vincular a la financiación del gasto de inversión, pero no antes.</w:t>
      </w:r>
    </w:p>
    <w:p w:rsidR="007E60D0" w:rsidRDefault="007E60D0">
      <w:pPr>
        <w:jc w:val="both"/>
        <w:rPr>
          <w:szCs w:val="24"/>
          <w:lang w:val="es-ES_tradnl"/>
        </w:rPr>
      </w:pPr>
    </w:p>
    <w:p w:rsidR="007E60D0" w:rsidRDefault="007E60D0">
      <w:pPr>
        <w:jc w:val="both"/>
        <w:rPr>
          <w:szCs w:val="24"/>
          <w:lang w:val="es-ES_tradnl"/>
        </w:rPr>
      </w:pPr>
      <w:r>
        <w:rPr>
          <w:szCs w:val="24"/>
          <w:lang w:val="es-ES_tradnl"/>
        </w:rPr>
        <w:t xml:space="preserve">En el cuadro No.1 se puede observar el comportamiento de los ingresos del municipio durante las vigencias 2008, 2009 y 2010. </w:t>
      </w:r>
    </w:p>
    <w:p w:rsidR="007E60D0" w:rsidRDefault="007E60D0">
      <w:pPr>
        <w:jc w:val="both"/>
        <w:rPr>
          <w:szCs w:val="24"/>
          <w:lang w:val="es-ES_tradnl"/>
        </w:rPr>
      </w:pPr>
    </w:p>
    <w:p w:rsidR="007E60D0" w:rsidRDefault="007E60D0">
      <w:pPr>
        <w:jc w:val="both"/>
        <w:rPr>
          <w:szCs w:val="24"/>
          <w:lang w:val="es-ES_tradnl"/>
        </w:rPr>
      </w:pPr>
    </w:p>
    <w:tbl>
      <w:tblPr>
        <w:tblW w:w="0" w:type="auto"/>
        <w:tblInd w:w="70" w:type="dxa"/>
        <w:tblLayout w:type="fixed"/>
        <w:tblCellMar>
          <w:left w:w="70" w:type="dxa"/>
          <w:right w:w="70" w:type="dxa"/>
        </w:tblCellMar>
        <w:tblLook w:val="0000"/>
      </w:tblPr>
      <w:tblGrid>
        <w:gridCol w:w="2703"/>
        <w:gridCol w:w="1326"/>
        <w:gridCol w:w="1402"/>
        <w:gridCol w:w="1326"/>
        <w:gridCol w:w="20"/>
      </w:tblGrid>
      <w:tr w:rsidR="007E60D0">
        <w:trPr>
          <w:gridAfter w:val="1"/>
          <w:wAfter w:w="20" w:type="dxa"/>
          <w:trHeight w:val="270"/>
        </w:trPr>
        <w:tc>
          <w:tcPr>
            <w:tcW w:w="6757" w:type="dxa"/>
            <w:gridSpan w:val="4"/>
            <w:shd w:val="clear" w:color="auto" w:fill="auto"/>
            <w:vAlign w:val="bottom"/>
          </w:tcPr>
          <w:p w:rsidR="007E60D0" w:rsidRDefault="007E60D0">
            <w:pPr>
              <w:snapToGrid w:val="0"/>
              <w:jc w:val="center"/>
              <w:rPr>
                <w:b/>
                <w:bCs/>
                <w:color w:val="000000"/>
                <w:sz w:val="22"/>
                <w:szCs w:val="22"/>
              </w:rPr>
            </w:pPr>
            <w:r>
              <w:rPr>
                <w:b/>
                <w:bCs/>
                <w:color w:val="000000"/>
                <w:sz w:val="22"/>
                <w:szCs w:val="22"/>
              </w:rPr>
              <w:t>CUADRO No. 1</w:t>
            </w:r>
          </w:p>
        </w:tc>
      </w:tr>
      <w:tr w:rsidR="007E60D0">
        <w:trPr>
          <w:gridAfter w:val="1"/>
          <w:wAfter w:w="20" w:type="dxa"/>
          <w:trHeight w:val="330"/>
        </w:trPr>
        <w:tc>
          <w:tcPr>
            <w:tcW w:w="6757" w:type="dxa"/>
            <w:gridSpan w:val="4"/>
            <w:shd w:val="clear" w:color="auto" w:fill="auto"/>
            <w:vAlign w:val="bottom"/>
          </w:tcPr>
          <w:p w:rsidR="007E60D0" w:rsidRDefault="007E60D0">
            <w:pPr>
              <w:snapToGrid w:val="0"/>
              <w:jc w:val="center"/>
              <w:rPr>
                <w:b/>
                <w:bCs/>
                <w:color w:val="000000"/>
                <w:sz w:val="22"/>
                <w:szCs w:val="22"/>
              </w:rPr>
            </w:pPr>
            <w:r>
              <w:rPr>
                <w:b/>
                <w:bCs/>
                <w:color w:val="000000"/>
                <w:sz w:val="22"/>
                <w:szCs w:val="22"/>
              </w:rPr>
              <w:t>COMPORTAMIENTO DE LOS INGRESOS</w:t>
            </w:r>
          </w:p>
        </w:tc>
      </w:tr>
      <w:tr w:rsidR="007E60D0">
        <w:trPr>
          <w:gridAfter w:val="1"/>
          <w:wAfter w:w="20" w:type="dxa"/>
          <w:trHeight w:val="315"/>
        </w:trPr>
        <w:tc>
          <w:tcPr>
            <w:tcW w:w="6757" w:type="dxa"/>
            <w:gridSpan w:val="4"/>
            <w:shd w:val="clear" w:color="auto" w:fill="auto"/>
            <w:vAlign w:val="bottom"/>
          </w:tcPr>
          <w:p w:rsidR="007E60D0" w:rsidRDefault="007E60D0">
            <w:pPr>
              <w:snapToGrid w:val="0"/>
              <w:jc w:val="center"/>
              <w:rPr>
                <w:b/>
                <w:bCs/>
                <w:color w:val="000000"/>
                <w:sz w:val="22"/>
                <w:szCs w:val="22"/>
              </w:rPr>
            </w:pPr>
            <w:r>
              <w:rPr>
                <w:b/>
                <w:bCs/>
                <w:color w:val="000000"/>
                <w:sz w:val="22"/>
                <w:szCs w:val="22"/>
              </w:rPr>
              <w:t>ANALISIS VERTICAL</w:t>
            </w:r>
          </w:p>
        </w:tc>
      </w:tr>
      <w:tr w:rsidR="007E60D0">
        <w:trPr>
          <w:gridAfter w:val="1"/>
          <w:wAfter w:w="20" w:type="dxa"/>
          <w:trHeight w:val="270"/>
        </w:trPr>
        <w:tc>
          <w:tcPr>
            <w:tcW w:w="6757" w:type="dxa"/>
            <w:gridSpan w:val="4"/>
            <w:shd w:val="clear" w:color="auto" w:fill="auto"/>
            <w:vAlign w:val="bottom"/>
          </w:tcPr>
          <w:p w:rsidR="007E60D0" w:rsidRDefault="007E60D0">
            <w:pPr>
              <w:snapToGrid w:val="0"/>
              <w:jc w:val="center"/>
              <w:rPr>
                <w:b/>
                <w:bCs/>
                <w:color w:val="000000"/>
                <w:szCs w:val="22"/>
              </w:rPr>
            </w:pPr>
          </w:p>
        </w:tc>
      </w:tr>
      <w:tr w:rsidR="007E60D0">
        <w:trPr>
          <w:gridAfter w:val="1"/>
          <w:wAfter w:w="20" w:type="dxa"/>
          <w:trHeight w:val="270"/>
        </w:trPr>
        <w:tc>
          <w:tcPr>
            <w:tcW w:w="2703" w:type="dxa"/>
            <w:shd w:val="clear" w:color="auto" w:fill="auto"/>
            <w:vAlign w:val="bottom"/>
          </w:tcPr>
          <w:p w:rsidR="007E60D0" w:rsidRDefault="007E60D0">
            <w:pPr>
              <w:snapToGrid w:val="0"/>
              <w:rPr>
                <w:color w:val="000000"/>
                <w:szCs w:val="22"/>
              </w:rPr>
            </w:pPr>
          </w:p>
        </w:tc>
        <w:tc>
          <w:tcPr>
            <w:tcW w:w="1326" w:type="dxa"/>
            <w:shd w:val="clear" w:color="auto" w:fill="auto"/>
            <w:vAlign w:val="bottom"/>
          </w:tcPr>
          <w:p w:rsidR="007E60D0" w:rsidRDefault="007E60D0">
            <w:pPr>
              <w:snapToGrid w:val="0"/>
              <w:rPr>
                <w:color w:val="000000"/>
                <w:szCs w:val="22"/>
              </w:rPr>
            </w:pPr>
          </w:p>
        </w:tc>
        <w:tc>
          <w:tcPr>
            <w:tcW w:w="2728" w:type="dxa"/>
            <w:gridSpan w:val="2"/>
            <w:tcBorders>
              <w:bottom w:val="single" w:sz="8" w:space="0" w:color="000000"/>
            </w:tcBorders>
            <w:shd w:val="clear" w:color="auto" w:fill="auto"/>
            <w:vAlign w:val="bottom"/>
          </w:tcPr>
          <w:p w:rsidR="007E60D0" w:rsidRDefault="007E60D0">
            <w:pPr>
              <w:snapToGrid w:val="0"/>
              <w:rPr>
                <w:color w:val="000000"/>
                <w:sz w:val="22"/>
                <w:szCs w:val="22"/>
              </w:rPr>
            </w:pPr>
            <w:r>
              <w:rPr>
                <w:color w:val="000000"/>
                <w:sz w:val="22"/>
                <w:szCs w:val="22"/>
              </w:rPr>
              <w:t>( en miles de pesos)</w:t>
            </w:r>
          </w:p>
        </w:tc>
      </w:tr>
      <w:tr w:rsidR="007E60D0">
        <w:trPr>
          <w:trHeight w:val="270"/>
        </w:trPr>
        <w:tc>
          <w:tcPr>
            <w:tcW w:w="2703" w:type="dxa"/>
            <w:tcBorders>
              <w:top w:val="single" w:sz="8" w:space="0" w:color="000000"/>
              <w:left w:val="single" w:sz="8" w:space="0" w:color="000000"/>
              <w:bottom w:val="single" w:sz="8" w:space="0" w:color="000000"/>
            </w:tcBorders>
            <w:shd w:val="clear" w:color="auto" w:fill="auto"/>
            <w:vAlign w:val="bottom"/>
          </w:tcPr>
          <w:p w:rsidR="007E60D0" w:rsidRDefault="007E60D0">
            <w:pPr>
              <w:snapToGrid w:val="0"/>
              <w:rPr>
                <w:b/>
                <w:bCs/>
                <w:color w:val="000000"/>
                <w:sz w:val="22"/>
                <w:szCs w:val="22"/>
              </w:rPr>
            </w:pPr>
            <w:r>
              <w:rPr>
                <w:b/>
                <w:bCs/>
                <w:color w:val="000000"/>
                <w:sz w:val="22"/>
                <w:szCs w:val="22"/>
              </w:rPr>
              <w:t> </w:t>
            </w:r>
          </w:p>
        </w:tc>
        <w:tc>
          <w:tcPr>
            <w:tcW w:w="1326" w:type="dxa"/>
            <w:tcBorders>
              <w:top w:val="single" w:sz="8" w:space="0" w:color="000000"/>
              <w:left w:val="single" w:sz="8" w:space="0" w:color="000000"/>
              <w:bottom w:val="single" w:sz="8" w:space="0" w:color="000000"/>
            </w:tcBorders>
            <w:shd w:val="clear" w:color="auto" w:fill="auto"/>
            <w:vAlign w:val="bottom"/>
          </w:tcPr>
          <w:p w:rsidR="007E60D0" w:rsidRDefault="007E60D0">
            <w:pPr>
              <w:snapToGrid w:val="0"/>
              <w:jc w:val="center"/>
              <w:rPr>
                <w:b/>
                <w:bCs/>
                <w:color w:val="000000"/>
                <w:sz w:val="22"/>
                <w:szCs w:val="22"/>
              </w:rPr>
            </w:pPr>
            <w:r>
              <w:rPr>
                <w:b/>
                <w:bCs/>
                <w:color w:val="000000"/>
                <w:sz w:val="22"/>
                <w:szCs w:val="22"/>
              </w:rPr>
              <w:t>Año</w:t>
            </w:r>
          </w:p>
        </w:tc>
        <w:tc>
          <w:tcPr>
            <w:tcW w:w="1402" w:type="dxa"/>
            <w:tcBorders>
              <w:left w:val="single" w:sz="8" w:space="0" w:color="000000"/>
              <w:bottom w:val="single" w:sz="8" w:space="0" w:color="000000"/>
            </w:tcBorders>
            <w:shd w:val="clear" w:color="auto" w:fill="auto"/>
            <w:vAlign w:val="bottom"/>
          </w:tcPr>
          <w:p w:rsidR="007E60D0" w:rsidRDefault="007E60D0">
            <w:pPr>
              <w:snapToGrid w:val="0"/>
              <w:jc w:val="center"/>
              <w:rPr>
                <w:b/>
                <w:bCs/>
                <w:color w:val="000000"/>
                <w:sz w:val="22"/>
                <w:szCs w:val="22"/>
              </w:rPr>
            </w:pPr>
            <w:r>
              <w:rPr>
                <w:b/>
                <w:bCs/>
                <w:color w:val="000000"/>
                <w:sz w:val="22"/>
                <w:szCs w:val="22"/>
              </w:rPr>
              <w:t>Año</w:t>
            </w:r>
          </w:p>
        </w:tc>
        <w:tc>
          <w:tcPr>
            <w:tcW w:w="1346" w:type="dxa"/>
            <w:gridSpan w:val="2"/>
            <w:tcBorders>
              <w:left w:val="single" w:sz="8" w:space="0" w:color="000000"/>
              <w:bottom w:val="single" w:sz="8" w:space="0" w:color="000000"/>
              <w:right w:val="single" w:sz="8" w:space="0" w:color="000000"/>
            </w:tcBorders>
            <w:shd w:val="clear" w:color="auto" w:fill="auto"/>
            <w:vAlign w:val="bottom"/>
          </w:tcPr>
          <w:p w:rsidR="007E60D0" w:rsidRDefault="007E60D0">
            <w:pPr>
              <w:snapToGrid w:val="0"/>
              <w:jc w:val="center"/>
              <w:rPr>
                <w:b/>
                <w:bCs/>
                <w:color w:val="000000"/>
                <w:sz w:val="22"/>
                <w:szCs w:val="22"/>
              </w:rPr>
            </w:pPr>
            <w:r>
              <w:rPr>
                <w:b/>
                <w:bCs/>
                <w:color w:val="000000"/>
                <w:sz w:val="22"/>
                <w:szCs w:val="22"/>
              </w:rPr>
              <w:t>Año</w:t>
            </w:r>
          </w:p>
        </w:tc>
      </w:tr>
      <w:tr w:rsidR="007E60D0">
        <w:trPr>
          <w:trHeight w:val="270"/>
        </w:trPr>
        <w:tc>
          <w:tcPr>
            <w:tcW w:w="2703" w:type="dxa"/>
            <w:tcBorders>
              <w:left w:val="single" w:sz="8" w:space="0" w:color="000000"/>
              <w:bottom w:val="single" w:sz="8"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CONCEPTO</w:t>
            </w:r>
          </w:p>
        </w:tc>
        <w:tc>
          <w:tcPr>
            <w:tcW w:w="1326" w:type="dxa"/>
            <w:vMerge w:val="restart"/>
            <w:tcBorders>
              <w:left w:val="single" w:sz="8"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2008</w:t>
            </w:r>
          </w:p>
        </w:tc>
        <w:tc>
          <w:tcPr>
            <w:tcW w:w="1402" w:type="dxa"/>
            <w:vMerge w:val="restart"/>
            <w:tcBorders>
              <w:left w:val="single" w:sz="8"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2009</w:t>
            </w:r>
          </w:p>
        </w:tc>
        <w:tc>
          <w:tcPr>
            <w:tcW w:w="1346" w:type="dxa"/>
            <w:gridSpan w:val="2"/>
            <w:vMerge w:val="restart"/>
            <w:tcBorders>
              <w:left w:val="single" w:sz="8" w:space="0" w:color="000000"/>
              <w:right w:val="single" w:sz="8"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2010</w:t>
            </w:r>
          </w:p>
        </w:tc>
      </w:tr>
      <w:tr w:rsidR="007E60D0">
        <w:trPr>
          <w:trHeight w:val="270"/>
        </w:trPr>
        <w:tc>
          <w:tcPr>
            <w:tcW w:w="2703" w:type="dxa"/>
            <w:tcBorders>
              <w:left w:val="single" w:sz="8" w:space="0" w:color="000000"/>
              <w:bottom w:val="single" w:sz="8" w:space="0" w:color="000000"/>
            </w:tcBorders>
            <w:shd w:val="clear" w:color="auto" w:fill="auto"/>
            <w:vAlign w:val="center"/>
          </w:tcPr>
          <w:p w:rsidR="007E60D0" w:rsidRDefault="007E60D0">
            <w:pPr>
              <w:snapToGrid w:val="0"/>
              <w:jc w:val="center"/>
              <w:rPr>
                <w:color w:val="000000"/>
                <w:szCs w:val="22"/>
              </w:rPr>
            </w:pPr>
          </w:p>
        </w:tc>
        <w:tc>
          <w:tcPr>
            <w:tcW w:w="1326" w:type="dxa"/>
            <w:vMerge/>
            <w:tcBorders>
              <w:left w:val="single" w:sz="8" w:space="0" w:color="000000"/>
              <w:bottom w:val="single" w:sz="8" w:space="0" w:color="000000"/>
            </w:tcBorders>
            <w:shd w:val="clear" w:color="auto" w:fill="auto"/>
            <w:vAlign w:val="center"/>
          </w:tcPr>
          <w:p w:rsidR="007E60D0" w:rsidRDefault="007E60D0">
            <w:pPr>
              <w:snapToGrid w:val="0"/>
              <w:jc w:val="center"/>
              <w:rPr>
                <w:b/>
                <w:bCs/>
                <w:color w:val="000000"/>
                <w:szCs w:val="22"/>
              </w:rPr>
            </w:pPr>
          </w:p>
        </w:tc>
        <w:tc>
          <w:tcPr>
            <w:tcW w:w="1402" w:type="dxa"/>
            <w:vMerge/>
            <w:tcBorders>
              <w:left w:val="single" w:sz="8" w:space="0" w:color="000000"/>
              <w:bottom w:val="single" w:sz="8" w:space="0" w:color="000000"/>
            </w:tcBorders>
            <w:shd w:val="clear" w:color="auto" w:fill="auto"/>
            <w:vAlign w:val="center"/>
          </w:tcPr>
          <w:p w:rsidR="007E60D0" w:rsidRDefault="007E60D0">
            <w:pPr>
              <w:snapToGrid w:val="0"/>
              <w:jc w:val="center"/>
              <w:rPr>
                <w:b/>
                <w:bCs/>
                <w:color w:val="000000"/>
                <w:szCs w:val="22"/>
              </w:rPr>
            </w:pPr>
          </w:p>
        </w:tc>
        <w:tc>
          <w:tcPr>
            <w:tcW w:w="1346" w:type="dxa"/>
            <w:gridSpan w:val="2"/>
            <w:vMerge/>
            <w:tcBorders>
              <w:left w:val="single" w:sz="8" w:space="0" w:color="000000"/>
              <w:bottom w:val="single" w:sz="8" w:space="0" w:color="000000"/>
              <w:right w:val="single" w:sz="8" w:space="0" w:color="000000"/>
            </w:tcBorders>
            <w:shd w:val="clear" w:color="auto" w:fill="auto"/>
            <w:vAlign w:val="center"/>
          </w:tcPr>
          <w:p w:rsidR="007E60D0" w:rsidRDefault="007E60D0">
            <w:pPr>
              <w:snapToGrid w:val="0"/>
              <w:jc w:val="center"/>
              <w:rPr>
                <w:b/>
                <w:bCs/>
                <w:color w:val="000000"/>
                <w:szCs w:val="22"/>
              </w:rPr>
            </w:pPr>
          </w:p>
        </w:tc>
      </w:tr>
      <w:tr w:rsidR="007E60D0">
        <w:trPr>
          <w:trHeight w:val="330"/>
        </w:trPr>
        <w:tc>
          <w:tcPr>
            <w:tcW w:w="2703" w:type="dxa"/>
            <w:vMerge w:val="restart"/>
            <w:tcBorders>
              <w:left w:val="single" w:sz="8" w:space="0" w:color="000000"/>
              <w:bottom w:val="single" w:sz="8"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TOTAL INGRESOS</w:t>
            </w:r>
          </w:p>
        </w:tc>
        <w:tc>
          <w:tcPr>
            <w:tcW w:w="1326" w:type="dxa"/>
            <w:vMerge w:val="restart"/>
            <w:tcBorders>
              <w:left w:val="single" w:sz="8" w:space="0" w:color="000000"/>
              <w:bottom w:val="single" w:sz="8" w:space="0" w:color="000000"/>
            </w:tcBorders>
            <w:shd w:val="clear" w:color="auto" w:fill="auto"/>
            <w:vAlign w:val="center"/>
          </w:tcPr>
          <w:p w:rsidR="007E60D0" w:rsidRDefault="007E60D0">
            <w:pPr>
              <w:snapToGrid w:val="0"/>
              <w:jc w:val="center"/>
              <w:rPr>
                <w:sz w:val="22"/>
                <w:szCs w:val="22"/>
              </w:rPr>
            </w:pPr>
            <w:r>
              <w:rPr>
                <w:sz w:val="22"/>
                <w:szCs w:val="22"/>
              </w:rPr>
              <w:t>33.965</w:t>
            </w:r>
          </w:p>
        </w:tc>
        <w:tc>
          <w:tcPr>
            <w:tcW w:w="1402" w:type="dxa"/>
            <w:vMerge w:val="restart"/>
            <w:tcBorders>
              <w:left w:val="single" w:sz="4" w:space="0" w:color="000000"/>
              <w:bottom w:val="single" w:sz="8" w:space="0" w:color="000000"/>
            </w:tcBorders>
            <w:shd w:val="clear" w:color="auto" w:fill="auto"/>
            <w:vAlign w:val="center"/>
          </w:tcPr>
          <w:p w:rsidR="007E60D0" w:rsidRDefault="007E60D0">
            <w:pPr>
              <w:snapToGrid w:val="0"/>
              <w:jc w:val="center"/>
              <w:rPr>
                <w:sz w:val="22"/>
                <w:szCs w:val="22"/>
              </w:rPr>
            </w:pPr>
            <w:r>
              <w:rPr>
                <w:sz w:val="22"/>
                <w:szCs w:val="22"/>
              </w:rPr>
              <w:t>28.103</w:t>
            </w:r>
          </w:p>
        </w:tc>
        <w:tc>
          <w:tcPr>
            <w:tcW w:w="1346" w:type="dxa"/>
            <w:gridSpan w:val="2"/>
            <w:vMerge w:val="restart"/>
            <w:tcBorders>
              <w:left w:val="single" w:sz="4" w:space="0" w:color="000000"/>
              <w:bottom w:val="single" w:sz="8" w:space="0" w:color="000000"/>
              <w:right w:val="single" w:sz="8" w:space="0" w:color="000000"/>
            </w:tcBorders>
            <w:shd w:val="clear" w:color="auto" w:fill="auto"/>
            <w:vAlign w:val="center"/>
          </w:tcPr>
          <w:p w:rsidR="007E60D0" w:rsidRDefault="007E60D0">
            <w:pPr>
              <w:snapToGrid w:val="0"/>
              <w:jc w:val="center"/>
              <w:rPr>
                <w:sz w:val="22"/>
                <w:szCs w:val="22"/>
              </w:rPr>
            </w:pPr>
            <w:r>
              <w:rPr>
                <w:sz w:val="22"/>
                <w:szCs w:val="22"/>
              </w:rPr>
              <w:t>31.839</w:t>
            </w:r>
          </w:p>
        </w:tc>
      </w:tr>
      <w:tr w:rsidR="007E60D0">
        <w:trPr>
          <w:trHeight w:val="276"/>
        </w:trPr>
        <w:tc>
          <w:tcPr>
            <w:tcW w:w="2703" w:type="dxa"/>
            <w:vMerge/>
            <w:tcBorders>
              <w:left w:val="single" w:sz="8" w:space="0" w:color="000000"/>
              <w:bottom w:val="single" w:sz="8" w:space="0" w:color="000000"/>
            </w:tcBorders>
            <w:shd w:val="clear" w:color="auto" w:fill="auto"/>
            <w:vAlign w:val="center"/>
          </w:tcPr>
          <w:p w:rsidR="007E60D0" w:rsidRDefault="007E60D0">
            <w:pPr>
              <w:snapToGrid w:val="0"/>
              <w:jc w:val="center"/>
              <w:rPr>
                <w:b/>
                <w:bCs/>
                <w:color w:val="000000"/>
                <w:szCs w:val="22"/>
              </w:rPr>
            </w:pPr>
          </w:p>
        </w:tc>
        <w:tc>
          <w:tcPr>
            <w:tcW w:w="1326" w:type="dxa"/>
            <w:vMerge/>
            <w:tcBorders>
              <w:left w:val="single" w:sz="8" w:space="0" w:color="000000"/>
              <w:bottom w:val="single" w:sz="8" w:space="0" w:color="000000"/>
            </w:tcBorders>
            <w:shd w:val="clear" w:color="auto" w:fill="auto"/>
            <w:vAlign w:val="center"/>
          </w:tcPr>
          <w:p w:rsidR="007E60D0" w:rsidRDefault="007E60D0">
            <w:pPr>
              <w:snapToGrid w:val="0"/>
              <w:jc w:val="center"/>
              <w:rPr>
                <w:szCs w:val="22"/>
              </w:rPr>
            </w:pPr>
          </w:p>
        </w:tc>
        <w:tc>
          <w:tcPr>
            <w:tcW w:w="1402" w:type="dxa"/>
            <w:vMerge/>
            <w:tcBorders>
              <w:left w:val="single" w:sz="4" w:space="0" w:color="000000"/>
              <w:bottom w:val="single" w:sz="8" w:space="0" w:color="000000"/>
            </w:tcBorders>
            <w:shd w:val="clear" w:color="auto" w:fill="auto"/>
            <w:vAlign w:val="center"/>
          </w:tcPr>
          <w:p w:rsidR="007E60D0" w:rsidRDefault="007E60D0">
            <w:pPr>
              <w:snapToGrid w:val="0"/>
              <w:jc w:val="center"/>
              <w:rPr>
                <w:szCs w:val="22"/>
              </w:rPr>
            </w:pPr>
          </w:p>
        </w:tc>
        <w:tc>
          <w:tcPr>
            <w:tcW w:w="1346" w:type="dxa"/>
            <w:gridSpan w:val="2"/>
            <w:vMerge/>
            <w:tcBorders>
              <w:left w:val="single" w:sz="4" w:space="0" w:color="000000"/>
              <w:bottom w:val="single" w:sz="8" w:space="0" w:color="000000"/>
              <w:right w:val="single" w:sz="8" w:space="0" w:color="000000"/>
            </w:tcBorders>
            <w:shd w:val="clear" w:color="auto" w:fill="auto"/>
            <w:vAlign w:val="center"/>
          </w:tcPr>
          <w:p w:rsidR="007E60D0" w:rsidRDefault="007E60D0">
            <w:pPr>
              <w:snapToGrid w:val="0"/>
              <w:jc w:val="center"/>
              <w:rPr>
                <w:szCs w:val="22"/>
              </w:rPr>
            </w:pPr>
          </w:p>
        </w:tc>
      </w:tr>
      <w:tr w:rsidR="007E60D0">
        <w:trPr>
          <w:trHeight w:val="276"/>
        </w:trPr>
        <w:tc>
          <w:tcPr>
            <w:tcW w:w="2703" w:type="dxa"/>
            <w:vMerge w:val="restart"/>
            <w:tcBorders>
              <w:left w:val="single" w:sz="8" w:space="0" w:color="000000"/>
              <w:bottom w:val="single" w:sz="8"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INGRESOS CORRIENTES</w:t>
            </w:r>
          </w:p>
        </w:tc>
        <w:tc>
          <w:tcPr>
            <w:tcW w:w="1326" w:type="dxa"/>
            <w:vMerge w:val="restart"/>
            <w:tcBorders>
              <w:left w:val="single" w:sz="8" w:space="0" w:color="000000"/>
              <w:bottom w:val="single" w:sz="8" w:space="0" w:color="000000"/>
            </w:tcBorders>
            <w:shd w:val="clear" w:color="auto" w:fill="auto"/>
            <w:vAlign w:val="center"/>
          </w:tcPr>
          <w:p w:rsidR="007E60D0" w:rsidRDefault="007E60D0">
            <w:pPr>
              <w:snapToGrid w:val="0"/>
              <w:jc w:val="center"/>
              <w:rPr>
                <w:sz w:val="22"/>
                <w:szCs w:val="22"/>
              </w:rPr>
            </w:pPr>
            <w:r>
              <w:rPr>
                <w:sz w:val="22"/>
                <w:szCs w:val="22"/>
              </w:rPr>
              <w:t>4.627</w:t>
            </w:r>
          </w:p>
        </w:tc>
        <w:tc>
          <w:tcPr>
            <w:tcW w:w="1402" w:type="dxa"/>
            <w:vMerge w:val="restart"/>
            <w:tcBorders>
              <w:left w:val="single" w:sz="4" w:space="0" w:color="000000"/>
              <w:bottom w:val="single" w:sz="8" w:space="0" w:color="000000"/>
            </w:tcBorders>
            <w:shd w:val="clear" w:color="auto" w:fill="auto"/>
            <w:vAlign w:val="center"/>
          </w:tcPr>
          <w:p w:rsidR="007E60D0" w:rsidRDefault="007E60D0">
            <w:pPr>
              <w:snapToGrid w:val="0"/>
              <w:jc w:val="center"/>
              <w:rPr>
                <w:sz w:val="22"/>
                <w:szCs w:val="22"/>
              </w:rPr>
            </w:pPr>
            <w:r>
              <w:rPr>
                <w:sz w:val="22"/>
                <w:szCs w:val="22"/>
              </w:rPr>
              <w:t>5.260</w:t>
            </w:r>
          </w:p>
        </w:tc>
        <w:tc>
          <w:tcPr>
            <w:tcW w:w="1346" w:type="dxa"/>
            <w:gridSpan w:val="2"/>
            <w:vMerge w:val="restart"/>
            <w:tcBorders>
              <w:left w:val="single" w:sz="4" w:space="0" w:color="000000"/>
              <w:bottom w:val="single" w:sz="8" w:space="0" w:color="000000"/>
              <w:right w:val="single" w:sz="8" w:space="0" w:color="000000"/>
            </w:tcBorders>
            <w:shd w:val="clear" w:color="auto" w:fill="auto"/>
            <w:vAlign w:val="center"/>
          </w:tcPr>
          <w:p w:rsidR="007E60D0" w:rsidRDefault="007E60D0">
            <w:pPr>
              <w:snapToGrid w:val="0"/>
              <w:jc w:val="center"/>
              <w:rPr>
                <w:sz w:val="22"/>
                <w:szCs w:val="22"/>
              </w:rPr>
            </w:pPr>
            <w:r>
              <w:rPr>
                <w:sz w:val="22"/>
                <w:szCs w:val="22"/>
              </w:rPr>
              <w:t>5.229</w:t>
            </w:r>
          </w:p>
        </w:tc>
      </w:tr>
      <w:tr w:rsidR="007E60D0">
        <w:trPr>
          <w:trHeight w:val="276"/>
        </w:trPr>
        <w:tc>
          <w:tcPr>
            <w:tcW w:w="2703" w:type="dxa"/>
            <w:vMerge/>
            <w:tcBorders>
              <w:left w:val="single" w:sz="8" w:space="0" w:color="000000"/>
              <w:bottom w:val="single" w:sz="8" w:space="0" w:color="000000"/>
            </w:tcBorders>
            <w:shd w:val="clear" w:color="auto" w:fill="auto"/>
            <w:vAlign w:val="center"/>
          </w:tcPr>
          <w:p w:rsidR="007E60D0" w:rsidRDefault="007E60D0">
            <w:pPr>
              <w:snapToGrid w:val="0"/>
              <w:jc w:val="center"/>
              <w:rPr>
                <w:b/>
                <w:bCs/>
                <w:color w:val="000000"/>
                <w:szCs w:val="22"/>
              </w:rPr>
            </w:pPr>
          </w:p>
        </w:tc>
        <w:tc>
          <w:tcPr>
            <w:tcW w:w="1326" w:type="dxa"/>
            <w:vMerge/>
            <w:tcBorders>
              <w:left w:val="single" w:sz="8" w:space="0" w:color="000000"/>
              <w:bottom w:val="single" w:sz="8" w:space="0" w:color="000000"/>
            </w:tcBorders>
            <w:shd w:val="clear" w:color="auto" w:fill="auto"/>
            <w:vAlign w:val="center"/>
          </w:tcPr>
          <w:p w:rsidR="007E60D0" w:rsidRDefault="007E60D0">
            <w:pPr>
              <w:snapToGrid w:val="0"/>
              <w:jc w:val="center"/>
              <w:rPr>
                <w:szCs w:val="22"/>
              </w:rPr>
            </w:pPr>
          </w:p>
        </w:tc>
        <w:tc>
          <w:tcPr>
            <w:tcW w:w="1402" w:type="dxa"/>
            <w:vMerge/>
            <w:tcBorders>
              <w:left w:val="single" w:sz="4" w:space="0" w:color="000000"/>
              <w:bottom w:val="single" w:sz="8" w:space="0" w:color="000000"/>
            </w:tcBorders>
            <w:shd w:val="clear" w:color="auto" w:fill="auto"/>
            <w:vAlign w:val="center"/>
          </w:tcPr>
          <w:p w:rsidR="007E60D0" w:rsidRDefault="007E60D0">
            <w:pPr>
              <w:snapToGrid w:val="0"/>
              <w:jc w:val="center"/>
              <w:rPr>
                <w:szCs w:val="22"/>
              </w:rPr>
            </w:pPr>
          </w:p>
        </w:tc>
        <w:tc>
          <w:tcPr>
            <w:tcW w:w="1346" w:type="dxa"/>
            <w:gridSpan w:val="2"/>
            <w:vMerge/>
            <w:tcBorders>
              <w:left w:val="single" w:sz="4" w:space="0" w:color="000000"/>
              <w:bottom w:val="single" w:sz="8" w:space="0" w:color="000000"/>
              <w:right w:val="single" w:sz="8" w:space="0" w:color="000000"/>
            </w:tcBorders>
            <w:shd w:val="clear" w:color="auto" w:fill="auto"/>
            <w:vAlign w:val="center"/>
          </w:tcPr>
          <w:p w:rsidR="007E60D0" w:rsidRDefault="007E60D0">
            <w:pPr>
              <w:snapToGrid w:val="0"/>
              <w:jc w:val="center"/>
              <w:rPr>
                <w:szCs w:val="22"/>
              </w:rPr>
            </w:pPr>
          </w:p>
        </w:tc>
      </w:tr>
      <w:tr w:rsidR="007E60D0">
        <w:trPr>
          <w:trHeight w:val="276"/>
        </w:trPr>
        <w:tc>
          <w:tcPr>
            <w:tcW w:w="2703" w:type="dxa"/>
            <w:vMerge w:val="restart"/>
            <w:tcBorders>
              <w:left w:val="single" w:sz="8" w:space="0" w:color="000000"/>
              <w:bottom w:val="single" w:sz="8" w:space="0" w:color="000000"/>
            </w:tcBorders>
            <w:shd w:val="clear" w:color="auto" w:fill="auto"/>
            <w:vAlign w:val="center"/>
          </w:tcPr>
          <w:p w:rsidR="007E60D0" w:rsidRDefault="007E60D0">
            <w:pPr>
              <w:snapToGrid w:val="0"/>
              <w:jc w:val="center"/>
              <w:rPr>
                <w:color w:val="000000"/>
                <w:sz w:val="22"/>
                <w:szCs w:val="22"/>
              </w:rPr>
            </w:pPr>
            <w:r>
              <w:rPr>
                <w:color w:val="000000"/>
                <w:sz w:val="22"/>
                <w:szCs w:val="22"/>
              </w:rPr>
              <w:t>Ingresos Tributarios</w:t>
            </w:r>
          </w:p>
        </w:tc>
        <w:tc>
          <w:tcPr>
            <w:tcW w:w="1326" w:type="dxa"/>
            <w:vMerge w:val="restart"/>
            <w:tcBorders>
              <w:left w:val="single" w:sz="8" w:space="0" w:color="000000"/>
              <w:bottom w:val="single" w:sz="8" w:space="0" w:color="000000"/>
            </w:tcBorders>
            <w:shd w:val="clear" w:color="auto" w:fill="auto"/>
            <w:vAlign w:val="center"/>
          </w:tcPr>
          <w:p w:rsidR="007E60D0" w:rsidRDefault="007E60D0">
            <w:pPr>
              <w:snapToGrid w:val="0"/>
              <w:jc w:val="center"/>
              <w:rPr>
                <w:sz w:val="22"/>
                <w:szCs w:val="22"/>
              </w:rPr>
            </w:pPr>
            <w:r>
              <w:rPr>
                <w:sz w:val="22"/>
                <w:szCs w:val="22"/>
              </w:rPr>
              <w:t>3.615</w:t>
            </w:r>
          </w:p>
        </w:tc>
        <w:tc>
          <w:tcPr>
            <w:tcW w:w="1402" w:type="dxa"/>
            <w:vMerge w:val="restart"/>
            <w:tcBorders>
              <w:left w:val="single" w:sz="4" w:space="0" w:color="000000"/>
              <w:bottom w:val="single" w:sz="8" w:space="0" w:color="000000"/>
            </w:tcBorders>
            <w:shd w:val="clear" w:color="auto" w:fill="auto"/>
            <w:vAlign w:val="center"/>
          </w:tcPr>
          <w:p w:rsidR="007E60D0" w:rsidRDefault="007E60D0">
            <w:pPr>
              <w:snapToGrid w:val="0"/>
              <w:jc w:val="center"/>
              <w:rPr>
                <w:sz w:val="22"/>
                <w:szCs w:val="22"/>
              </w:rPr>
            </w:pPr>
            <w:r>
              <w:rPr>
                <w:sz w:val="22"/>
                <w:szCs w:val="22"/>
              </w:rPr>
              <w:t>3.923</w:t>
            </w:r>
          </w:p>
        </w:tc>
        <w:tc>
          <w:tcPr>
            <w:tcW w:w="1346" w:type="dxa"/>
            <w:gridSpan w:val="2"/>
            <w:vMerge w:val="restart"/>
            <w:tcBorders>
              <w:left w:val="single" w:sz="4" w:space="0" w:color="000000"/>
              <w:bottom w:val="single" w:sz="8" w:space="0" w:color="000000"/>
              <w:right w:val="single" w:sz="8" w:space="0" w:color="000000"/>
            </w:tcBorders>
            <w:shd w:val="clear" w:color="auto" w:fill="auto"/>
            <w:vAlign w:val="center"/>
          </w:tcPr>
          <w:p w:rsidR="007E60D0" w:rsidRDefault="007E60D0">
            <w:pPr>
              <w:snapToGrid w:val="0"/>
              <w:jc w:val="center"/>
              <w:rPr>
                <w:sz w:val="22"/>
                <w:szCs w:val="22"/>
              </w:rPr>
            </w:pPr>
            <w:r>
              <w:rPr>
                <w:sz w:val="22"/>
                <w:szCs w:val="22"/>
              </w:rPr>
              <w:t>4.219</w:t>
            </w:r>
          </w:p>
        </w:tc>
      </w:tr>
      <w:tr w:rsidR="007E60D0">
        <w:trPr>
          <w:trHeight w:val="276"/>
        </w:trPr>
        <w:tc>
          <w:tcPr>
            <w:tcW w:w="2703" w:type="dxa"/>
            <w:vMerge/>
            <w:tcBorders>
              <w:left w:val="single" w:sz="8" w:space="0" w:color="000000"/>
              <w:bottom w:val="single" w:sz="8" w:space="0" w:color="000000"/>
            </w:tcBorders>
            <w:shd w:val="clear" w:color="auto" w:fill="auto"/>
            <w:vAlign w:val="center"/>
          </w:tcPr>
          <w:p w:rsidR="007E60D0" w:rsidRDefault="007E60D0">
            <w:pPr>
              <w:snapToGrid w:val="0"/>
              <w:jc w:val="center"/>
              <w:rPr>
                <w:color w:val="000000"/>
                <w:szCs w:val="22"/>
              </w:rPr>
            </w:pPr>
          </w:p>
        </w:tc>
        <w:tc>
          <w:tcPr>
            <w:tcW w:w="1326" w:type="dxa"/>
            <w:vMerge/>
            <w:tcBorders>
              <w:left w:val="single" w:sz="8" w:space="0" w:color="000000"/>
              <w:bottom w:val="single" w:sz="8" w:space="0" w:color="000000"/>
            </w:tcBorders>
            <w:shd w:val="clear" w:color="auto" w:fill="auto"/>
            <w:vAlign w:val="center"/>
          </w:tcPr>
          <w:p w:rsidR="007E60D0" w:rsidRDefault="007E60D0">
            <w:pPr>
              <w:snapToGrid w:val="0"/>
              <w:jc w:val="center"/>
              <w:rPr>
                <w:szCs w:val="22"/>
              </w:rPr>
            </w:pPr>
          </w:p>
        </w:tc>
        <w:tc>
          <w:tcPr>
            <w:tcW w:w="1402" w:type="dxa"/>
            <w:vMerge/>
            <w:tcBorders>
              <w:left w:val="single" w:sz="4" w:space="0" w:color="000000"/>
              <w:bottom w:val="single" w:sz="8" w:space="0" w:color="000000"/>
            </w:tcBorders>
            <w:shd w:val="clear" w:color="auto" w:fill="auto"/>
            <w:vAlign w:val="center"/>
          </w:tcPr>
          <w:p w:rsidR="007E60D0" w:rsidRDefault="007E60D0">
            <w:pPr>
              <w:snapToGrid w:val="0"/>
              <w:jc w:val="center"/>
              <w:rPr>
                <w:szCs w:val="22"/>
              </w:rPr>
            </w:pPr>
          </w:p>
        </w:tc>
        <w:tc>
          <w:tcPr>
            <w:tcW w:w="1346" w:type="dxa"/>
            <w:gridSpan w:val="2"/>
            <w:vMerge/>
            <w:tcBorders>
              <w:left w:val="single" w:sz="4" w:space="0" w:color="000000"/>
              <w:bottom w:val="single" w:sz="8" w:space="0" w:color="000000"/>
              <w:right w:val="single" w:sz="8" w:space="0" w:color="000000"/>
            </w:tcBorders>
            <w:shd w:val="clear" w:color="auto" w:fill="auto"/>
            <w:vAlign w:val="center"/>
          </w:tcPr>
          <w:p w:rsidR="007E60D0" w:rsidRDefault="007E60D0">
            <w:pPr>
              <w:snapToGrid w:val="0"/>
              <w:jc w:val="center"/>
              <w:rPr>
                <w:szCs w:val="22"/>
              </w:rPr>
            </w:pPr>
          </w:p>
        </w:tc>
      </w:tr>
      <w:tr w:rsidR="007E60D0">
        <w:trPr>
          <w:trHeight w:val="276"/>
        </w:trPr>
        <w:tc>
          <w:tcPr>
            <w:tcW w:w="2703" w:type="dxa"/>
            <w:vMerge w:val="restart"/>
            <w:tcBorders>
              <w:left w:val="single" w:sz="8" w:space="0" w:color="000000"/>
              <w:bottom w:val="single" w:sz="8" w:space="0" w:color="000000"/>
            </w:tcBorders>
            <w:shd w:val="clear" w:color="auto" w:fill="auto"/>
            <w:vAlign w:val="center"/>
          </w:tcPr>
          <w:p w:rsidR="007E60D0" w:rsidRDefault="007E60D0">
            <w:pPr>
              <w:snapToGrid w:val="0"/>
              <w:jc w:val="center"/>
              <w:rPr>
                <w:color w:val="000000"/>
                <w:sz w:val="22"/>
                <w:szCs w:val="22"/>
              </w:rPr>
            </w:pPr>
            <w:r>
              <w:rPr>
                <w:color w:val="000000"/>
                <w:sz w:val="22"/>
                <w:szCs w:val="22"/>
              </w:rPr>
              <w:t>Ingresos No Tributarios</w:t>
            </w:r>
          </w:p>
        </w:tc>
        <w:tc>
          <w:tcPr>
            <w:tcW w:w="1326" w:type="dxa"/>
            <w:vMerge w:val="restart"/>
            <w:tcBorders>
              <w:left w:val="single" w:sz="8" w:space="0" w:color="000000"/>
              <w:bottom w:val="single" w:sz="8" w:space="0" w:color="000000"/>
            </w:tcBorders>
            <w:shd w:val="clear" w:color="auto" w:fill="auto"/>
            <w:vAlign w:val="center"/>
          </w:tcPr>
          <w:p w:rsidR="007E60D0" w:rsidRDefault="007E60D0">
            <w:pPr>
              <w:snapToGrid w:val="0"/>
              <w:jc w:val="center"/>
              <w:rPr>
                <w:sz w:val="22"/>
                <w:szCs w:val="22"/>
              </w:rPr>
            </w:pPr>
            <w:r>
              <w:rPr>
                <w:sz w:val="22"/>
                <w:szCs w:val="22"/>
              </w:rPr>
              <w:t>489</w:t>
            </w:r>
          </w:p>
        </w:tc>
        <w:tc>
          <w:tcPr>
            <w:tcW w:w="1402" w:type="dxa"/>
            <w:vMerge w:val="restart"/>
            <w:tcBorders>
              <w:left w:val="single" w:sz="4" w:space="0" w:color="000000"/>
              <w:bottom w:val="single" w:sz="8" w:space="0" w:color="000000"/>
            </w:tcBorders>
            <w:shd w:val="clear" w:color="auto" w:fill="auto"/>
            <w:vAlign w:val="center"/>
          </w:tcPr>
          <w:p w:rsidR="007E60D0" w:rsidRDefault="007E60D0">
            <w:pPr>
              <w:snapToGrid w:val="0"/>
              <w:jc w:val="center"/>
              <w:rPr>
                <w:sz w:val="22"/>
                <w:szCs w:val="22"/>
              </w:rPr>
            </w:pPr>
            <w:r>
              <w:rPr>
                <w:sz w:val="22"/>
                <w:szCs w:val="22"/>
              </w:rPr>
              <w:t>756</w:t>
            </w:r>
          </w:p>
        </w:tc>
        <w:tc>
          <w:tcPr>
            <w:tcW w:w="1346" w:type="dxa"/>
            <w:gridSpan w:val="2"/>
            <w:vMerge w:val="restart"/>
            <w:tcBorders>
              <w:left w:val="single" w:sz="4" w:space="0" w:color="000000"/>
              <w:bottom w:val="single" w:sz="8" w:space="0" w:color="000000"/>
              <w:right w:val="single" w:sz="8" w:space="0" w:color="000000"/>
            </w:tcBorders>
            <w:shd w:val="clear" w:color="auto" w:fill="auto"/>
            <w:vAlign w:val="center"/>
          </w:tcPr>
          <w:p w:rsidR="007E60D0" w:rsidRDefault="007E60D0">
            <w:pPr>
              <w:snapToGrid w:val="0"/>
              <w:jc w:val="center"/>
              <w:rPr>
                <w:sz w:val="22"/>
                <w:szCs w:val="22"/>
              </w:rPr>
            </w:pPr>
            <w:r>
              <w:rPr>
                <w:sz w:val="22"/>
                <w:szCs w:val="22"/>
              </w:rPr>
              <w:t>417</w:t>
            </w:r>
          </w:p>
        </w:tc>
      </w:tr>
      <w:tr w:rsidR="007E60D0">
        <w:trPr>
          <w:trHeight w:val="276"/>
        </w:trPr>
        <w:tc>
          <w:tcPr>
            <w:tcW w:w="2703" w:type="dxa"/>
            <w:vMerge/>
            <w:tcBorders>
              <w:left w:val="single" w:sz="8" w:space="0" w:color="000000"/>
              <w:bottom w:val="single" w:sz="8" w:space="0" w:color="000000"/>
            </w:tcBorders>
            <w:shd w:val="clear" w:color="auto" w:fill="auto"/>
            <w:vAlign w:val="center"/>
          </w:tcPr>
          <w:p w:rsidR="007E60D0" w:rsidRDefault="007E60D0">
            <w:pPr>
              <w:snapToGrid w:val="0"/>
              <w:jc w:val="center"/>
              <w:rPr>
                <w:color w:val="000000"/>
                <w:szCs w:val="22"/>
              </w:rPr>
            </w:pPr>
          </w:p>
        </w:tc>
        <w:tc>
          <w:tcPr>
            <w:tcW w:w="1326" w:type="dxa"/>
            <w:vMerge/>
            <w:tcBorders>
              <w:left w:val="single" w:sz="8" w:space="0" w:color="000000"/>
              <w:bottom w:val="single" w:sz="8" w:space="0" w:color="000000"/>
            </w:tcBorders>
            <w:shd w:val="clear" w:color="auto" w:fill="auto"/>
            <w:vAlign w:val="center"/>
          </w:tcPr>
          <w:p w:rsidR="007E60D0" w:rsidRDefault="007E60D0">
            <w:pPr>
              <w:snapToGrid w:val="0"/>
              <w:jc w:val="center"/>
              <w:rPr>
                <w:szCs w:val="22"/>
              </w:rPr>
            </w:pPr>
          </w:p>
        </w:tc>
        <w:tc>
          <w:tcPr>
            <w:tcW w:w="1402" w:type="dxa"/>
            <w:vMerge/>
            <w:tcBorders>
              <w:left w:val="single" w:sz="4" w:space="0" w:color="000000"/>
              <w:bottom w:val="single" w:sz="8" w:space="0" w:color="000000"/>
            </w:tcBorders>
            <w:shd w:val="clear" w:color="auto" w:fill="auto"/>
            <w:vAlign w:val="center"/>
          </w:tcPr>
          <w:p w:rsidR="007E60D0" w:rsidRDefault="007E60D0">
            <w:pPr>
              <w:snapToGrid w:val="0"/>
              <w:jc w:val="center"/>
              <w:rPr>
                <w:szCs w:val="22"/>
              </w:rPr>
            </w:pPr>
          </w:p>
        </w:tc>
        <w:tc>
          <w:tcPr>
            <w:tcW w:w="1346" w:type="dxa"/>
            <w:gridSpan w:val="2"/>
            <w:vMerge/>
            <w:tcBorders>
              <w:left w:val="single" w:sz="4" w:space="0" w:color="000000"/>
              <w:bottom w:val="single" w:sz="8" w:space="0" w:color="000000"/>
              <w:right w:val="single" w:sz="8" w:space="0" w:color="000000"/>
            </w:tcBorders>
            <w:shd w:val="clear" w:color="auto" w:fill="auto"/>
            <w:vAlign w:val="center"/>
          </w:tcPr>
          <w:p w:rsidR="007E60D0" w:rsidRDefault="007E60D0">
            <w:pPr>
              <w:snapToGrid w:val="0"/>
              <w:jc w:val="center"/>
              <w:rPr>
                <w:szCs w:val="22"/>
              </w:rPr>
            </w:pPr>
          </w:p>
        </w:tc>
      </w:tr>
      <w:tr w:rsidR="007E60D0">
        <w:trPr>
          <w:trHeight w:val="276"/>
        </w:trPr>
        <w:tc>
          <w:tcPr>
            <w:tcW w:w="2703" w:type="dxa"/>
            <w:vMerge w:val="restart"/>
            <w:tcBorders>
              <w:left w:val="single" w:sz="8" w:space="0" w:color="000000"/>
              <w:bottom w:val="single" w:sz="8"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INGRESOS DE CAPITAL</w:t>
            </w:r>
          </w:p>
        </w:tc>
        <w:tc>
          <w:tcPr>
            <w:tcW w:w="1326" w:type="dxa"/>
            <w:vMerge w:val="restart"/>
            <w:tcBorders>
              <w:left w:val="single" w:sz="8" w:space="0" w:color="000000"/>
              <w:bottom w:val="single" w:sz="8" w:space="0" w:color="000000"/>
            </w:tcBorders>
            <w:shd w:val="clear" w:color="auto" w:fill="auto"/>
            <w:vAlign w:val="center"/>
          </w:tcPr>
          <w:p w:rsidR="007E60D0" w:rsidRDefault="007E60D0">
            <w:pPr>
              <w:snapToGrid w:val="0"/>
              <w:jc w:val="center"/>
              <w:rPr>
                <w:sz w:val="22"/>
                <w:szCs w:val="22"/>
              </w:rPr>
            </w:pPr>
            <w:r>
              <w:rPr>
                <w:sz w:val="22"/>
                <w:szCs w:val="22"/>
              </w:rPr>
              <w:t>29.338</w:t>
            </w:r>
          </w:p>
        </w:tc>
        <w:tc>
          <w:tcPr>
            <w:tcW w:w="1402" w:type="dxa"/>
            <w:vMerge w:val="restart"/>
            <w:tcBorders>
              <w:left w:val="single" w:sz="4" w:space="0" w:color="000000"/>
              <w:bottom w:val="single" w:sz="8" w:space="0" w:color="000000"/>
            </w:tcBorders>
            <w:shd w:val="clear" w:color="auto" w:fill="auto"/>
            <w:vAlign w:val="center"/>
          </w:tcPr>
          <w:p w:rsidR="007E60D0" w:rsidRDefault="007E60D0">
            <w:pPr>
              <w:snapToGrid w:val="0"/>
              <w:jc w:val="center"/>
              <w:rPr>
                <w:sz w:val="22"/>
                <w:szCs w:val="22"/>
              </w:rPr>
            </w:pPr>
            <w:r>
              <w:rPr>
                <w:sz w:val="22"/>
                <w:szCs w:val="22"/>
              </w:rPr>
              <w:t>22.842</w:t>
            </w:r>
          </w:p>
        </w:tc>
        <w:tc>
          <w:tcPr>
            <w:tcW w:w="1346" w:type="dxa"/>
            <w:gridSpan w:val="2"/>
            <w:vMerge w:val="restart"/>
            <w:tcBorders>
              <w:left w:val="single" w:sz="4" w:space="0" w:color="000000"/>
              <w:bottom w:val="single" w:sz="8" w:space="0" w:color="000000"/>
              <w:right w:val="single" w:sz="8" w:space="0" w:color="000000"/>
            </w:tcBorders>
            <w:shd w:val="clear" w:color="auto" w:fill="auto"/>
            <w:vAlign w:val="center"/>
          </w:tcPr>
          <w:p w:rsidR="007E60D0" w:rsidRDefault="007E60D0">
            <w:pPr>
              <w:snapToGrid w:val="0"/>
              <w:jc w:val="center"/>
              <w:rPr>
                <w:sz w:val="22"/>
                <w:szCs w:val="22"/>
              </w:rPr>
            </w:pPr>
            <w:r>
              <w:rPr>
                <w:sz w:val="22"/>
                <w:szCs w:val="22"/>
              </w:rPr>
              <w:t>26.610</w:t>
            </w:r>
          </w:p>
        </w:tc>
      </w:tr>
      <w:tr w:rsidR="007E60D0">
        <w:trPr>
          <w:trHeight w:val="276"/>
        </w:trPr>
        <w:tc>
          <w:tcPr>
            <w:tcW w:w="2703" w:type="dxa"/>
            <w:vMerge/>
            <w:tcBorders>
              <w:left w:val="single" w:sz="8" w:space="0" w:color="000000"/>
              <w:bottom w:val="single" w:sz="8" w:space="0" w:color="000000"/>
            </w:tcBorders>
            <w:shd w:val="clear" w:color="auto" w:fill="auto"/>
            <w:vAlign w:val="center"/>
          </w:tcPr>
          <w:p w:rsidR="007E60D0" w:rsidRDefault="007E60D0">
            <w:pPr>
              <w:snapToGrid w:val="0"/>
              <w:jc w:val="center"/>
              <w:rPr>
                <w:b/>
                <w:bCs/>
                <w:color w:val="000000"/>
                <w:szCs w:val="22"/>
              </w:rPr>
            </w:pPr>
          </w:p>
        </w:tc>
        <w:tc>
          <w:tcPr>
            <w:tcW w:w="1326" w:type="dxa"/>
            <w:vMerge/>
            <w:tcBorders>
              <w:left w:val="single" w:sz="8" w:space="0" w:color="000000"/>
              <w:bottom w:val="single" w:sz="8" w:space="0" w:color="000000"/>
            </w:tcBorders>
            <w:shd w:val="clear" w:color="auto" w:fill="auto"/>
            <w:vAlign w:val="center"/>
          </w:tcPr>
          <w:p w:rsidR="007E60D0" w:rsidRDefault="007E60D0">
            <w:pPr>
              <w:snapToGrid w:val="0"/>
              <w:jc w:val="center"/>
              <w:rPr>
                <w:szCs w:val="22"/>
              </w:rPr>
            </w:pPr>
          </w:p>
        </w:tc>
        <w:tc>
          <w:tcPr>
            <w:tcW w:w="1402" w:type="dxa"/>
            <w:vMerge/>
            <w:tcBorders>
              <w:left w:val="single" w:sz="4" w:space="0" w:color="000000"/>
              <w:bottom w:val="single" w:sz="8" w:space="0" w:color="000000"/>
            </w:tcBorders>
            <w:shd w:val="clear" w:color="auto" w:fill="auto"/>
            <w:vAlign w:val="center"/>
          </w:tcPr>
          <w:p w:rsidR="007E60D0" w:rsidRDefault="007E60D0">
            <w:pPr>
              <w:snapToGrid w:val="0"/>
              <w:jc w:val="center"/>
              <w:rPr>
                <w:szCs w:val="22"/>
              </w:rPr>
            </w:pPr>
          </w:p>
        </w:tc>
        <w:tc>
          <w:tcPr>
            <w:tcW w:w="1346" w:type="dxa"/>
            <w:gridSpan w:val="2"/>
            <w:vMerge/>
            <w:tcBorders>
              <w:left w:val="single" w:sz="4" w:space="0" w:color="000000"/>
              <w:bottom w:val="single" w:sz="8" w:space="0" w:color="000000"/>
              <w:right w:val="single" w:sz="8" w:space="0" w:color="000000"/>
            </w:tcBorders>
            <w:shd w:val="clear" w:color="auto" w:fill="auto"/>
            <w:vAlign w:val="center"/>
          </w:tcPr>
          <w:p w:rsidR="007E60D0" w:rsidRDefault="007E60D0">
            <w:pPr>
              <w:snapToGrid w:val="0"/>
              <w:jc w:val="center"/>
              <w:rPr>
                <w:szCs w:val="22"/>
              </w:rPr>
            </w:pPr>
          </w:p>
        </w:tc>
      </w:tr>
      <w:tr w:rsidR="007E60D0">
        <w:trPr>
          <w:trHeight w:val="276"/>
        </w:trPr>
        <w:tc>
          <w:tcPr>
            <w:tcW w:w="2703" w:type="dxa"/>
            <w:vMerge w:val="restart"/>
            <w:tcBorders>
              <w:left w:val="single" w:sz="8" w:space="0" w:color="000000"/>
              <w:bottom w:val="single" w:sz="8" w:space="0" w:color="000000"/>
            </w:tcBorders>
            <w:shd w:val="clear" w:color="auto" w:fill="auto"/>
            <w:vAlign w:val="center"/>
          </w:tcPr>
          <w:p w:rsidR="007E60D0" w:rsidRDefault="007E60D0">
            <w:pPr>
              <w:snapToGrid w:val="0"/>
              <w:jc w:val="center"/>
              <w:rPr>
                <w:color w:val="000000"/>
                <w:sz w:val="22"/>
                <w:szCs w:val="22"/>
              </w:rPr>
            </w:pPr>
            <w:r>
              <w:rPr>
                <w:color w:val="000000"/>
                <w:sz w:val="22"/>
                <w:szCs w:val="22"/>
              </w:rPr>
              <w:t>Recursos del Crédito</w:t>
            </w:r>
          </w:p>
        </w:tc>
        <w:tc>
          <w:tcPr>
            <w:tcW w:w="1326" w:type="dxa"/>
            <w:vMerge w:val="restart"/>
            <w:tcBorders>
              <w:left w:val="single" w:sz="8" w:space="0" w:color="000000"/>
              <w:bottom w:val="single" w:sz="8" w:space="0" w:color="000000"/>
            </w:tcBorders>
            <w:shd w:val="clear" w:color="auto" w:fill="auto"/>
            <w:vAlign w:val="center"/>
          </w:tcPr>
          <w:p w:rsidR="007E60D0" w:rsidRDefault="007E60D0">
            <w:pPr>
              <w:snapToGrid w:val="0"/>
              <w:jc w:val="center"/>
              <w:rPr>
                <w:sz w:val="22"/>
                <w:szCs w:val="22"/>
              </w:rPr>
            </w:pPr>
            <w:r>
              <w:rPr>
                <w:sz w:val="22"/>
                <w:szCs w:val="22"/>
              </w:rPr>
              <w:t>34</w:t>
            </w:r>
          </w:p>
        </w:tc>
        <w:tc>
          <w:tcPr>
            <w:tcW w:w="1402" w:type="dxa"/>
            <w:vMerge w:val="restart"/>
            <w:tcBorders>
              <w:left w:val="single" w:sz="4" w:space="0" w:color="000000"/>
              <w:bottom w:val="single" w:sz="8" w:space="0" w:color="000000"/>
            </w:tcBorders>
            <w:shd w:val="clear" w:color="auto" w:fill="auto"/>
            <w:vAlign w:val="center"/>
          </w:tcPr>
          <w:p w:rsidR="007E60D0" w:rsidRDefault="007E60D0">
            <w:pPr>
              <w:snapToGrid w:val="0"/>
              <w:jc w:val="center"/>
              <w:rPr>
                <w:sz w:val="22"/>
                <w:szCs w:val="22"/>
              </w:rPr>
            </w:pPr>
            <w:r>
              <w:rPr>
                <w:sz w:val="22"/>
                <w:szCs w:val="22"/>
              </w:rPr>
              <w:t>1.318</w:t>
            </w:r>
          </w:p>
        </w:tc>
        <w:tc>
          <w:tcPr>
            <w:tcW w:w="1346" w:type="dxa"/>
            <w:gridSpan w:val="2"/>
            <w:vMerge w:val="restart"/>
            <w:tcBorders>
              <w:left w:val="single" w:sz="4" w:space="0" w:color="000000"/>
              <w:bottom w:val="single" w:sz="8" w:space="0" w:color="000000"/>
              <w:right w:val="single" w:sz="8" w:space="0" w:color="000000"/>
            </w:tcBorders>
            <w:shd w:val="clear" w:color="auto" w:fill="auto"/>
            <w:vAlign w:val="center"/>
          </w:tcPr>
          <w:p w:rsidR="007E60D0" w:rsidRDefault="007E60D0">
            <w:pPr>
              <w:snapToGrid w:val="0"/>
              <w:jc w:val="center"/>
              <w:rPr>
                <w:sz w:val="22"/>
                <w:szCs w:val="22"/>
              </w:rPr>
            </w:pPr>
            <w:r>
              <w:rPr>
                <w:sz w:val="22"/>
                <w:szCs w:val="22"/>
              </w:rPr>
              <w:t>2.285</w:t>
            </w:r>
          </w:p>
        </w:tc>
      </w:tr>
      <w:tr w:rsidR="007E60D0">
        <w:trPr>
          <w:trHeight w:val="276"/>
        </w:trPr>
        <w:tc>
          <w:tcPr>
            <w:tcW w:w="2703" w:type="dxa"/>
            <w:vMerge/>
            <w:tcBorders>
              <w:left w:val="single" w:sz="8" w:space="0" w:color="000000"/>
              <w:bottom w:val="single" w:sz="8" w:space="0" w:color="000000"/>
            </w:tcBorders>
            <w:shd w:val="clear" w:color="auto" w:fill="auto"/>
            <w:vAlign w:val="center"/>
          </w:tcPr>
          <w:p w:rsidR="007E60D0" w:rsidRDefault="007E60D0">
            <w:pPr>
              <w:snapToGrid w:val="0"/>
              <w:jc w:val="center"/>
              <w:rPr>
                <w:color w:val="000000"/>
                <w:szCs w:val="22"/>
              </w:rPr>
            </w:pPr>
          </w:p>
        </w:tc>
        <w:tc>
          <w:tcPr>
            <w:tcW w:w="1326" w:type="dxa"/>
            <w:vMerge/>
            <w:tcBorders>
              <w:left w:val="single" w:sz="8" w:space="0" w:color="000000"/>
              <w:bottom w:val="single" w:sz="8" w:space="0" w:color="000000"/>
            </w:tcBorders>
            <w:shd w:val="clear" w:color="auto" w:fill="auto"/>
            <w:vAlign w:val="center"/>
          </w:tcPr>
          <w:p w:rsidR="007E60D0" w:rsidRDefault="007E60D0">
            <w:pPr>
              <w:snapToGrid w:val="0"/>
              <w:jc w:val="center"/>
              <w:rPr>
                <w:szCs w:val="22"/>
              </w:rPr>
            </w:pPr>
          </w:p>
        </w:tc>
        <w:tc>
          <w:tcPr>
            <w:tcW w:w="1402" w:type="dxa"/>
            <w:vMerge/>
            <w:tcBorders>
              <w:left w:val="single" w:sz="4" w:space="0" w:color="000000"/>
              <w:bottom w:val="single" w:sz="8" w:space="0" w:color="000000"/>
            </w:tcBorders>
            <w:shd w:val="clear" w:color="auto" w:fill="auto"/>
            <w:vAlign w:val="center"/>
          </w:tcPr>
          <w:p w:rsidR="007E60D0" w:rsidRDefault="007E60D0">
            <w:pPr>
              <w:snapToGrid w:val="0"/>
              <w:jc w:val="center"/>
              <w:rPr>
                <w:szCs w:val="22"/>
              </w:rPr>
            </w:pPr>
          </w:p>
        </w:tc>
        <w:tc>
          <w:tcPr>
            <w:tcW w:w="1346" w:type="dxa"/>
            <w:gridSpan w:val="2"/>
            <w:vMerge/>
            <w:tcBorders>
              <w:left w:val="single" w:sz="4" w:space="0" w:color="000000"/>
              <w:bottom w:val="single" w:sz="8" w:space="0" w:color="000000"/>
              <w:right w:val="single" w:sz="8" w:space="0" w:color="000000"/>
            </w:tcBorders>
            <w:shd w:val="clear" w:color="auto" w:fill="auto"/>
            <w:vAlign w:val="center"/>
          </w:tcPr>
          <w:p w:rsidR="007E60D0" w:rsidRDefault="007E60D0">
            <w:pPr>
              <w:snapToGrid w:val="0"/>
              <w:jc w:val="center"/>
              <w:rPr>
                <w:szCs w:val="22"/>
              </w:rPr>
            </w:pPr>
          </w:p>
        </w:tc>
      </w:tr>
      <w:tr w:rsidR="007E60D0">
        <w:trPr>
          <w:trHeight w:val="276"/>
        </w:trPr>
        <w:tc>
          <w:tcPr>
            <w:tcW w:w="2703" w:type="dxa"/>
            <w:vMerge w:val="restart"/>
            <w:tcBorders>
              <w:left w:val="single" w:sz="8" w:space="0" w:color="000000"/>
              <w:bottom w:val="single" w:sz="8" w:space="0" w:color="000000"/>
            </w:tcBorders>
            <w:shd w:val="clear" w:color="auto" w:fill="auto"/>
            <w:vAlign w:val="center"/>
          </w:tcPr>
          <w:p w:rsidR="007E60D0" w:rsidRDefault="007E60D0">
            <w:pPr>
              <w:snapToGrid w:val="0"/>
              <w:jc w:val="center"/>
              <w:rPr>
                <w:color w:val="000000"/>
                <w:sz w:val="22"/>
                <w:szCs w:val="22"/>
              </w:rPr>
            </w:pPr>
            <w:r>
              <w:rPr>
                <w:color w:val="000000"/>
                <w:sz w:val="22"/>
                <w:szCs w:val="22"/>
              </w:rPr>
              <w:t>Recursos de Balance</w:t>
            </w:r>
          </w:p>
        </w:tc>
        <w:tc>
          <w:tcPr>
            <w:tcW w:w="1326" w:type="dxa"/>
            <w:vMerge w:val="restart"/>
            <w:tcBorders>
              <w:left w:val="single" w:sz="8" w:space="0" w:color="000000"/>
              <w:bottom w:val="single" w:sz="8" w:space="0" w:color="000000"/>
            </w:tcBorders>
            <w:shd w:val="clear" w:color="auto" w:fill="auto"/>
            <w:vAlign w:val="center"/>
          </w:tcPr>
          <w:p w:rsidR="007E60D0" w:rsidRDefault="007E60D0">
            <w:pPr>
              <w:snapToGrid w:val="0"/>
              <w:jc w:val="center"/>
              <w:rPr>
                <w:sz w:val="22"/>
                <w:szCs w:val="22"/>
              </w:rPr>
            </w:pPr>
            <w:r>
              <w:rPr>
                <w:sz w:val="22"/>
                <w:szCs w:val="22"/>
              </w:rPr>
              <w:t>846</w:t>
            </w:r>
          </w:p>
        </w:tc>
        <w:tc>
          <w:tcPr>
            <w:tcW w:w="1402" w:type="dxa"/>
            <w:vMerge w:val="restart"/>
            <w:tcBorders>
              <w:left w:val="single" w:sz="4" w:space="0" w:color="000000"/>
              <w:bottom w:val="single" w:sz="8" w:space="0" w:color="000000"/>
            </w:tcBorders>
            <w:shd w:val="clear" w:color="auto" w:fill="auto"/>
            <w:vAlign w:val="center"/>
          </w:tcPr>
          <w:p w:rsidR="007E60D0" w:rsidRDefault="007E60D0">
            <w:pPr>
              <w:snapToGrid w:val="0"/>
              <w:jc w:val="center"/>
              <w:rPr>
                <w:sz w:val="22"/>
                <w:szCs w:val="22"/>
              </w:rPr>
            </w:pPr>
            <w:r>
              <w:rPr>
                <w:sz w:val="22"/>
                <w:szCs w:val="22"/>
              </w:rPr>
              <w:t>3.465</w:t>
            </w:r>
          </w:p>
        </w:tc>
        <w:tc>
          <w:tcPr>
            <w:tcW w:w="1346" w:type="dxa"/>
            <w:gridSpan w:val="2"/>
            <w:vMerge w:val="restart"/>
            <w:tcBorders>
              <w:left w:val="single" w:sz="4" w:space="0" w:color="000000"/>
              <w:bottom w:val="single" w:sz="8" w:space="0" w:color="000000"/>
              <w:right w:val="single" w:sz="8" w:space="0" w:color="000000"/>
            </w:tcBorders>
            <w:shd w:val="clear" w:color="auto" w:fill="auto"/>
            <w:vAlign w:val="center"/>
          </w:tcPr>
          <w:p w:rsidR="007E60D0" w:rsidRDefault="007E60D0">
            <w:pPr>
              <w:snapToGrid w:val="0"/>
              <w:jc w:val="center"/>
              <w:rPr>
                <w:sz w:val="22"/>
                <w:szCs w:val="22"/>
              </w:rPr>
            </w:pPr>
            <w:r>
              <w:rPr>
                <w:sz w:val="22"/>
                <w:szCs w:val="22"/>
              </w:rPr>
              <w:t>692</w:t>
            </w:r>
          </w:p>
        </w:tc>
      </w:tr>
      <w:tr w:rsidR="007E60D0">
        <w:trPr>
          <w:trHeight w:val="276"/>
        </w:trPr>
        <w:tc>
          <w:tcPr>
            <w:tcW w:w="2703" w:type="dxa"/>
            <w:vMerge/>
            <w:tcBorders>
              <w:left w:val="single" w:sz="8" w:space="0" w:color="000000"/>
              <w:bottom w:val="single" w:sz="8" w:space="0" w:color="000000"/>
            </w:tcBorders>
            <w:shd w:val="clear" w:color="auto" w:fill="auto"/>
            <w:vAlign w:val="center"/>
          </w:tcPr>
          <w:p w:rsidR="007E60D0" w:rsidRDefault="007E60D0">
            <w:pPr>
              <w:snapToGrid w:val="0"/>
              <w:rPr>
                <w:color w:val="000000"/>
                <w:szCs w:val="22"/>
              </w:rPr>
            </w:pPr>
          </w:p>
        </w:tc>
        <w:tc>
          <w:tcPr>
            <w:tcW w:w="1326" w:type="dxa"/>
            <w:vMerge/>
            <w:tcBorders>
              <w:left w:val="single" w:sz="8" w:space="0" w:color="000000"/>
              <w:bottom w:val="single" w:sz="8" w:space="0" w:color="000000"/>
            </w:tcBorders>
            <w:shd w:val="clear" w:color="auto" w:fill="auto"/>
            <w:vAlign w:val="center"/>
          </w:tcPr>
          <w:p w:rsidR="007E60D0" w:rsidRDefault="007E60D0">
            <w:pPr>
              <w:snapToGrid w:val="0"/>
              <w:rPr>
                <w:szCs w:val="22"/>
              </w:rPr>
            </w:pPr>
          </w:p>
        </w:tc>
        <w:tc>
          <w:tcPr>
            <w:tcW w:w="1402" w:type="dxa"/>
            <w:vMerge/>
            <w:tcBorders>
              <w:left w:val="single" w:sz="4" w:space="0" w:color="000000"/>
              <w:bottom w:val="single" w:sz="8" w:space="0" w:color="000000"/>
            </w:tcBorders>
            <w:shd w:val="clear" w:color="auto" w:fill="auto"/>
            <w:vAlign w:val="center"/>
          </w:tcPr>
          <w:p w:rsidR="007E60D0" w:rsidRDefault="007E60D0">
            <w:pPr>
              <w:snapToGrid w:val="0"/>
              <w:rPr>
                <w:szCs w:val="22"/>
              </w:rPr>
            </w:pPr>
          </w:p>
        </w:tc>
        <w:tc>
          <w:tcPr>
            <w:tcW w:w="1346" w:type="dxa"/>
            <w:gridSpan w:val="2"/>
            <w:vMerge/>
            <w:tcBorders>
              <w:left w:val="single" w:sz="4" w:space="0" w:color="000000"/>
              <w:bottom w:val="single" w:sz="8" w:space="0" w:color="000000"/>
              <w:right w:val="single" w:sz="8" w:space="0" w:color="000000"/>
            </w:tcBorders>
            <w:shd w:val="clear" w:color="auto" w:fill="auto"/>
            <w:vAlign w:val="center"/>
          </w:tcPr>
          <w:p w:rsidR="007E60D0" w:rsidRDefault="007E60D0">
            <w:pPr>
              <w:snapToGrid w:val="0"/>
              <w:rPr>
                <w:szCs w:val="22"/>
              </w:rPr>
            </w:pPr>
          </w:p>
        </w:tc>
      </w:tr>
    </w:tbl>
    <w:p w:rsidR="007E60D0" w:rsidRDefault="007E60D0">
      <w:pPr>
        <w:jc w:val="center"/>
        <w:rPr>
          <w:szCs w:val="24"/>
        </w:rPr>
      </w:pPr>
      <w:r>
        <w:rPr>
          <w:szCs w:val="24"/>
        </w:rPr>
        <w:t>Fuente. Ejecuciones presupuestales presentadas a la Contraloría Deptal.</w:t>
      </w:r>
    </w:p>
    <w:p w:rsidR="007E60D0" w:rsidRDefault="007E60D0">
      <w:pPr>
        <w:jc w:val="both"/>
        <w:rPr>
          <w:szCs w:val="24"/>
        </w:rPr>
      </w:pPr>
    </w:p>
    <w:p w:rsidR="007E60D0" w:rsidRDefault="007E60D0">
      <w:pPr>
        <w:jc w:val="both"/>
        <w:rPr>
          <w:szCs w:val="24"/>
        </w:rPr>
      </w:pPr>
    </w:p>
    <w:p w:rsidR="007E60D0" w:rsidRDefault="007E60D0">
      <w:pPr>
        <w:jc w:val="both"/>
        <w:rPr>
          <w:szCs w:val="24"/>
        </w:rPr>
      </w:pPr>
    </w:p>
    <w:p w:rsidR="007E60D0" w:rsidRDefault="007E60D0">
      <w:pPr>
        <w:jc w:val="both"/>
        <w:rPr>
          <w:szCs w:val="24"/>
        </w:rPr>
      </w:pPr>
    </w:p>
    <w:p w:rsidR="007E60D0" w:rsidRDefault="007E60D0">
      <w:pPr>
        <w:jc w:val="both"/>
        <w:rPr>
          <w:szCs w:val="24"/>
        </w:rPr>
      </w:pPr>
    </w:p>
    <w:p w:rsidR="007E60D0" w:rsidRDefault="007E60D0">
      <w:pPr>
        <w:jc w:val="both"/>
        <w:rPr>
          <w:szCs w:val="24"/>
        </w:rPr>
      </w:pPr>
    </w:p>
    <w:p w:rsidR="007E60D0" w:rsidRDefault="007E60D0">
      <w:pPr>
        <w:jc w:val="both"/>
        <w:rPr>
          <w:szCs w:val="24"/>
        </w:rPr>
      </w:pPr>
    </w:p>
    <w:p w:rsidR="007E60D0" w:rsidRDefault="007E60D0">
      <w:pPr>
        <w:jc w:val="center"/>
        <w:rPr>
          <w:b/>
          <w:szCs w:val="24"/>
          <w:lang w:val="es-ES_tradnl"/>
        </w:rPr>
      </w:pPr>
      <w:r>
        <w:rPr>
          <w:b/>
          <w:szCs w:val="24"/>
          <w:lang w:val="es-ES_tradnl"/>
        </w:rPr>
        <w:t>Gráfica No. 1</w:t>
      </w:r>
    </w:p>
    <w:p w:rsidR="007E60D0" w:rsidRDefault="007E60D0">
      <w:pPr>
        <w:jc w:val="center"/>
        <w:rPr>
          <w:b/>
          <w:szCs w:val="24"/>
          <w:lang w:val="es-ES_tradnl"/>
        </w:rPr>
      </w:pPr>
    </w:p>
    <w:p w:rsidR="007E60D0" w:rsidRDefault="007E60D0">
      <w:pPr>
        <w:jc w:val="center"/>
        <w:rPr>
          <w:b/>
          <w:szCs w:val="24"/>
          <w:lang w:val="es-ES_tradnl"/>
        </w:rPr>
      </w:pPr>
      <w:r>
        <w:rPr>
          <w:b/>
          <w:szCs w:val="24"/>
          <w:lang w:val="es-ES_tradnl"/>
        </w:rPr>
        <w:t>Comportamiento de los Ingresos</w:t>
      </w:r>
    </w:p>
    <w:p w:rsidR="007E60D0" w:rsidRDefault="007E60D0">
      <w:pPr>
        <w:jc w:val="center"/>
        <w:rPr>
          <w:b/>
          <w:szCs w:val="24"/>
          <w:lang w:val="es-ES_tradnl"/>
        </w:rPr>
      </w:pPr>
    </w:p>
    <w:p w:rsidR="007E60D0" w:rsidRDefault="00944E93">
      <w:pPr>
        <w:jc w:val="center"/>
        <w:rPr>
          <w:szCs w:val="24"/>
          <w:lang w:val="es-CO"/>
        </w:rPr>
      </w:pPr>
      <w:r>
        <w:rPr>
          <w:noProof/>
          <w:szCs w:val="24"/>
          <w:lang w:val="es-CO" w:eastAsia="es-CO"/>
        </w:rPr>
        <w:drawing>
          <wp:inline distT="0" distB="0" distL="0" distR="0">
            <wp:extent cx="4591050" cy="2790825"/>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srcRect b="-69"/>
                    <a:stretch>
                      <a:fillRect/>
                    </a:stretch>
                  </pic:blipFill>
                  <pic:spPr bwMode="auto">
                    <a:xfrm>
                      <a:off x="0" y="0"/>
                      <a:ext cx="4591050" cy="2790825"/>
                    </a:xfrm>
                    <a:prstGeom prst="rect">
                      <a:avLst/>
                    </a:prstGeom>
                    <a:solidFill>
                      <a:srgbClr val="FFFFFF"/>
                    </a:solidFill>
                    <a:ln w="9525">
                      <a:noFill/>
                      <a:miter lim="800000"/>
                      <a:headEnd/>
                      <a:tailEnd/>
                    </a:ln>
                  </pic:spPr>
                </pic:pic>
              </a:graphicData>
            </a:graphic>
          </wp:inline>
        </w:drawing>
      </w:r>
    </w:p>
    <w:p w:rsidR="007E60D0" w:rsidRDefault="007E60D0">
      <w:pPr>
        <w:jc w:val="center"/>
        <w:rPr>
          <w:szCs w:val="24"/>
          <w:lang w:val="es-CO"/>
        </w:rPr>
      </w:pPr>
    </w:p>
    <w:p w:rsidR="007E60D0" w:rsidRDefault="007E60D0">
      <w:pPr>
        <w:jc w:val="both"/>
        <w:rPr>
          <w:b/>
          <w:szCs w:val="24"/>
        </w:rPr>
      </w:pPr>
    </w:p>
    <w:p w:rsidR="007E60D0" w:rsidRDefault="007E60D0">
      <w:pPr>
        <w:jc w:val="both"/>
        <w:rPr>
          <w:b/>
          <w:szCs w:val="24"/>
        </w:rPr>
      </w:pPr>
      <w:r>
        <w:rPr>
          <w:b/>
          <w:szCs w:val="24"/>
        </w:rPr>
        <w:t>1.1.3</w:t>
      </w:r>
      <w:r>
        <w:rPr>
          <w:b/>
          <w:szCs w:val="24"/>
        </w:rPr>
        <w:tab/>
        <w:t>Estructura de los Ingresos Corrientes del Municipio</w:t>
      </w:r>
    </w:p>
    <w:p w:rsidR="007E60D0" w:rsidRDefault="007E60D0">
      <w:pPr>
        <w:jc w:val="both"/>
        <w:rPr>
          <w:b/>
          <w:szCs w:val="24"/>
        </w:rPr>
      </w:pPr>
    </w:p>
    <w:p w:rsidR="007E60D0" w:rsidRDefault="007E60D0">
      <w:pPr>
        <w:jc w:val="both"/>
        <w:rPr>
          <w:szCs w:val="24"/>
        </w:rPr>
      </w:pPr>
      <w:r>
        <w:rPr>
          <w:szCs w:val="24"/>
        </w:rPr>
        <w:t>En las rentas propias se puede observar que durante el 2010, su composición está determinada así, en orden de participación.</w:t>
      </w:r>
    </w:p>
    <w:p w:rsidR="007E60D0" w:rsidRDefault="007E60D0">
      <w:pPr>
        <w:jc w:val="both"/>
        <w:rPr>
          <w:szCs w:val="24"/>
        </w:rPr>
      </w:pPr>
    </w:p>
    <w:p w:rsidR="007E60D0" w:rsidRDefault="007E60D0">
      <w:pPr>
        <w:numPr>
          <w:ilvl w:val="0"/>
          <w:numId w:val="13"/>
        </w:numPr>
        <w:jc w:val="both"/>
        <w:rPr>
          <w:szCs w:val="24"/>
        </w:rPr>
      </w:pPr>
      <w:r>
        <w:rPr>
          <w:szCs w:val="24"/>
        </w:rPr>
        <w:t>Transferencias</w:t>
      </w:r>
      <w:r>
        <w:rPr>
          <w:szCs w:val="24"/>
        </w:rPr>
        <w:tab/>
      </w:r>
      <w:r>
        <w:rPr>
          <w:szCs w:val="24"/>
        </w:rPr>
        <w:tab/>
      </w:r>
      <w:r>
        <w:rPr>
          <w:szCs w:val="24"/>
        </w:rPr>
        <w:tab/>
      </w:r>
      <w:r>
        <w:rPr>
          <w:szCs w:val="24"/>
        </w:rPr>
        <w:tab/>
        <w:t>(61,1%)</w:t>
      </w:r>
    </w:p>
    <w:p w:rsidR="007E60D0" w:rsidRDefault="007E60D0">
      <w:pPr>
        <w:numPr>
          <w:ilvl w:val="0"/>
          <w:numId w:val="13"/>
        </w:numPr>
        <w:jc w:val="both"/>
        <w:rPr>
          <w:szCs w:val="24"/>
        </w:rPr>
      </w:pPr>
      <w:r>
        <w:rPr>
          <w:szCs w:val="24"/>
        </w:rPr>
        <w:t xml:space="preserve">Ingresos Tributarios          </w:t>
      </w:r>
      <w:r>
        <w:rPr>
          <w:szCs w:val="24"/>
        </w:rPr>
        <w:tab/>
      </w:r>
      <w:r>
        <w:rPr>
          <w:szCs w:val="24"/>
        </w:rPr>
        <w:tab/>
      </w:r>
      <w:r>
        <w:rPr>
          <w:szCs w:val="24"/>
        </w:rPr>
        <w:tab/>
        <w:t>(11,3%)</w:t>
      </w:r>
    </w:p>
    <w:p w:rsidR="007E60D0" w:rsidRDefault="007E60D0">
      <w:pPr>
        <w:numPr>
          <w:ilvl w:val="0"/>
          <w:numId w:val="13"/>
        </w:numPr>
        <w:jc w:val="both"/>
        <w:rPr>
          <w:szCs w:val="24"/>
        </w:rPr>
      </w:pPr>
      <w:r>
        <w:rPr>
          <w:szCs w:val="24"/>
        </w:rPr>
        <w:t>Ingresos No Tributarios</w:t>
      </w:r>
      <w:r>
        <w:rPr>
          <w:szCs w:val="24"/>
        </w:rPr>
        <w:tab/>
      </w:r>
      <w:r>
        <w:rPr>
          <w:szCs w:val="24"/>
        </w:rPr>
        <w:tab/>
        <w:t xml:space="preserve"> </w:t>
      </w:r>
      <w:r>
        <w:rPr>
          <w:szCs w:val="24"/>
        </w:rPr>
        <w:tab/>
        <w:t>(1,3%)</w:t>
      </w:r>
    </w:p>
    <w:p w:rsidR="007E60D0" w:rsidRDefault="007E60D0">
      <w:pPr>
        <w:jc w:val="both"/>
        <w:rPr>
          <w:szCs w:val="24"/>
        </w:rPr>
      </w:pPr>
    </w:p>
    <w:p w:rsidR="007E60D0" w:rsidRDefault="007E60D0">
      <w:pPr>
        <w:jc w:val="both"/>
        <w:rPr>
          <w:szCs w:val="24"/>
        </w:rPr>
      </w:pPr>
      <w:r>
        <w:rPr>
          <w:szCs w:val="24"/>
        </w:rPr>
        <w:t>En el listado anterior se nota claramente que las transferencias son las que mayor porcentaje de participación tienen dentro de los ingresos; mientras que los ingresos no tributarios son los menos significativos en el total de los ingresos corrientes del Municipio.</w:t>
      </w:r>
    </w:p>
    <w:p w:rsidR="007E60D0" w:rsidRDefault="007E60D0">
      <w:pPr>
        <w:jc w:val="both"/>
        <w:rPr>
          <w:szCs w:val="24"/>
        </w:rPr>
      </w:pPr>
    </w:p>
    <w:p w:rsidR="007E60D0" w:rsidRDefault="007E60D0">
      <w:pPr>
        <w:jc w:val="both"/>
        <w:rPr>
          <w:szCs w:val="24"/>
        </w:rPr>
      </w:pPr>
    </w:p>
    <w:p w:rsidR="007E60D0" w:rsidRDefault="007E60D0">
      <w:pPr>
        <w:jc w:val="both"/>
        <w:rPr>
          <w:szCs w:val="24"/>
        </w:rPr>
      </w:pPr>
      <w:r>
        <w:rPr>
          <w:szCs w:val="24"/>
        </w:rPr>
        <w:t>Lo podemos observar en el siguiente cuadro:</w:t>
      </w:r>
    </w:p>
    <w:p w:rsidR="007E60D0" w:rsidRDefault="007E60D0">
      <w:pPr>
        <w:jc w:val="both"/>
        <w:rPr>
          <w:szCs w:val="24"/>
        </w:rPr>
      </w:pPr>
    </w:p>
    <w:p w:rsidR="007E60D0" w:rsidRDefault="007E60D0">
      <w:pPr>
        <w:jc w:val="both"/>
        <w:rPr>
          <w:szCs w:val="24"/>
        </w:rPr>
      </w:pPr>
    </w:p>
    <w:p w:rsidR="007E60D0" w:rsidRDefault="007E60D0">
      <w:pPr>
        <w:jc w:val="both"/>
        <w:rPr>
          <w:szCs w:val="24"/>
        </w:rPr>
      </w:pPr>
    </w:p>
    <w:p w:rsidR="007E60D0" w:rsidRDefault="007E60D0">
      <w:pPr>
        <w:jc w:val="both"/>
        <w:rPr>
          <w:szCs w:val="24"/>
        </w:rPr>
      </w:pPr>
    </w:p>
    <w:p w:rsidR="007E60D0" w:rsidRDefault="007E60D0">
      <w:pPr>
        <w:jc w:val="both"/>
        <w:rPr>
          <w:szCs w:val="24"/>
        </w:rPr>
      </w:pPr>
    </w:p>
    <w:p w:rsidR="007E60D0" w:rsidRDefault="007E60D0">
      <w:pPr>
        <w:jc w:val="both"/>
        <w:rPr>
          <w:szCs w:val="24"/>
        </w:rPr>
      </w:pPr>
    </w:p>
    <w:p w:rsidR="007E60D0" w:rsidRDefault="007E60D0">
      <w:pPr>
        <w:jc w:val="both"/>
        <w:rPr>
          <w:szCs w:val="24"/>
        </w:rPr>
      </w:pPr>
    </w:p>
    <w:tbl>
      <w:tblPr>
        <w:tblW w:w="0" w:type="auto"/>
        <w:tblInd w:w="70" w:type="dxa"/>
        <w:tblLayout w:type="fixed"/>
        <w:tblCellMar>
          <w:left w:w="70" w:type="dxa"/>
          <w:right w:w="70" w:type="dxa"/>
        </w:tblCellMar>
        <w:tblLook w:val="0000"/>
      </w:tblPr>
      <w:tblGrid>
        <w:gridCol w:w="2736"/>
        <w:gridCol w:w="1342"/>
        <w:gridCol w:w="1336"/>
        <w:gridCol w:w="1342"/>
        <w:gridCol w:w="20"/>
      </w:tblGrid>
      <w:tr w:rsidR="007E60D0">
        <w:trPr>
          <w:gridAfter w:val="1"/>
          <w:wAfter w:w="20" w:type="dxa"/>
          <w:trHeight w:val="270"/>
        </w:trPr>
        <w:tc>
          <w:tcPr>
            <w:tcW w:w="6756" w:type="dxa"/>
            <w:gridSpan w:val="4"/>
            <w:shd w:val="clear" w:color="auto" w:fill="auto"/>
            <w:vAlign w:val="center"/>
          </w:tcPr>
          <w:p w:rsidR="007E60D0" w:rsidRDefault="007E60D0">
            <w:pPr>
              <w:snapToGrid w:val="0"/>
              <w:jc w:val="center"/>
              <w:rPr>
                <w:b/>
                <w:bCs/>
                <w:color w:val="000000"/>
                <w:sz w:val="22"/>
                <w:szCs w:val="22"/>
              </w:rPr>
            </w:pPr>
            <w:r>
              <w:rPr>
                <w:b/>
                <w:bCs/>
                <w:color w:val="000000"/>
                <w:sz w:val="22"/>
                <w:szCs w:val="22"/>
              </w:rPr>
              <w:t>CUADRO No. 2</w:t>
            </w:r>
          </w:p>
        </w:tc>
      </w:tr>
      <w:tr w:rsidR="007E60D0">
        <w:trPr>
          <w:gridAfter w:val="1"/>
          <w:wAfter w:w="20" w:type="dxa"/>
          <w:trHeight w:val="330"/>
        </w:trPr>
        <w:tc>
          <w:tcPr>
            <w:tcW w:w="6756" w:type="dxa"/>
            <w:gridSpan w:val="4"/>
            <w:shd w:val="clear" w:color="auto" w:fill="auto"/>
            <w:vAlign w:val="center"/>
          </w:tcPr>
          <w:p w:rsidR="007E60D0" w:rsidRDefault="007E60D0">
            <w:pPr>
              <w:snapToGrid w:val="0"/>
              <w:jc w:val="center"/>
              <w:rPr>
                <w:b/>
                <w:bCs/>
                <w:color w:val="000000"/>
                <w:sz w:val="22"/>
                <w:szCs w:val="22"/>
              </w:rPr>
            </w:pPr>
            <w:r>
              <w:rPr>
                <w:b/>
                <w:bCs/>
                <w:color w:val="000000"/>
                <w:sz w:val="22"/>
                <w:szCs w:val="22"/>
              </w:rPr>
              <w:t>INGRESOS CORRIENTES</w:t>
            </w:r>
          </w:p>
        </w:tc>
      </w:tr>
      <w:tr w:rsidR="007E60D0">
        <w:trPr>
          <w:gridAfter w:val="1"/>
          <w:wAfter w:w="20" w:type="dxa"/>
          <w:trHeight w:val="315"/>
        </w:trPr>
        <w:tc>
          <w:tcPr>
            <w:tcW w:w="6756" w:type="dxa"/>
            <w:gridSpan w:val="4"/>
            <w:shd w:val="clear" w:color="auto" w:fill="auto"/>
            <w:vAlign w:val="center"/>
          </w:tcPr>
          <w:p w:rsidR="007E60D0" w:rsidRDefault="007E60D0">
            <w:pPr>
              <w:snapToGrid w:val="0"/>
              <w:jc w:val="center"/>
              <w:rPr>
                <w:b/>
                <w:bCs/>
                <w:color w:val="000000"/>
                <w:sz w:val="22"/>
                <w:szCs w:val="22"/>
              </w:rPr>
            </w:pPr>
            <w:r>
              <w:rPr>
                <w:b/>
                <w:bCs/>
                <w:color w:val="000000"/>
                <w:sz w:val="22"/>
                <w:szCs w:val="22"/>
              </w:rPr>
              <w:t>VARIACIONES ANUALES</w:t>
            </w:r>
          </w:p>
        </w:tc>
      </w:tr>
      <w:tr w:rsidR="007E60D0">
        <w:trPr>
          <w:gridAfter w:val="1"/>
          <w:wAfter w:w="20" w:type="dxa"/>
          <w:trHeight w:val="270"/>
        </w:trPr>
        <w:tc>
          <w:tcPr>
            <w:tcW w:w="4078" w:type="dxa"/>
            <w:gridSpan w:val="2"/>
            <w:tcBorders>
              <w:bottom w:val="single" w:sz="8" w:space="0" w:color="000000"/>
            </w:tcBorders>
            <w:shd w:val="clear" w:color="auto" w:fill="auto"/>
            <w:vAlign w:val="center"/>
          </w:tcPr>
          <w:p w:rsidR="007E60D0" w:rsidRDefault="007E60D0">
            <w:pPr>
              <w:snapToGrid w:val="0"/>
              <w:jc w:val="center"/>
              <w:rPr>
                <w:color w:val="000000"/>
                <w:szCs w:val="22"/>
              </w:rPr>
            </w:pPr>
          </w:p>
        </w:tc>
        <w:tc>
          <w:tcPr>
            <w:tcW w:w="1336" w:type="dxa"/>
            <w:shd w:val="clear" w:color="auto" w:fill="auto"/>
            <w:vAlign w:val="center"/>
          </w:tcPr>
          <w:p w:rsidR="007E60D0" w:rsidRDefault="007E60D0">
            <w:pPr>
              <w:snapToGrid w:val="0"/>
              <w:jc w:val="center"/>
              <w:rPr>
                <w:color w:val="000000"/>
                <w:szCs w:val="22"/>
              </w:rPr>
            </w:pPr>
          </w:p>
        </w:tc>
        <w:tc>
          <w:tcPr>
            <w:tcW w:w="1342" w:type="dxa"/>
            <w:tcBorders>
              <w:bottom w:val="single" w:sz="8" w:space="0" w:color="000000"/>
            </w:tcBorders>
            <w:shd w:val="clear" w:color="auto" w:fill="auto"/>
            <w:vAlign w:val="center"/>
          </w:tcPr>
          <w:p w:rsidR="007E60D0" w:rsidRDefault="007E60D0">
            <w:pPr>
              <w:snapToGrid w:val="0"/>
              <w:jc w:val="center"/>
              <w:rPr>
                <w:color w:val="000000"/>
                <w:szCs w:val="22"/>
              </w:rPr>
            </w:pPr>
          </w:p>
        </w:tc>
      </w:tr>
      <w:tr w:rsidR="007E60D0">
        <w:trPr>
          <w:trHeight w:val="270"/>
        </w:trPr>
        <w:tc>
          <w:tcPr>
            <w:tcW w:w="2736" w:type="dxa"/>
            <w:tcBorders>
              <w:left w:val="single" w:sz="8" w:space="0" w:color="000000"/>
              <w:bottom w:val="single" w:sz="8"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CONCEPTO</w:t>
            </w:r>
          </w:p>
        </w:tc>
        <w:tc>
          <w:tcPr>
            <w:tcW w:w="1342" w:type="dxa"/>
            <w:tcBorders>
              <w:left w:val="single" w:sz="8" w:space="0" w:color="000000"/>
              <w:bottom w:val="single" w:sz="8"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Año</w:t>
            </w:r>
          </w:p>
        </w:tc>
        <w:tc>
          <w:tcPr>
            <w:tcW w:w="1336" w:type="dxa"/>
            <w:tcBorders>
              <w:top w:val="single" w:sz="8" w:space="0" w:color="000000"/>
              <w:left w:val="single" w:sz="8" w:space="0" w:color="000000"/>
              <w:bottom w:val="single" w:sz="8"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Año</w:t>
            </w:r>
          </w:p>
        </w:tc>
        <w:tc>
          <w:tcPr>
            <w:tcW w:w="1362" w:type="dxa"/>
            <w:gridSpan w:val="2"/>
            <w:tcBorders>
              <w:left w:val="single" w:sz="8" w:space="0" w:color="000000"/>
              <w:bottom w:val="single" w:sz="8" w:space="0" w:color="000000"/>
              <w:right w:val="single" w:sz="8"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Año</w:t>
            </w:r>
          </w:p>
        </w:tc>
      </w:tr>
      <w:tr w:rsidR="007E60D0">
        <w:trPr>
          <w:trHeight w:val="270"/>
        </w:trPr>
        <w:tc>
          <w:tcPr>
            <w:tcW w:w="2736" w:type="dxa"/>
            <w:tcBorders>
              <w:left w:val="single" w:sz="8" w:space="0" w:color="000000"/>
              <w:bottom w:val="single" w:sz="8" w:space="0" w:color="000000"/>
            </w:tcBorders>
            <w:shd w:val="clear" w:color="auto" w:fill="auto"/>
            <w:vAlign w:val="center"/>
          </w:tcPr>
          <w:p w:rsidR="007E60D0" w:rsidRDefault="007E60D0">
            <w:pPr>
              <w:snapToGrid w:val="0"/>
              <w:jc w:val="center"/>
              <w:rPr>
                <w:color w:val="000000"/>
                <w:szCs w:val="22"/>
              </w:rPr>
            </w:pPr>
          </w:p>
        </w:tc>
        <w:tc>
          <w:tcPr>
            <w:tcW w:w="1342" w:type="dxa"/>
            <w:tcBorders>
              <w:left w:val="single" w:sz="8" w:space="0" w:color="000000"/>
              <w:bottom w:val="single" w:sz="8"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2008</w:t>
            </w:r>
          </w:p>
        </w:tc>
        <w:tc>
          <w:tcPr>
            <w:tcW w:w="1336" w:type="dxa"/>
            <w:tcBorders>
              <w:left w:val="single" w:sz="8" w:space="0" w:color="000000"/>
              <w:bottom w:val="single" w:sz="8"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2009</w:t>
            </w:r>
          </w:p>
        </w:tc>
        <w:tc>
          <w:tcPr>
            <w:tcW w:w="1362" w:type="dxa"/>
            <w:gridSpan w:val="2"/>
            <w:tcBorders>
              <w:left w:val="single" w:sz="8" w:space="0" w:color="000000"/>
              <w:bottom w:val="single" w:sz="8" w:space="0" w:color="000000"/>
              <w:right w:val="single" w:sz="8"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2010</w:t>
            </w:r>
          </w:p>
        </w:tc>
      </w:tr>
      <w:tr w:rsidR="007E60D0">
        <w:trPr>
          <w:trHeight w:val="276"/>
        </w:trPr>
        <w:tc>
          <w:tcPr>
            <w:tcW w:w="2736" w:type="dxa"/>
            <w:vMerge w:val="restart"/>
            <w:tcBorders>
              <w:left w:val="single" w:sz="8" w:space="0" w:color="000000"/>
              <w:bottom w:val="single" w:sz="8"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TOTAL INGRESOS</w:t>
            </w:r>
          </w:p>
        </w:tc>
        <w:tc>
          <w:tcPr>
            <w:tcW w:w="1342" w:type="dxa"/>
            <w:vMerge w:val="restart"/>
            <w:tcBorders>
              <w:left w:val="single" w:sz="8" w:space="0" w:color="000000"/>
              <w:bottom w:val="single" w:sz="8" w:space="0" w:color="000000"/>
            </w:tcBorders>
            <w:shd w:val="clear" w:color="auto" w:fill="auto"/>
            <w:vAlign w:val="center"/>
          </w:tcPr>
          <w:p w:rsidR="007E60D0" w:rsidRDefault="007E60D0">
            <w:pPr>
              <w:snapToGrid w:val="0"/>
              <w:jc w:val="center"/>
              <w:rPr>
                <w:sz w:val="22"/>
                <w:szCs w:val="22"/>
              </w:rPr>
            </w:pPr>
            <w:r>
              <w:rPr>
                <w:sz w:val="22"/>
                <w:szCs w:val="22"/>
              </w:rPr>
              <w:t>33.965</w:t>
            </w:r>
          </w:p>
        </w:tc>
        <w:tc>
          <w:tcPr>
            <w:tcW w:w="1336" w:type="dxa"/>
            <w:vMerge w:val="restart"/>
            <w:tcBorders>
              <w:left w:val="single" w:sz="4" w:space="0" w:color="000000"/>
              <w:bottom w:val="single" w:sz="8" w:space="0" w:color="000000"/>
            </w:tcBorders>
            <w:shd w:val="clear" w:color="auto" w:fill="auto"/>
            <w:vAlign w:val="center"/>
          </w:tcPr>
          <w:p w:rsidR="007E60D0" w:rsidRDefault="007E60D0">
            <w:pPr>
              <w:snapToGrid w:val="0"/>
              <w:jc w:val="center"/>
              <w:rPr>
                <w:sz w:val="22"/>
                <w:szCs w:val="22"/>
              </w:rPr>
            </w:pPr>
            <w:r>
              <w:rPr>
                <w:sz w:val="22"/>
                <w:szCs w:val="22"/>
              </w:rPr>
              <w:t>28.103</w:t>
            </w:r>
          </w:p>
        </w:tc>
        <w:tc>
          <w:tcPr>
            <w:tcW w:w="1362" w:type="dxa"/>
            <w:gridSpan w:val="2"/>
            <w:vMerge w:val="restart"/>
            <w:tcBorders>
              <w:left w:val="single" w:sz="4" w:space="0" w:color="000000"/>
              <w:bottom w:val="single" w:sz="8" w:space="0" w:color="000000"/>
              <w:right w:val="single" w:sz="8" w:space="0" w:color="000000"/>
            </w:tcBorders>
            <w:shd w:val="clear" w:color="auto" w:fill="auto"/>
            <w:vAlign w:val="center"/>
          </w:tcPr>
          <w:p w:rsidR="007E60D0" w:rsidRDefault="007E60D0">
            <w:pPr>
              <w:snapToGrid w:val="0"/>
              <w:jc w:val="center"/>
              <w:rPr>
                <w:sz w:val="22"/>
                <w:szCs w:val="22"/>
              </w:rPr>
            </w:pPr>
            <w:r>
              <w:rPr>
                <w:sz w:val="22"/>
                <w:szCs w:val="22"/>
              </w:rPr>
              <w:t>31.839</w:t>
            </w:r>
          </w:p>
        </w:tc>
      </w:tr>
      <w:tr w:rsidR="007E60D0">
        <w:trPr>
          <w:trHeight w:val="276"/>
        </w:trPr>
        <w:tc>
          <w:tcPr>
            <w:tcW w:w="2736" w:type="dxa"/>
            <w:vMerge/>
            <w:tcBorders>
              <w:left w:val="single" w:sz="8" w:space="0" w:color="000000"/>
              <w:bottom w:val="single" w:sz="8" w:space="0" w:color="000000"/>
            </w:tcBorders>
            <w:shd w:val="clear" w:color="auto" w:fill="auto"/>
            <w:vAlign w:val="center"/>
          </w:tcPr>
          <w:p w:rsidR="007E60D0" w:rsidRDefault="007E60D0">
            <w:pPr>
              <w:snapToGrid w:val="0"/>
              <w:jc w:val="center"/>
              <w:rPr>
                <w:b/>
                <w:bCs/>
                <w:color w:val="000000"/>
                <w:szCs w:val="22"/>
              </w:rPr>
            </w:pPr>
          </w:p>
        </w:tc>
        <w:tc>
          <w:tcPr>
            <w:tcW w:w="1342" w:type="dxa"/>
            <w:vMerge/>
            <w:tcBorders>
              <w:left w:val="single" w:sz="8" w:space="0" w:color="000000"/>
              <w:bottom w:val="single" w:sz="8" w:space="0" w:color="000000"/>
            </w:tcBorders>
            <w:shd w:val="clear" w:color="auto" w:fill="auto"/>
            <w:vAlign w:val="center"/>
          </w:tcPr>
          <w:p w:rsidR="007E60D0" w:rsidRDefault="007E60D0">
            <w:pPr>
              <w:snapToGrid w:val="0"/>
              <w:jc w:val="center"/>
              <w:rPr>
                <w:szCs w:val="22"/>
              </w:rPr>
            </w:pPr>
          </w:p>
        </w:tc>
        <w:tc>
          <w:tcPr>
            <w:tcW w:w="1336" w:type="dxa"/>
            <w:vMerge/>
            <w:tcBorders>
              <w:left w:val="single" w:sz="4" w:space="0" w:color="000000"/>
              <w:bottom w:val="single" w:sz="8" w:space="0" w:color="000000"/>
            </w:tcBorders>
            <w:shd w:val="clear" w:color="auto" w:fill="auto"/>
            <w:vAlign w:val="center"/>
          </w:tcPr>
          <w:p w:rsidR="007E60D0" w:rsidRDefault="007E60D0">
            <w:pPr>
              <w:snapToGrid w:val="0"/>
              <w:jc w:val="center"/>
              <w:rPr>
                <w:szCs w:val="22"/>
              </w:rPr>
            </w:pPr>
          </w:p>
        </w:tc>
        <w:tc>
          <w:tcPr>
            <w:tcW w:w="1362" w:type="dxa"/>
            <w:gridSpan w:val="2"/>
            <w:vMerge/>
            <w:tcBorders>
              <w:left w:val="single" w:sz="4" w:space="0" w:color="000000"/>
              <w:bottom w:val="single" w:sz="8" w:space="0" w:color="000000"/>
              <w:right w:val="single" w:sz="8" w:space="0" w:color="000000"/>
            </w:tcBorders>
            <w:shd w:val="clear" w:color="auto" w:fill="auto"/>
            <w:vAlign w:val="center"/>
          </w:tcPr>
          <w:p w:rsidR="007E60D0" w:rsidRDefault="007E60D0">
            <w:pPr>
              <w:snapToGrid w:val="0"/>
              <w:jc w:val="center"/>
              <w:rPr>
                <w:szCs w:val="22"/>
              </w:rPr>
            </w:pPr>
          </w:p>
        </w:tc>
      </w:tr>
      <w:tr w:rsidR="007E60D0">
        <w:trPr>
          <w:trHeight w:val="330"/>
        </w:trPr>
        <w:tc>
          <w:tcPr>
            <w:tcW w:w="2736" w:type="dxa"/>
            <w:vMerge w:val="restart"/>
            <w:tcBorders>
              <w:left w:val="single" w:sz="8" w:space="0" w:color="000000"/>
              <w:bottom w:val="single" w:sz="8"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INGRESOS CORRIENTES</w:t>
            </w:r>
          </w:p>
        </w:tc>
        <w:tc>
          <w:tcPr>
            <w:tcW w:w="1342" w:type="dxa"/>
            <w:vMerge w:val="restart"/>
            <w:tcBorders>
              <w:left w:val="single" w:sz="8" w:space="0" w:color="000000"/>
              <w:bottom w:val="single" w:sz="8" w:space="0" w:color="000000"/>
            </w:tcBorders>
            <w:shd w:val="clear" w:color="auto" w:fill="auto"/>
            <w:vAlign w:val="center"/>
          </w:tcPr>
          <w:p w:rsidR="007E60D0" w:rsidRDefault="007E60D0">
            <w:pPr>
              <w:snapToGrid w:val="0"/>
              <w:jc w:val="center"/>
              <w:rPr>
                <w:sz w:val="22"/>
                <w:szCs w:val="22"/>
              </w:rPr>
            </w:pPr>
            <w:r>
              <w:rPr>
                <w:sz w:val="22"/>
                <w:szCs w:val="22"/>
              </w:rPr>
              <w:t>4.627</w:t>
            </w:r>
          </w:p>
        </w:tc>
        <w:tc>
          <w:tcPr>
            <w:tcW w:w="1336" w:type="dxa"/>
            <w:vMerge w:val="restart"/>
            <w:tcBorders>
              <w:left w:val="single" w:sz="4" w:space="0" w:color="000000"/>
              <w:bottom w:val="single" w:sz="8" w:space="0" w:color="000000"/>
            </w:tcBorders>
            <w:shd w:val="clear" w:color="auto" w:fill="auto"/>
            <w:vAlign w:val="center"/>
          </w:tcPr>
          <w:p w:rsidR="007E60D0" w:rsidRDefault="007E60D0">
            <w:pPr>
              <w:snapToGrid w:val="0"/>
              <w:jc w:val="center"/>
              <w:rPr>
                <w:sz w:val="22"/>
                <w:szCs w:val="22"/>
              </w:rPr>
            </w:pPr>
            <w:r>
              <w:rPr>
                <w:sz w:val="22"/>
                <w:szCs w:val="22"/>
              </w:rPr>
              <w:t>5.260</w:t>
            </w:r>
          </w:p>
        </w:tc>
        <w:tc>
          <w:tcPr>
            <w:tcW w:w="1362" w:type="dxa"/>
            <w:gridSpan w:val="2"/>
            <w:vMerge w:val="restart"/>
            <w:tcBorders>
              <w:left w:val="single" w:sz="4" w:space="0" w:color="000000"/>
              <w:bottom w:val="single" w:sz="8" w:space="0" w:color="000000"/>
              <w:right w:val="single" w:sz="8" w:space="0" w:color="000000"/>
            </w:tcBorders>
            <w:shd w:val="clear" w:color="auto" w:fill="auto"/>
            <w:vAlign w:val="center"/>
          </w:tcPr>
          <w:p w:rsidR="007E60D0" w:rsidRDefault="007E60D0">
            <w:pPr>
              <w:snapToGrid w:val="0"/>
              <w:jc w:val="center"/>
              <w:rPr>
                <w:sz w:val="22"/>
                <w:szCs w:val="22"/>
              </w:rPr>
            </w:pPr>
            <w:r>
              <w:rPr>
                <w:sz w:val="22"/>
                <w:szCs w:val="22"/>
              </w:rPr>
              <w:t>5.229</w:t>
            </w:r>
          </w:p>
        </w:tc>
      </w:tr>
      <w:tr w:rsidR="007E60D0">
        <w:trPr>
          <w:trHeight w:val="276"/>
        </w:trPr>
        <w:tc>
          <w:tcPr>
            <w:tcW w:w="2736" w:type="dxa"/>
            <w:vMerge/>
            <w:tcBorders>
              <w:left w:val="single" w:sz="8" w:space="0" w:color="000000"/>
              <w:bottom w:val="single" w:sz="8" w:space="0" w:color="000000"/>
            </w:tcBorders>
            <w:shd w:val="clear" w:color="auto" w:fill="auto"/>
            <w:vAlign w:val="center"/>
          </w:tcPr>
          <w:p w:rsidR="007E60D0" w:rsidRDefault="007E60D0">
            <w:pPr>
              <w:snapToGrid w:val="0"/>
              <w:jc w:val="center"/>
              <w:rPr>
                <w:b/>
                <w:bCs/>
                <w:color w:val="000000"/>
                <w:szCs w:val="22"/>
              </w:rPr>
            </w:pPr>
          </w:p>
        </w:tc>
        <w:tc>
          <w:tcPr>
            <w:tcW w:w="1342" w:type="dxa"/>
            <w:vMerge/>
            <w:tcBorders>
              <w:left w:val="single" w:sz="8" w:space="0" w:color="000000"/>
              <w:bottom w:val="single" w:sz="8" w:space="0" w:color="000000"/>
            </w:tcBorders>
            <w:shd w:val="clear" w:color="auto" w:fill="auto"/>
            <w:vAlign w:val="center"/>
          </w:tcPr>
          <w:p w:rsidR="007E60D0" w:rsidRDefault="007E60D0">
            <w:pPr>
              <w:snapToGrid w:val="0"/>
              <w:jc w:val="center"/>
              <w:rPr>
                <w:szCs w:val="22"/>
              </w:rPr>
            </w:pPr>
          </w:p>
        </w:tc>
        <w:tc>
          <w:tcPr>
            <w:tcW w:w="1336" w:type="dxa"/>
            <w:vMerge/>
            <w:tcBorders>
              <w:left w:val="single" w:sz="4" w:space="0" w:color="000000"/>
              <w:bottom w:val="single" w:sz="8" w:space="0" w:color="000000"/>
            </w:tcBorders>
            <w:shd w:val="clear" w:color="auto" w:fill="auto"/>
            <w:vAlign w:val="center"/>
          </w:tcPr>
          <w:p w:rsidR="007E60D0" w:rsidRDefault="007E60D0">
            <w:pPr>
              <w:snapToGrid w:val="0"/>
              <w:jc w:val="center"/>
              <w:rPr>
                <w:szCs w:val="22"/>
              </w:rPr>
            </w:pPr>
          </w:p>
        </w:tc>
        <w:tc>
          <w:tcPr>
            <w:tcW w:w="1362" w:type="dxa"/>
            <w:gridSpan w:val="2"/>
            <w:vMerge/>
            <w:tcBorders>
              <w:left w:val="single" w:sz="4" w:space="0" w:color="000000"/>
              <w:bottom w:val="single" w:sz="8" w:space="0" w:color="000000"/>
              <w:right w:val="single" w:sz="8" w:space="0" w:color="000000"/>
            </w:tcBorders>
            <w:shd w:val="clear" w:color="auto" w:fill="auto"/>
            <w:vAlign w:val="center"/>
          </w:tcPr>
          <w:p w:rsidR="007E60D0" w:rsidRDefault="007E60D0">
            <w:pPr>
              <w:snapToGrid w:val="0"/>
              <w:jc w:val="center"/>
              <w:rPr>
                <w:szCs w:val="22"/>
              </w:rPr>
            </w:pPr>
          </w:p>
        </w:tc>
      </w:tr>
      <w:tr w:rsidR="007E60D0">
        <w:trPr>
          <w:trHeight w:val="276"/>
        </w:trPr>
        <w:tc>
          <w:tcPr>
            <w:tcW w:w="2736" w:type="dxa"/>
            <w:vMerge w:val="restart"/>
            <w:tcBorders>
              <w:left w:val="single" w:sz="8" w:space="0" w:color="000000"/>
              <w:bottom w:val="single" w:sz="8"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TRIBUTARIOS</w:t>
            </w:r>
          </w:p>
        </w:tc>
        <w:tc>
          <w:tcPr>
            <w:tcW w:w="1342" w:type="dxa"/>
            <w:vMerge w:val="restart"/>
            <w:tcBorders>
              <w:left w:val="single" w:sz="8" w:space="0" w:color="000000"/>
              <w:bottom w:val="single" w:sz="8" w:space="0" w:color="000000"/>
            </w:tcBorders>
            <w:shd w:val="clear" w:color="auto" w:fill="auto"/>
            <w:vAlign w:val="center"/>
          </w:tcPr>
          <w:p w:rsidR="007E60D0" w:rsidRDefault="007E60D0">
            <w:pPr>
              <w:snapToGrid w:val="0"/>
              <w:jc w:val="center"/>
              <w:rPr>
                <w:sz w:val="22"/>
                <w:szCs w:val="22"/>
              </w:rPr>
            </w:pPr>
            <w:r>
              <w:rPr>
                <w:sz w:val="22"/>
                <w:szCs w:val="22"/>
              </w:rPr>
              <w:t>3.615</w:t>
            </w:r>
          </w:p>
        </w:tc>
        <w:tc>
          <w:tcPr>
            <w:tcW w:w="1336" w:type="dxa"/>
            <w:vMerge w:val="restart"/>
            <w:tcBorders>
              <w:left w:val="single" w:sz="4" w:space="0" w:color="000000"/>
              <w:bottom w:val="single" w:sz="8" w:space="0" w:color="000000"/>
            </w:tcBorders>
            <w:shd w:val="clear" w:color="auto" w:fill="auto"/>
            <w:vAlign w:val="center"/>
          </w:tcPr>
          <w:p w:rsidR="007E60D0" w:rsidRDefault="007E60D0">
            <w:pPr>
              <w:snapToGrid w:val="0"/>
              <w:jc w:val="center"/>
              <w:rPr>
                <w:sz w:val="22"/>
                <w:szCs w:val="22"/>
              </w:rPr>
            </w:pPr>
            <w:r>
              <w:rPr>
                <w:sz w:val="22"/>
                <w:szCs w:val="22"/>
              </w:rPr>
              <w:t>3.923</w:t>
            </w:r>
          </w:p>
        </w:tc>
        <w:tc>
          <w:tcPr>
            <w:tcW w:w="1362" w:type="dxa"/>
            <w:gridSpan w:val="2"/>
            <w:vMerge w:val="restart"/>
            <w:tcBorders>
              <w:left w:val="single" w:sz="4" w:space="0" w:color="000000"/>
              <w:bottom w:val="single" w:sz="8" w:space="0" w:color="000000"/>
              <w:right w:val="single" w:sz="8" w:space="0" w:color="000000"/>
            </w:tcBorders>
            <w:shd w:val="clear" w:color="auto" w:fill="auto"/>
            <w:vAlign w:val="center"/>
          </w:tcPr>
          <w:p w:rsidR="007E60D0" w:rsidRDefault="007E60D0">
            <w:pPr>
              <w:snapToGrid w:val="0"/>
              <w:jc w:val="center"/>
              <w:rPr>
                <w:sz w:val="22"/>
                <w:szCs w:val="22"/>
              </w:rPr>
            </w:pPr>
            <w:r>
              <w:rPr>
                <w:sz w:val="22"/>
                <w:szCs w:val="22"/>
              </w:rPr>
              <w:t>4.219</w:t>
            </w:r>
          </w:p>
        </w:tc>
      </w:tr>
      <w:tr w:rsidR="007E60D0">
        <w:trPr>
          <w:trHeight w:val="276"/>
        </w:trPr>
        <w:tc>
          <w:tcPr>
            <w:tcW w:w="2736" w:type="dxa"/>
            <w:vMerge/>
            <w:tcBorders>
              <w:left w:val="single" w:sz="8" w:space="0" w:color="000000"/>
              <w:bottom w:val="single" w:sz="8" w:space="0" w:color="000000"/>
            </w:tcBorders>
            <w:shd w:val="clear" w:color="auto" w:fill="auto"/>
            <w:vAlign w:val="center"/>
          </w:tcPr>
          <w:p w:rsidR="007E60D0" w:rsidRDefault="007E60D0">
            <w:pPr>
              <w:snapToGrid w:val="0"/>
              <w:jc w:val="center"/>
              <w:rPr>
                <w:b/>
                <w:bCs/>
                <w:color w:val="000000"/>
                <w:szCs w:val="22"/>
              </w:rPr>
            </w:pPr>
          </w:p>
        </w:tc>
        <w:tc>
          <w:tcPr>
            <w:tcW w:w="1342" w:type="dxa"/>
            <w:vMerge/>
            <w:tcBorders>
              <w:left w:val="single" w:sz="8" w:space="0" w:color="000000"/>
              <w:bottom w:val="single" w:sz="8" w:space="0" w:color="000000"/>
            </w:tcBorders>
            <w:shd w:val="clear" w:color="auto" w:fill="auto"/>
            <w:vAlign w:val="center"/>
          </w:tcPr>
          <w:p w:rsidR="007E60D0" w:rsidRDefault="007E60D0">
            <w:pPr>
              <w:snapToGrid w:val="0"/>
              <w:jc w:val="center"/>
              <w:rPr>
                <w:szCs w:val="22"/>
              </w:rPr>
            </w:pPr>
          </w:p>
        </w:tc>
        <w:tc>
          <w:tcPr>
            <w:tcW w:w="1336" w:type="dxa"/>
            <w:vMerge/>
            <w:tcBorders>
              <w:left w:val="single" w:sz="4" w:space="0" w:color="000000"/>
              <w:bottom w:val="single" w:sz="8" w:space="0" w:color="000000"/>
            </w:tcBorders>
            <w:shd w:val="clear" w:color="auto" w:fill="auto"/>
            <w:vAlign w:val="center"/>
          </w:tcPr>
          <w:p w:rsidR="007E60D0" w:rsidRDefault="007E60D0">
            <w:pPr>
              <w:snapToGrid w:val="0"/>
              <w:jc w:val="center"/>
              <w:rPr>
                <w:szCs w:val="22"/>
              </w:rPr>
            </w:pPr>
          </w:p>
        </w:tc>
        <w:tc>
          <w:tcPr>
            <w:tcW w:w="1362" w:type="dxa"/>
            <w:gridSpan w:val="2"/>
            <w:vMerge/>
            <w:tcBorders>
              <w:left w:val="single" w:sz="4" w:space="0" w:color="000000"/>
              <w:bottom w:val="single" w:sz="8" w:space="0" w:color="000000"/>
              <w:right w:val="single" w:sz="8" w:space="0" w:color="000000"/>
            </w:tcBorders>
            <w:shd w:val="clear" w:color="auto" w:fill="auto"/>
            <w:vAlign w:val="center"/>
          </w:tcPr>
          <w:p w:rsidR="007E60D0" w:rsidRDefault="007E60D0">
            <w:pPr>
              <w:snapToGrid w:val="0"/>
              <w:jc w:val="center"/>
              <w:rPr>
                <w:szCs w:val="22"/>
              </w:rPr>
            </w:pPr>
          </w:p>
        </w:tc>
      </w:tr>
      <w:tr w:rsidR="007E60D0">
        <w:trPr>
          <w:trHeight w:val="276"/>
        </w:trPr>
        <w:tc>
          <w:tcPr>
            <w:tcW w:w="2736" w:type="dxa"/>
            <w:vMerge w:val="restart"/>
            <w:tcBorders>
              <w:left w:val="single" w:sz="8" w:space="0" w:color="000000"/>
              <w:bottom w:val="single" w:sz="8"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NO TRIBUTARIOS</w:t>
            </w:r>
          </w:p>
        </w:tc>
        <w:tc>
          <w:tcPr>
            <w:tcW w:w="1342" w:type="dxa"/>
            <w:vMerge w:val="restart"/>
            <w:tcBorders>
              <w:left w:val="single" w:sz="8" w:space="0" w:color="000000"/>
              <w:bottom w:val="single" w:sz="8" w:space="0" w:color="000000"/>
            </w:tcBorders>
            <w:shd w:val="clear" w:color="auto" w:fill="auto"/>
            <w:vAlign w:val="center"/>
          </w:tcPr>
          <w:p w:rsidR="007E60D0" w:rsidRDefault="007E60D0">
            <w:pPr>
              <w:snapToGrid w:val="0"/>
              <w:jc w:val="center"/>
              <w:rPr>
                <w:sz w:val="22"/>
                <w:szCs w:val="22"/>
              </w:rPr>
            </w:pPr>
            <w:r>
              <w:rPr>
                <w:sz w:val="22"/>
                <w:szCs w:val="22"/>
              </w:rPr>
              <w:t>489</w:t>
            </w:r>
          </w:p>
        </w:tc>
        <w:tc>
          <w:tcPr>
            <w:tcW w:w="1336" w:type="dxa"/>
            <w:vMerge w:val="restart"/>
            <w:tcBorders>
              <w:left w:val="single" w:sz="4" w:space="0" w:color="000000"/>
              <w:bottom w:val="single" w:sz="8" w:space="0" w:color="000000"/>
            </w:tcBorders>
            <w:shd w:val="clear" w:color="auto" w:fill="auto"/>
            <w:vAlign w:val="center"/>
          </w:tcPr>
          <w:p w:rsidR="007E60D0" w:rsidRDefault="007E60D0">
            <w:pPr>
              <w:snapToGrid w:val="0"/>
              <w:jc w:val="center"/>
              <w:rPr>
                <w:sz w:val="22"/>
                <w:szCs w:val="22"/>
              </w:rPr>
            </w:pPr>
            <w:r>
              <w:rPr>
                <w:sz w:val="22"/>
                <w:szCs w:val="22"/>
              </w:rPr>
              <w:t>756</w:t>
            </w:r>
          </w:p>
        </w:tc>
        <w:tc>
          <w:tcPr>
            <w:tcW w:w="1362" w:type="dxa"/>
            <w:gridSpan w:val="2"/>
            <w:vMerge w:val="restart"/>
            <w:tcBorders>
              <w:left w:val="single" w:sz="4" w:space="0" w:color="000000"/>
              <w:bottom w:val="single" w:sz="8" w:space="0" w:color="000000"/>
              <w:right w:val="single" w:sz="8" w:space="0" w:color="000000"/>
            </w:tcBorders>
            <w:shd w:val="clear" w:color="auto" w:fill="auto"/>
            <w:vAlign w:val="center"/>
          </w:tcPr>
          <w:p w:rsidR="007E60D0" w:rsidRDefault="007E60D0">
            <w:pPr>
              <w:snapToGrid w:val="0"/>
              <w:jc w:val="center"/>
              <w:rPr>
                <w:sz w:val="22"/>
                <w:szCs w:val="22"/>
              </w:rPr>
            </w:pPr>
            <w:r>
              <w:rPr>
                <w:sz w:val="22"/>
                <w:szCs w:val="22"/>
              </w:rPr>
              <w:t>417</w:t>
            </w:r>
          </w:p>
        </w:tc>
      </w:tr>
      <w:tr w:rsidR="007E60D0">
        <w:trPr>
          <w:trHeight w:val="276"/>
        </w:trPr>
        <w:tc>
          <w:tcPr>
            <w:tcW w:w="2736" w:type="dxa"/>
            <w:vMerge/>
            <w:tcBorders>
              <w:left w:val="single" w:sz="8" w:space="0" w:color="000000"/>
              <w:bottom w:val="single" w:sz="8" w:space="0" w:color="000000"/>
            </w:tcBorders>
            <w:shd w:val="clear" w:color="auto" w:fill="auto"/>
            <w:vAlign w:val="center"/>
          </w:tcPr>
          <w:p w:rsidR="007E60D0" w:rsidRDefault="007E60D0">
            <w:pPr>
              <w:snapToGrid w:val="0"/>
              <w:jc w:val="center"/>
              <w:rPr>
                <w:b/>
                <w:bCs/>
                <w:color w:val="000000"/>
                <w:szCs w:val="22"/>
              </w:rPr>
            </w:pPr>
          </w:p>
        </w:tc>
        <w:tc>
          <w:tcPr>
            <w:tcW w:w="1342" w:type="dxa"/>
            <w:vMerge/>
            <w:tcBorders>
              <w:left w:val="single" w:sz="8" w:space="0" w:color="000000"/>
              <w:bottom w:val="single" w:sz="8" w:space="0" w:color="000000"/>
            </w:tcBorders>
            <w:shd w:val="clear" w:color="auto" w:fill="auto"/>
            <w:vAlign w:val="center"/>
          </w:tcPr>
          <w:p w:rsidR="007E60D0" w:rsidRDefault="007E60D0">
            <w:pPr>
              <w:snapToGrid w:val="0"/>
              <w:jc w:val="center"/>
              <w:rPr>
                <w:szCs w:val="22"/>
              </w:rPr>
            </w:pPr>
          </w:p>
        </w:tc>
        <w:tc>
          <w:tcPr>
            <w:tcW w:w="1336" w:type="dxa"/>
            <w:vMerge/>
            <w:tcBorders>
              <w:left w:val="single" w:sz="4" w:space="0" w:color="000000"/>
              <w:bottom w:val="single" w:sz="8" w:space="0" w:color="000000"/>
            </w:tcBorders>
            <w:shd w:val="clear" w:color="auto" w:fill="auto"/>
            <w:vAlign w:val="center"/>
          </w:tcPr>
          <w:p w:rsidR="007E60D0" w:rsidRDefault="007E60D0">
            <w:pPr>
              <w:snapToGrid w:val="0"/>
              <w:jc w:val="center"/>
              <w:rPr>
                <w:szCs w:val="22"/>
              </w:rPr>
            </w:pPr>
          </w:p>
        </w:tc>
        <w:tc>
          <w:tcPr>
            <w:tcW w:w="1362" w:type="dxa"/>
            <w:gridSpan w:val="2"/>
            <w:vMerge/>
            <w:tcBorders>
              <w:left w:val="single" w:sz="4" w:space="0" w:color="000000"/>
              <w:bottom w:val="single" w:sz="8" w:space="0" w:color="000000"/>
              <w:right w:val="single" w:sz="8" w:space="0" w:color="000000"/>
            </w:tcBorders>
            <w:shd w:val="clear" w:color="auto" w:fill="auto"/>
            <w:vAlign w:val="center"/>
          </w:tcPr>
          <w:p w:rsidR="007E60D0" w:rsidRDefault="007E60D0">
            <w:pPr>
              <w:snapToGrid w:val="0"/>
              <w:jc w:val="center"/>
              <w:rPr>
                <w:szCs w:val="22"/>
              </w:rPr>
            </w:pPr>
          </w:p>
        </w:tc>
      </w:tr>
      <w:tr w:rsidR="007E60D0">
        <w:trPr>
          <w:trHeight w:val="276"/>
        </w:trPr>
        <w:tc>
          <w:tcPr>
            <w:tcW w:w="2736" w:type="dxa"/>
            <w:vMerge w:val="restart"/>
            <w:tcBorders>
              <w:left w:val="single" w:sz="8" w:space="0" w:color="000000"/>
              <w:bottom w:val="single" w:sz="8"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Transferencias</w:t>
            </w:r>
          </w:p>
        </w:tc>
        <w:tc>
          <w:tcPr>
            <w:tcW w:w="1342" w:type="dxa"/>
            <w:vMerge w:val="restart"/>
            <w:tcBorders>
              <w:left w:val="single" w:sz="8" w:space="0" w:color="000000"/>
              <w:bottom w:val="single" w:sz="4" w:space="0" w:color="000000"/>
            </w:tcBorders>
            <w:shd w:val="clear" w:color="auto" w:fill="auto"/>
            <w:vAlign w:val="center"/>
          </w:tcPr>
          <w:p w:rsidR="007E60D0" w:rsidRDefault="007E60D0">
            <w:pPr>
              <w:snapToGrid w:val="0"/>
              <w:jc w:val="center"/>
              <w:rPr>
                <w:sz w:val="22"/>
                <w:szCs w:val="22"/>
              </w:rPr>
            </w:pPr>
            <w:r>
              <w:rPr>
                <w:sz w:val="22"/>
                <w:szCs w:val="22"/>
              </w:rPr>
              <w:t>26.804</w:t>
            </w:r>
          </w:p>
        </w:tc>
        <w:tc>
          <w:tcPr>
            <w:tcW w:w="1336" w:type="dxa"/>
            <w:vMerge w:val="restart"/>
            <w:tcBorders>
              <w:left w:val="single" w:sz="4" w:space="0" w:color="000000"/>
              <w:bottom w:val="single" w:sz="4" w:space="0" w:color="000000"/>
            </w:tcBorders>
            <w:shd w:val="clear" w:color="auto" w:fill="auto"/>
            <w:vAlign w:val="center"/>
          </w:tcPr>
          <w:p w:rsidR="007E60D0" w:rsidRDefault="007E60D0">
            <w:pPr>
              <w:snapToGrid w:val="0"/>
              <w:jc w:val="center"/>
              <w:rPr>
                <w:sz w:val="22"/>
                <w:szCs w:val="22"/>
              </w:rPr>
            </w:pPr>
            <w:r>
              <w:rPr>
                <w:sz w:val="22"/>
                <w:szCs w:val="22"/>
              </w:rPr>
              <w:t>19.043</w:t>
            </w:r>
          </w:p>
        </w:tc>
        <w:tc>
          <w:tcPr>
            <w:tcW w:w="1362" w:type="dxa"/>
            <w:gridSpan w:val="2"/>
            <w:vMerge w:val="restart"/>
            <w:tcBorders>
              <w:left w:val="single" w:sz="4" w:space="0" w:color="000000"/>
              <w:bottom w:val="single" w:sz="4" w:space="0" w:color="000000"/>
              <w:right w:val="single" w:sz="8" w:space="0" w:color="000000"/>
            </w:tcBorders>
            <w:shd w:val="clear" w:color="auto" w:fill="auto"/>
            <w:vAlign w:val="center"/>
          </w:tcPr>
          <w:p w:rsidR="007E60D0" w:rsidRDefault="007E60D0">
            <w:pPr>
              <w:snapToGrid w:val="0"/>
              <w:jc w:val="center"/>
              <w:rPr>
                <w:sz w:val="22"/>
                <w:szCs w:val="22"/>
              </w:rPr>
            </w:pPr>
            <w:r>
              <w:rPr>
                <w:sz w:val="22"/>
                <w:szCs w:val="22"/>
              </w:rPr>
              <w:t>19.461</w:t>
            </w:r>
          </w:p>
        </w:tc>
      </w:tr>
      <w:tr w:rsidR="007E60D0">
        <w:trPr>
          <w:trHeight w:val="276"/>
        </w:trPr>
        <w:tc>
          <w:tcPr>
            <w:tcW w:w="2736" w:type="dxa"/>
            <w:vMerge/>
            <w:tcBorders>
              <w:left w:val="single" w:sz="8" w:space="0" w:color="000000"/>
              <w:bottom w:val="single" w:sz="8" w:space="0" w:color="000000"/>
            </w:tcBorders>
            <w:shd w:val="clear" w:color="auto" w:fill="auto"/>
            <w:vAlign w:val="center"/>
          </w:tcPr>
          <w:p w:rsidR="007E60D0" w:rsidRDefault="007E60D0">
            <w:pPr>
              <w:snapToGrid w:val="0"/>
              <w:jc w:val="center"/>
              <w:rPr>
                <w:b/>
                <w:bCs/>
                <w:color w:val="000000"/>
                <w:szCs w:val="22"/>
              </w:rPr>
            </w:pPr>
          </w:p>
        </w:tc>
        <w:tc>
          <w:tcPr>
            <w:tcW w:w="1342" w:type="dxa"/>
            <w:vMerge/>
            <w:tcBorders>
              <w:left w:val="single" w:sz="8" w:space="0" w:color="000000"/>
              <w:bottom w:val="single" w:sz="4" w:space="0" w:color="000000"/>
            </w:tcBorders>
            <w:shd w:val="clear" w:color="auto" w:fill="auto"/>
            <w:vAlign w:val="center"/>
          </w:tcPr>
          <w:p w:rsidR="007E60D0" w:rsidRDefault="007E60D0">
            <w:pPr>
              <w:snapToGrid w:val="0"/>
              <w:jc w:val="center"/>
              <w:rPr>
                <w:szCs w:val="22"/>
              </w:rPr>
            </w:pPr>
          </w:p>
        </w:tc>
        <w:tc>
          <w:tcPr>
            <w:tcW w:w="1336" w:type="dxa"/>
            <w:vMerge/>
            <w:tcBorders>
              <w:left w:val="single" w:sz="4" w:space="0" w:color="000000"/>
              <w:bottom w:val="single" w:sz="4" w:space="0" w:color="000000"/>
            </w:tcBorders>
            <w:shd w:val="clear" w:color="auto" w:fill="auto"/>
            <w:vAlign w:val="center"/>
          </w:tcPr>
          <w:p w:rsidR="007E60D0" w:rsidRDefault="007E60D0">
            <w:pPr>
              <w:snapToGrid w:val="0"/>
              <w:jc w:val="center"/>
              <w:rPr>
                <w:szCs w:val="22"/>
              </w:rPr>
            </w:pPr>
          </w:p>
        </w:tc>
        <w:tc>
          <w:tcPr>
            <w:tcW w:w="1362" w:type="dxa"/>
            <w:gridSpan w:val="2"/>
            <w:vMerge/>
            <w:tcBorders>
              <w:left w:val="single" w:sz="4" w:space="0" w:color="000000"/>
              <w:bottom w:val="single" w:sz="4" w:space="0" w:color="000000"/>
              <w:right w:val="single" w:sz="8" w:space="0" w:color="000000"/>
            </w:tcBorders>
            <w:shd w:val="clear" w:color="auto" w:fill="auto"/>
            <w:vAlign w:val="center"/>
          </w:tcPr>
          <w:p w:rsidR="007E60D0" w:rsidRDefault="007E60D0">
            <w:pPr>
              <w:snapToGrid w:val="0"/>
              <w:jc w:val="center"/>
              <w:rPr>
                <w:szCs w:val="22"/>
              </w:rPr>
            </w:pPr>
          </w:p>
        </w:tc>
      </w:tr>
    </w:tbl>
    <w:p w:rsidR="007E60D0" w:rsidRDefault="007E60D0">
      <w:pPr>
        <w:rPr>
          <w:szCs w:val="24"/>
        </w:rPr>
      </w:pPr>
    </w:p>
    <w:p w:rsidR="007E60D0" w:rsidRDefault="007E60D0">
      <w:pPr>
        <w:rPr>
          <w:szCs w:val="24"/>
        </w:rPr>
      </w:pPr>
      <w:r>
        <w:rPr>
          <w:szCs w:val="24"/>
        </w:rPr>
        <w:t>A continuación, se presenta la gráfica No. 2, correspondiente a los ingresos corrientes del municipio de Palermo durante los años 2008, 2009 y 2010.</w:t>
      </w:r>
    </w:p>
    <w:p w:rsidR="007E60D0" w:rsidRDefault="007E60D0">
      <w:pPr>
        <w:rPr>
          <w:szCs w:val="24"/>
        </w:rPr>
      </w:pPr>
    </w:p>
    <w:p w:rsidR="007E60D0" w:rsidRDefault="007E60D0">
      <w:pPr>
        <w:jc w:val="center"/>
        <w:rPr>
          <w:b/>
          <w:szCs w:val="24"/>
        </w:rPr>
      </w:pPr>
      <w:r>
        <w:rPr>
          <w:b/>
          <w:szCs w:val="24"/>
        </w:rPr>
        <w:t>Gráfica No. 2</w:t>
      </w:r>
    </w:p>
    <w:p w:rsidR="007E60D0" w:rsidRDefault="007E60D0">
      <w:pPr>
        <w:jc w:val="center"/>
        <w:rPr>
          <w:b/>
          <w:szCs w:val="24"/>
        </w:rPr>
      </w:pPr>
      <w:r>
        <w:rPr>
          <w:b/>
          <w:szCs w:val="24"/>
        </w:rPr>
        <w:t xml:space="preserve">Ingresos Corrientes </w:t>
      </w:r>
    </w:p>
    <w:p w:rsidR="007E60D0" w:rsidRDefault="007E60D0">
      <w:pPr>
        <w:jc w:val="both"/>
        <w:rPr>
          <w:b/>
          <w:szCs w:val="24"/>
          <w:shd w:val="clear" w:color="auto" w:fill="00FF00"/>
        </w:rPr>
      </w:pPr>
    </w:p>
    <w:p w:rsidR="007E60D0" w:rsidRDefault="00944E93">
      <w:pPr>
        <w:jc w:val="center"/>
        <w:rPr>
          <w:b/>
          <w:szCs w:val="24"/>
          <w:shd w:val="clear" w:color="auto" w:fill="00FF00"/>
        </w:rPr>
      </w:pPr>
      <w:r>
        <w:rPr>
          <w:b/>
          <w:noProof/>
          <w:szCs w:val="24"/>
          <w:lang w:val="es-CO" w:eastAsia="es-CO"/>
        </w:rPr>
        <w:drawing>
          <wp:inline distT="0" distB="0" distL="0" distR="0">
            <wp:extent cx="4591050" cy="2800350"/>
            <wp:effectExtent l="1905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srcRect/>
                    <a:stretch>
                      <a:fillRect/>
                    </a:stretch>
                  </pic:blipFill>
                  <pic:spPr bwMode="auto">
                    <a:xfrm>
                      <a:off x="0" y="0"/>
                      <a:ext cx="4591050" cy="2800350"/>
                    </a:xfrm>
                    <a:prstGeom prst="rect">
                      <a:avLst/>
                    </a:prstGeom>
                    <a:solidFill>
                      <a:srgbClr val="FFFFFF"/>
                    </a:solidFill>
                    <a:ln w="9525">
                      <a:noFill/>
                      <a:miter lim="800000"/>
                      <a:headEnd/>
                      <a:tailEnd/>
                    </a:ln>
                  </pic:spPr>
                </pic:pic>
              </a:graphicData>
            </a:graphic>
          </wp:inline>
        </w:drawing>
      </w:r>
    </w:p>
    <w:p w:rsidR="007E60D0" w:rsidRDefault="007E60D0">
      <w:pPr>
        <w:jc w:val="center"/>
        <w:rPr>
          <w:b/>
          <w:szCs w:val="24"/>
          <w:shd w:val="clear" w:color="auto" w:fill="00FF00"/>
        </w:rPr>
      </w:pPr>
    </w:p>
    <w:p w:rsidR="007E60D0" w:rsidRDefault="007E60D0">
      <w:pPr>
        <w:jc w:val="center"/>
        <w:rPr>
          <w:b/>
          <w:szCs w:val="24"/>
          <w:shd w:val="clear" w:color="auto" w:fill="00FF00"/>
        </w:rPr>
      </w:pPr>
    </w:p>
    <w:p w:rsidR="007E60D0" w:rsidRDefault="007E60D0">
      <w:pPr>
        <w:jc w:val="center"/>
        <w:rPr>
          <w:b/>
          <w:szCs w:val="24"/>
          <w:shd w:val="clear" w:color="auto" w:fill="00FF00"/>
        </w:rPr>
      </w:pPr>
    </w:p>
    <w:p w:rsidR="007E60D0" w:rsidRDefault="007E60D0">
      <w:pPr>
        <w:jc w:val="center"/>
        <w:rPr>
          <w:b/>
          <w:szCs w:val="24"/>
          <w:shd w:val="clear" w:color="auto" w:fill="00FF00"/>
        </w:rPr>
      </w:pPr>
    </w:p>
    <w:p w:rsidR="007E60D0" w:rsidRDefault="007E60D0">
      <w:pPr>
        <w:jc w:val="both"/>
        <w:rPr>
          <w:b/>
          <w:szCs w:val="24"/>
          <w:lang w:val="es-ES_tradnl"/>
        </w:rPr>
      </w:pPr>
      <w:r>
        <w:rPr>
          <w:b/>
          <w:szCs w:val="24"/>
          <w:lang w:val="es-ES_tradnl"/>
        </w:rPr>
        <w:t>1.2</w:t>
      </w:r>
      <w:r>
        <w:rPr>
          <w:b/>
          <w:szCs w:val="24"/>
          <w:lang w:val="es-ES_tradnl"/>
        </w:rPr>
        <w:tab/>
        <w:t>Estructura de los Gastos Municipales</w:t>
      </w:r>
    </w:p>
    <w:p w:rsidR="007E60D0" w:rsidRDefault="007E60D0">
      <w:pPr>
        <w:jc w:val="both"/>
        <w:rPr>
          <w:szCs w:val="24"/>
          <w:lang w:val="es-ES_tradnl"/>
        </w:rPr>
      </w:pPr>
    </w:p>
    <w:p w:rsidR="007E60D0" w:rsidRDefault="007E60D0">
      <w:pPr>
        <w:jc w:val="both"/>
        <w:rPr>
          <w:szCs w:val="24"/>
        </w:rPr>
      </w:pPr>
      <w:r>
        <w:rPr>
          <w:szCs w:val="24"/>
        </w:rPr>
        <w:t>Los gastos se analizan en segundo lugar, porque como se dijo en el apartado de ingresos, las erogaciones dependen fundamentalmente de las posibilidades efectivas de ingresos que tiene el municipio. Este principio que se conoce como “el de la restricción presupuestal” es primordial para evitar descalabros financieros soportados en un cálculo poco serio de las posibilidades fiscales de la entidad territorial. Al respecto, ya hay una regla formal, por lo menos para el gasto de funcionamiento y la constituye el límite que de acuerdo con la categoría de la entidad territorial ha establecido la Ley 617 de 2000.</w:t>
      </w:r>
    </w:p>
    <w:p w:rsidR="007E60D0" w:rsidRDefault="007E60D0">
      <w:pPr>
        <w:jc w:val="both"/>
        <w:rPr>
          <w:szCs w:val="24"/>
        </w:rPr>
      </w:pPr>
    </w:p>
    <w:p w:rsidR="007E60D0" w:rsidRDefault="007E60D0">
      <w:pPr>
        <w:jc w:val="both"/>
        <w:rPr>
          <w:szCs w:val="24"/>
          <w:lang w:val="es-ES_tradnl"/>
        </w:rPr>
      </w:pPr>
      <w:r>
        <w:rPr>
          <w:szCs w:val="24"/>
          <w:lang w:val="es-ES_tradnl"/>
        </w:rPr>
        <w:t>La estructura de los Gastos del municipio, se conforma de la siguiente manera:</w:t>
      </w:r>
    </w:p>
    <w:p w:rsidR="007E60D0" w:rsidRDefault="007E60D0">
      <w:pPr>
        <w:jc w:val="both"/>
        <w:rPr>
          <w:b/>
          <w:szCs w:val="24"/>
          <w:lang w:val="es-ES_tradnl"/>
        </w:rPr>
      </w:pPr>
    </w:p>
    <w:p w:rsidR="007E60D0" w:rsidRDefault="007E60D0">
      <w:pPr>
        <w:jc w:val="both"/>
        <w:rPr>
          <w:szCs w:val="24"/>
          <w:lang w:val="es-ES_tradnl"/>
        </w:rPr>
      </w:pPr>
      <w:r>
        <w:rPr>
          <w:b/>
          <w:szCs w:val="24"/>
          <w:lang w:val="es-ES_tradnl"/>
        </w:rPr>
        <w:t>GASTOS TOTALES:</w:t>
      </w:r>
      <w:r>
        <w:rPr>
          <w:szCs w:val="24"/>
          <w:lang w:val="es-ES_tradnl"/>
        </w:rPr>
        <w:t xml:space="preserve"> Gastos de funcionamiento + gastos de inversión + servicio de la deuda + organismos de control + transferencias a resguardos indígenas.</w:t>
      </w:r>
    </w:p>
    <w:p w:rsidR="007E60D0" w:rsidRDefault="007E60D0">
      <w:pPr>
        <w:jc w:val="both"/>
        <w:rPr>
          <w:szCs w:val="24"/>
          <w:lang w:val="es-ES_tradnl"/>
        </w:rPr>
      </w:pPr>
    </w:p>
    <w:p w:rsidR="007E60D0" w:rsidRDefault="007E60D0">
      <w:pPr>
        <w:jc w:val="both"/>
        <w:rPr>
          <w:szCs w:val="24"/>
          <w:lang w:val="es-ES_tradnl"/>
        </w:rPr>
      </w:pPr>
      <w:r>
        <w:rPr>
          <w:b/>
          <w:szCs w:val="24"/>
          <w:lang w:val="es-ES_tradnl"/>
        </w:rPr>
        <w:t>GASTOS DE FUNCIONAMIENTO:</w:t>
      </w:r>
      <w:r>
        <w:rPr>
          <w:szCs w:val="24"/>
          <w:lang w:val="es-ES_tradnl"/>
        </w:rPr>
        <w:t xml:space="preserve"> Gastos de personal + gastos generales + transferencias + déficit fiscal (funcionamiento).</w:t>
      </w:r>
    </w:p>
    <w:p w:rsidR="007E60D0" w:rsidRDefault="007E60D0">
      <w:pPr>
        <w:jc w:val="both"/>
        <w:rPr>
          <w:szCs w:val="24"/>
          <w:lang w:val="es-ES_tradnl"/>
        </w:rPr>
      </w:pPr>
    </w:p>
    <w:p w:rsidR="007E60D0" w:rsidRDefault="007E60D0">
      <w:pPr>
        <w:jc w:val="both"/>
        <w:rPr>
          <w:szCs w:val="24"/>
          <w:lang w:val="es-ES_tradnl"/>
        </w:rPr>
      </w:pPr>
      <w:r>
        <w:rPr>
          <w:b/>
          <w:szCs w:val="24"/>
          <w:lang w:val="es-ES_tradnl"/>
        </w:rPr>
        <w:t>GASTOS DE INVERSION:</w:t>
      </w:r>
      <w:r>
        <w:rPr>
          <w:szCs w:val="24"/>
          <w:lang w:val="es-ES_tradnl"/>
        </w:rPr>
        <w:t xml:space="preserve"> Con recursos del SGP + con recursos de regalías y fondo de cofinanciación + con recursos propios y otros + déficit fiscal (por inversión).</w:t>
      </w:r>
    </w:p>
    <w:p w:rsidR="007E60D0" w:rsidRDefault="007E60D0">
      <w:pPr>
        <w:jc w:val="both"/>
        <w:rPr>
          <w:szCs w:val="24"/>
          <w:lang w:val="es-ES_tradnl"/>
        </w:rPr>
      </w:pPr>
    </w:p>
    <w:p w:rsidR="007E60D0" w:rsidRDefault="007E60D0">
      <w:pPr>
        <w:jc w:val="both"/>
        <w:rPr>
          <w:szCs w:val="24"/>
          <w:lang w:val="es-ES_tradnl"/>
        </w:rPr>
      </w:pPr>
      <w:r>
        <w:rPr>
          <w:b/>
          <w:szCs w:val="24"/>
          <w:lang w:val="es-ES_tradnl"/>
        </w:rPr>
        <w:t>SERVICIO DE LA DEUDA:</w:t>
      </w:r>
      <w:r>
        <w:rPr>
          <w:szCs w:val="24"/>
          <w:lang w:val="es-ES_tradnl"/>
        </w:rPr>
        <w:t xml:space="preserve"> Deuda interna + deuda externa.</w:t>
      </w:r>
    </w:p>
    <w:p w:rsidR="007E60D0" w:rsidRDefault="007E60D0">
      <w:pPr>
        <w:jc w:val="both"/>
        <w:rPr>
          <w:szCs w:val="24"/>
          <w:lang w:val="es-ES_tradnl"/>
        </w:rPr>
      </w:pPr>
    </w:p>
    <w:p w:rsidR="007E60D0" w:rsidRDefault="007E60D0">
      <w:pPr>
        <w:jc w:val="both"/>
        <w:rPr>
          <w:szCs w:val="24"/>
          <w:lang w:val="es-ES_tradnl"/>
        </w:rPr>
      </w:pPr>
      <w:r>
        <w:rPr>
          <w:b/>
          <w:szCs w:val="24"/>
          <w:lang w:val="es-ES_tradnl"/>
        </w:rPr>
        <w:t>ORGANISMOS DE CONTROL:</w:t>
      </w:r>
      <w:r>
        <w:rPr>
          <w:szCs w:val="24"/>
          <w:lang w:val="es-ES_tradnl"/>
        </w:rPr>
        <w:t xml:space="preserve"> Transferencia a concejo + transferencia a personería.</w:t>
      </w:r>
    </w:p>
    <w:p w:rsidR="007E60D0" w:rsidRDefault="007E60D0">
      <w:pPr>
        <w:jc w:val="both"/>
        <w:rPr>
          <w:szCs w:val="24"/>
          <w:lang w:val="es-ES_tradnl"/>
        </w:rPr>
      </w:pPr>
    </w:p>
    <w:p w:rsidR="007E60D0" w:rsidRDefault="007E60D0">
      <w:pPr>
        <w:jc w:val="both"/>
        <w:rPr>
          <w:b/>
          <w:bCs/>
          <w:szCs w:val="24"/>
        </w:rPr>
      </w:pPr>
      <w:r>
        <w:rPr>
          <w:b/>
          <w:bCs/>
          <w:szCs w:val="24"/>
        </w:rPr>
        <w:t>1.2.1 Incorporación de Pasivos Acumulados de Vigencias Anteriores y Contingencias.</w:t>
      </w:r>
    </w:p>
    <w:p w:rsidR="007E60D0" w:rsidRDefault="007E60D0">
      <w:pPr>
        <w:jc w:val="both"/>
        <w:rPr>
          <w:b/>
          <w:bCs/>
          <w:szCs w:val="24"/>
        </w:rPr>
      </w:pPr>
    </w:p>
    <w:p w:rsidR="007E60D0" w:rsidRDefault="007E60D0">
      <w:pPr>
        <w:jc w:val="both"/>
        <w:rPr>
          <w:szCs w:val="24"/>
        </w:rPr>
      </w:pPr>
      <w:r>
        <w:rPr>
          <w:szCs w:val="24"/>
        </w:rPr>
        <w:t>Se hace necesario diagnosticar la situación fiscal del municipio a partir de un corte. Esto no solo significa saber cuánto se debe, también significa identificar las contingencias que se podrían hacer reales en el futuro inmediato. Para lograrlo, los responsables de la información financiera y jurídica deben contar con el apoyo del resto de la administración e implementar mecanismos y procedimientos para garantizar que la información contable pública cumpla las características de confiabilidad, relevancia y comprensibilidad, de acuerdo con lo señalado por el Régimen de Contabilidad Pública.</w:t>
      </w:r>
    </w:p>
    <w:p w:rsidR="007E60D0" w:rsidRDefault="007E60D0">
      <w:pPr>
        <w:jc w:val="both"/>
        <w:rPr>
          <w:szCs w:val="24"/>
        </w:rPr>
      </w:pPr>
    </w:p>
    <w:p w:rsidR="007E60D0" w:rsidRDefault="007E60D0">
      <w:pPr>
        <w:jc w:val="both"/>
        <w:rPr>
          <w:b/>
          <w:bCs/>
          <w:szCs w:val="24"/>
        </w:rPr>
      </w:pPr>
      <w:r>
        <w:rPr>
          <w:b/>
          <w:bCs/>
          <w:szCs w:val="24"/>
        </w:rPr>
        <w:t>1.2.2 Establecer la composición de los pasivos.</w:t>
      </w:r>
    </w:p>
    <w:p w:rsidR="007E60D0" w:rsidRDefault="007E60D0">
      <w:pPr>
        <w:jc w:val="both"/>
        <w:rPr>
          <w:szCs w:val="24"/>
        </w:rPr>
      </w:pPr>
    </w:p>
    <w:p w:rsidR="007E60D0" w:rsidRDefault="007E60D0">
      <w:pPr>
        <w:jc w:val="both"/>
        <w:rPr>
          <w:szCs w:val="24"/>
        </w:rPr>
      </w:pPr>
      <w:r>
        <w:rPr>
          <w:szCs w:val="24"/>
        </w:rPr>
        <w:t xml:space="preserve">Una vez identificados el pasivo cierto y las contingencias contractuales, jurídicas y financieras, los resultados se deben valorar teniendo en cuenta que la mayor desagregación posible permitirá definir un esquema financiero más cercano a la realidad. Una descomposición básica es determinar qué porcentaje del pasivo es de funcionamiento y qué porcentaje es de inversión. Esto es fundamental para establecer las fuentes legales de </w:t>
      </w:r>
      <w:r>
        <w:rPr>
          <w:szCs w:val="24"/>
        </w:rPr>
        <w:lastRenderedPageBreak/>
        <w:t>financiación del pasivo, dada la destinación específica que tiene una buena parte de las rentas territoriales.</w:t>
      </w:r>
    </w:p>
    <w:p w:rsidR="007E60D0" w:rsidRDefault="007E60D0">
      <w:pPr>
        <w:jc w:val="both"/>
        <w:rPr>
          <w:szCs w:val="24"/>
        </w:rPr>
      </w:pPr>
    </w:p>
    <w:p w:rsidR="007E60D0" w:rsidRDefault="007E60D0">
      <w:pPr>
        <w:jc w:val="both"/>
        <w:rPr>
          <w:szCs w:val="24"/>
        </w:rPr>
      </w:pPr>
      <w:r>
        <w:rPr>
          <w:szCs w:val="24"/>
        </w:rPr>
        <w:t>Una vez hecha esta primera clasificación, se debe proceder a descomponer el pasivo de funcionamiento por un lado y el pasivo de inversión por el otro. De esta manera, es posible identificar las prioridades de pago reconociendo la capacidad de presión de las acreencias. Por ejemplo, no es lo mismo que la mayor parte de los pasivos de funcionamiento corresponda a bonos pensiónales o a proveedores del municipio. Si se trata de lo primero, el costo social de mantener esta situación puede ser insostenible y derivar rápidamente en pérdida de gobernabilidad y por qué no decirlo, de legitimidad ante la comunidad. Además, la cancelación vía procesos de tutela será algo inmanejable desde el punto de vista financiero. En este caso, la administración que diseña el Marco Fiscal de Mediano Plazo debe construir un flujo financiero que asegure el pago de esas acreencias de manera prioritaria y en un tiempo tal que los procesos jurídicos no paralicen a la entidad.</w:t>
      </w:r>
    </w:p>
    <w:p w:rsidR="007E60D0" w:rsidRDefault="007E60D0">
      <w:pPr>
        <w:jc w:val="both"/>
        <w:rPr>
          <w:szCs w:val="24"/>
        </w:rPr>
      </w:pPr>
    </w:p>
    <w:p w:rsidR="007E60D0" w:rsidRDefault="007E60D0">
      <w:pPr>
        <w:jc w:val="both"/>
        <w:rPr>
          <w:szCs w:val="24"/>
        </w:rPr>
      </w:pPr>
      <w:r>
        <w:rPr>
          <w:szCs w:val="24"/>
        </w:rPr>
        <w:t>Si se presenta la segunda situación, es posible tener un manejo un poco más holgado para enfrentar a los acreedores en la medida que se pueden negociar acuerdos de pago que garanticen la cancelación de las deudas sin perder la relación comercial. Una circunstancia intermedia entre las dos descritas anteriormente se podría presentar si la mayor parte del pasivo se tuviera con entidades de seguridad social, aquellas que manejan los llamados recursos parafiscales o la DIAN. Aunque las normas reglan la forma de cancelar los pasivos con estos entes, sus acreencias están protegidas de tal manera que un manejo arbitrario y unilateral de la acreencia podría desencadenar procesos de negociación de difícil maniobra para la administración territorial.</w:t>
      </w:r>
    </w:p>
    <w:p w:rsidR="007E60D0" w:rsidRDefault="007E60D0">
      <w:pPr>
        <w:jc w:val="both"/>
        <w:rPr>
          <w:szCs w:val="24"/>
        </w:rPr>
      </w:pPr>
    </w:p>
    <w:p w:rsidR="007E60D0" w:rsidRDefault="007E60D0">
      <w:pPr>
        <w:jc w:val="both"/>
        <w:rPr>
          <w:szCs w:val="24"/>
        </w:rPr>
      </w:pPr>
      <w:r>
        <w:rPr>
          <w:szCs w:val="24"/>
        </w:rPr>
        <w:t>Un análisis similar debe hacerse con el pasivo de inversión, por cuanto no es lo mismo deber recursos a las administradoras del régimen subsidiado,  aportes a los contratistas que construyeron o hicieron mantenimiento a una vía pública.</w:t>
      </w:r>
    </w:p>
    <w:p w:rsidR="007E60D0" w:rsidRDefault="007E60D0">
      <w:pPr>
        <w:jc w:val="both"/>
        <w:rPr>
          <w:szCs w:val="24"/>
        </w:rPr>
      </w:pPr>
    </w:p>
    <w:p w:rsidR="007E60D0" w:rsidRDefault="007E60D0">
      <w:pPr>
        <w:jc w:val="both"/>
        <w:rPr>
          <w:szCs w:val="24"/>
        </w:rPr>
      </w:pPr>
      <w:r>
        <w:rPr>
          <w:szCs w:val="24"/>
        </w:rPr>
        <w:t>De manera paralela a la identificación detallada del pasivo, es necesario investigar y relacionar los procesos jurídicos en curso en cada uno de los juzgados locales, regionales o nacionales de todos los niveles. Este trabajo permitirá, no solo establecer la mejor alternativa de defensa de los intereses de la administración, también ayudará a definir el verdadero pasivo exigible y establecer las posibles contingencias que podrían afectar el marco fiscal de mediano plazo a través de su vigencia. Por ejemplo, este proceso puede permitir establecer que parte de la deuda reconocida en la contabilidad ha aumentado por los costos de una demanda mal atendida, que hay pasivos que ya no lo son en la medida que a través de procesos ejecutivos, conciliaciones o tutelas estos ya fueron cancelados total o parcialmente. Además, se podrá cuantificar y valorar la probabilidad de que procesos ordinarios como los de reparación directa sean fallados en contra del municipio.</w:t>
      </w:r>
    </w:p>
    <w:p w:rsidR="007E60D0" w:rsidRDefault="007E60D0">
      <w:pPr>
        <w:jc w:val="both"/>
        <w:rPr>
          <w:szCs w:val="24"/>
        </w:rPr>
      </w:pPr>
    </w:p>
    <w:p w:rsidR="007E60D0" w:rsidRDefault="007E60D0">
      <w:pPr>
        <w:jc w:val="both"/>
        <w:rPr>
          <w:szCs w:val="24"/>
        </w:rPr>
      </w:pPr>
      <w:r>
        <w:rPr>
          <w:szCs w:val="24"/>
        </w:rPr>
        <w:t xml:space="preserve">Un trabajo adicional e inevitable, lo constituye el análisis de la situación financiera de las entidades descentralizadas del municipio. Normalmente se trabaja el sector central bajo el entendido que las empresas descentralizadas son entes ajenos que en nada pueden afectar la </w:t>
      </w:r>
      <w:r>
        <w:rPr>
          <w:szCs w:val="24"/>
        </w:rPr>
        <w:lastRenderedPageBreak/>
        <w:t>estabilidad de las finanzas locales. Sin embargo, cada vez es más frecuente que el riesgo en el mediano plazo no lo constituya el sector central, sino su sector descentralizado. Empresas mal administradas, creadas sin suficientes estudios de mercado o tomadas por la corrupción, algunas veces deben ser liquidadas, procesos, que en no pocas ocasiones culminan con la necesidad para el sector central de asumir nuevos pasivos y gastos.</w:t>
      </w:r>
    </w:p>
    <w:p w:rsidR="007E60D0" w:rsidRDefault="007E60D0">
      <w:pPr>
        <w:jc w:val="both"/>
        <w:rPr>
          <w:szCs w:val="24"/>
        </w:rPr>
      </w:pPr>
    </w:p>
    <w:p w:rsidR="007E60D0" w:rsidRDefault="007E60D0">
      <w:pPr>
        <w:jc w:val="both"/>
        <w:rPr>
          <w:szCs w:val="24"/>
        </w:rPr>
      </w:pPr>
      <w:r>
        <w:rPr>
          <w:szCs w:val="24"/>
        </w:rPr>
        <w:t>Por esta razón, el Marco Fiscal de Mediano Plazo debe contar con un anexo que indique que empresas están en liquidación, cual es el estado de dicha liquidación, cual es la probabilidad de asumir pasivos y nuevos gastos y en que montos, cual es la situación financiera de otras entidades descentralizadas para identificar cuales están en causal de liquidación y como podrán afectar las finanzas locales en los próximos años.</w:t>
      </w:r>
    </w:p>
    <w:p w:rsidR="007E60D0" w:rsidRDefault="007E60D0">
      <w:pPr>
        <w:jc w:val="both"/>
        <w:rPr>
          <w:b/>
          <w:bCs/>
          <w:szCs w:val="24"/>
        </w:rPr>
      </w:pPr>
    </w:p>
    <w:p w:rsidR="007E60D0" w:rsidRDefault="007E60D0">
      <w:pPr>
        <w:jc w:val="both"/>
        <w:rPr>
          <w:b/>
          <w:bCs/>
          <w:szCs w:val="24"/>
        </w:rPr>
      </w:pPr>
      <w:r>
        <w:rPr>
          <w:b/>
          <w:bCs/>
          <w:szCs w:val="24"/>
        </w:rPr>
        <w:t>1.2.3 Tipos de gasto y su estimación</w:t>
      </w:r>
    </w:p>
    <w:p w:rsidR="007E60D0" w:rsidRDefault="007E60D0">
      <w:pPr>
        <w:jc w:val="both"/>
        <w:rPr>
          <w:szCs w:val="24"/>
        </w:rPr>
      </w:pPr>
    </w:p>
    <w:p w:rsidR="007E60D0" w:rsidRDefault="007E60D0">
      <w:pPr>
        <w:jc w:val="both"/>
        <w:rPr>
          <w:szCs w:val="24"/>
        </w:rPr>
      </w:pPr>
      <w:r>
        <w:rPr>
          <w:szCs w:val="24"/>
        </w:rPr>
        <w:t>Al igual que sucede con los ingresos, la estimación de los gastos a diez años dependerá del tipo de gasto que se requiera proyectar.</w:t>
      </w:r>
    </w:p>
    <w:p w:rsidR="007E60D0" w:rsidRDefault="007E60D0">
      <w:pPr>
        <w:jc w:val="both"/>
        <w:rPr>
          <w:szCs w:val="24"/>
        </w:rPr>
      </w:pPr>
    </w:p>
    <w:p w:rsidR="007E60D0" w:rsidRDefault="007E60D0">
      <w:pPr>
        <w:jc w:val="both"/>
        <w:rPr>
          <w:b/>
          <w:bCs/>
          <w:szCs w:val="24"/>
        </w:rPr>
      </w:pPr>
      <w:r>
        <w:rPr>
          <w:b/>
          <w:bCs/>
          <w:szCs w:val="24"/>
        </w:rPr>
        <w:t>a. Asociados a la Nómina</w:t>
      </w:r>
    </w:p>
    <w:p w:rsidR="007E60D0" w:rsidRDefault="007E60D0">
      <w:pPr>
        <w:jc w:val="both"/>
        <w:rPr>
          <w:b/>
          <w:bCs/>
          <w:szCs w:val="24"/>
        </w:rPr>
      </w:pPr>
    </w:p>
    <w:p w:rsidR="007E60D0" w:rsidRDefault="007E60D0">
      <w:pPr>
        <w:jc w:val="both"/>
        <w:rPr>
          <w:szCs w:val="24"/>
        </w:rPr>
      </w:pPr>
      <w:r>
        <w:rPr>
          <w:szCs w:val="24"/>
        </w:rPr>
        <w:t>Todos aquellos gastos que se relacionan con el pago de los emolumentos a los que tienen derecho los servidores públicos, deben tener en cuenta el tipo de vinculación del servidor y el perfil profesional en el que se desempeña.</w:t>
      </w:r>
    </w:p>
    <w:p w:rsidR="007E60D0" w:rsidRDefault="007E60D0">
      <w:pPr>
        <w:jc w:val="both"/>
        <w:rPr>
          <w:szCs w:val="24"/>
        </w:rPr>
      </w:pPr>
    </w:p>
    <w:p w:rsidR="007E60D0" w:rsidRDefault="007E60D0">
      <w:pPr>
        <w:jc w:val="both"/>
        <w:rPr>
          <w:szCs w:val="24"/>
        </w:rPr>
      </w:pPr>
      <w:r>
        <w:rPr>
          <w:szCs w:val="24"/>
        </w:rPr>
        <w:t>Hay que tener especial cuidado con proyectar adecuadamente el valor del salario y las contribuciones a la seguridad social y parafiscales inherentes a la nómina de los empleados públicos, pues el incremento de éstos está supeditado al decreto anual que expide el Gobierno Nacional. En este caso, la estimación (más no el incremento) debe hacerse como máximo con la proyección que hace el Banco de la República de la inflación esperada.</w:t>
      </w:r>
    </w:p>
    <w:p w:rsidR="007E60D0" w:rsidRDefault="007E60D0">
      <w:pPr>
        <w:jc w:val="both"/>
        <w:rPr>
          <w:szCs w:val="24"/>
        </w:rPr>
      </w:pPr>
    </w:p>
    <w:p w:rsidR="007E60D0" w:rsidRDefault="007E60D0">
      <w:pPr>
        <w:jc w:val="both"/>
        <w:rPr>
          <w:szCs w:val="24"/>
        </w:rPr>
      </w:pPr>
      <w:r>
        <w:rPr>
          <w:szCs w:val="24"/>
        </w:rPr>
        <w:t>Si bien la estimación real de todos los ítems reviste sumo cuidado, es necesario tener bien presente la proyección de los gastos por cesantías. Aquí debe identificarse si el servidor está cobijado por el régimen retroactivo o el régimen anualizado.</w:t>
      </w:r>
    </w:p>
    <w:p w:rsidR="007E60D0" w:rsidRDefault="007E60D0">
      <w:pPr>
        <w:jc w:val="both"/>
        <w:rPr>
          <w:szCs w:val="24"/>
        </w:rPr>
      </w:pPr>
    </w:p>
    <w:p w:rsidR="007E60D0" w:rsidRDefault="007E60D0">
      <w:pPr>
        <w:jc w:val="both"/>
        <w:rPr>
          <w:szCs w:val="24"/>
        </w:rPr>
      </w:pPr>
      <w:r>
        <w:rPr>
          <w:szCs w:val="24"/>
        </w:rPr>
        <w:t>La estimación del costo de la planilla de trabajadores oficiales debe tener en cuenta todas las contraprestaciones acordadas en la convención colectiva de trabajo. No sobra advertir que los compromisos de la convención tan solo cobijan a los trabajadores oficiales para lo cual debe identificarse plenamente la veracidad del tipo de vinculación del servidor.</w:t>
      </w:r>
    </w:p>
    <w:p w:rsidR="007E60D0" w:rsidRDefault="007E60D0">
      <w:pPr>
        <w:jc w:val="both"/>
        <w:rPr>
          <w:szCs w:val="24"/>
        </w:rPr>
      </w:pPr>
    </w:p>
    <w:p w:rsidR="007E60D0" w:rsidRDefault="007E60D0">
      <w:pPr>
        <w:jc w:val="both"/>
        <w:rPr>
          <w:b/>
          <w:bCs/>
          <w:szCs w:val="24"/>
        </w:rPr>
      </w:pPr>
      <w:r>
        <w:rPr>
          <w:b/>
          <w:bCs/>
          <w:szCs w:val="24"/>
        </w:rPr>
        <w:t>b. Generales</w:t>
      </w:r>
    </w:p>
    <w:p w:rsidR="007E60D0" w:rsidRDefault="007E60D0">
      <w:pPr>
        <w:jc w:val="both"/>
        <w:rPr>
          <w:szCs w:val="24"/>
        </w:rPr>
      </w:pPr>
    </w:p>
    <w:p w:rsidR="007E60D0" w:rsidRDefault="007E60D0">
      <w:pPr>
        <w:jc w:val="both"/>
        <w:rPr>
          <w:szCs w:val="24"/>
        </w:rPr>
      </w:pPr>
      <w:r>
        <w:rPr>
          <w:szCs w:val="24"/>
        </w:rPr>
        <w:t xml:space="preserve">La estimación de los gastos de este tipo puede hacerse soportada en el comportamiento histórico y teniendo en cuenta la inflación esperada. Sin embargo, a mediano plazo es importante diagnosticar el procedimiento presupuestal y contractual que se utiliza para realizar este tipo de erogaciones. Los resultados de los estudios normalmente demuestran </w:t>
      </w:r>
      <w:r>
        <w:rPr>
          <w:szCs w:val="24"/>
        </w:rPr>
        <w:lastRenderedPageBreak/>
        <w:t>ineficiencia y sobrecostos que pueden ser eliminados mediante su centralización y el diseño por ejemplo de planes generales de compra para toda una vigencia o estableciendo prioridades en el consumo de los servicios públicos.</w:t>
      </w:r>
    </w:p>
    <w:p w:rsidR="007E60D0" w:rsidRDefault="007E60D0">
      <w:pPr>
        <w:jc w:val="both"/>
        <w:rPr>
          <w:szCs w:val="24"/>
        </w:rPr>
      </w:pPr>
    </w:p>
    <w:p w:rsidR="007E60D0" w:rsidRDefault="007E60D0">
      <w:pPr>
        <w:jc w:val="both"/>
        <w:rPr>
          <w:szCs w:val="24"/>
        </w:rPr>
      </w:pPr>
      <w:r>
        <w:rPr>
          <w:szCs w:val="24"/>
        </w:rPr>
        <w:t>Es importante tener en cuenta que en determinadas circunstancias el gasto de inversión puede generar gastos generales asociados que eventualmente no podrían ser financiados con rentas de destinación específica al sector que los causa.</w:t>
      </w:r>
    </w:p>
    <w:p w:rsidR="007E60D0" w:rsidRDefault="007E60D0">
      <w:pPr>
        <w:jc w:val="both"/>
        <w:rPr>
          <w:szCs w:val="24"/>
        </w:rPr>
      </w:pPr>
    </w:p>
    <w:p w:rsidR="007E60D0" w:rsidRDefault="007E60D0">
      <w:pPr>
        <w:jc w:val="both"/>
        <w:rPr>
          <w:b/>
          <w:bCs/>
          <w:szCs w:val="24"/>
        </w:rPr>
      </w:pPr>
      <w:r>
        <w:rPr>
          <w:b/>
          <w:bCs/>
          <w:szCs w:val="24"/>
        </w:rPr>
        <w:t>c. Transferencias</w:t>
      </w:r>
    </w:p>
    <w:p w:rsidR="007E60D0" w:rsidRDefault="007E60D0">
      <w:pPr>
        <w:jc w:val="both"/>
        <w:rPr>
          <w:szCs w:val="24"/>
        </w:rPr>
      </w:pPr>
    </w:p>
    <w:p w:rsidR="007E60D0" w:rsidRDefault="007E60D0">
      <w:pPr>
        <w:jc w:val="both"/>
        <w:rPr>
          <w:szCs w:val="24"/>
        </w:rPr>
      </w:pPr>
      <w:r>
        <w:rPr>
          <w:szCs w:val="24"/>
        </w:rPr>
        <w:t>El cálculo de las transferencias a los organismos de control político, fiscal y disciplinario está reglado en las Leyes 617 de 2000, 1148 de 2007 y 1151 de 2007, artículo 134. Cuando se necesite, es importante tener en cuenta la inflación esperada como elemento adicional en su estimación.</w:t>
      </w:r>
    </w:p>
    <w:p w:rsidR="007E60D0" w:rsidRDefault="007E60D0">
      <w:pPr>
        <w:jc w:val="both"/>
        <w:rPr>
          <w:szCs w:val="24"/>
        </w:rPr>
      </w:pPr>
    </w:p>
    <w:p w:rsidR="007E60D0" w:rsidRDefault="007E60D0">
      <w:pPr>
        <w:jc w:val="both"/>
        <w:rPr>
          <w:szCs w:val="24"/>
        </w:rPr>
      </w:pPr>
      <w:r>
        <w:rPr>
          <w:szCs w:val="24"/>
        </w:rPr>
        <w:t>La estimación de las transferencias hechas para financiar las nóminas de pensionados debe basarse en el costo de la nómina actual. Es así porque a partir de la expedición de la Ley 100 de 1993 las entidades territoriales no pueden  asumir directamente nuevos pensionados, salvo en los casos previstos por el régimen de transición.</w:t>
      </w:r>
    </w:p>
    <w:p w:rsidR="007E60D0" w:rsidRDefault="007E60D0">
      <w:pPr>
        <w:jc w:val="both"/>
        <w:rPr>
          <w:szCs w:val="24"/>
        </w:rPr>
      </w:pPr>
    </w:p>
    <w:p w:rsidR="007E60D0" w:rsidRDefault="007E60D0">
      <w:pPr>
        <w:jc w:val="both"/>
        <w:rPr>
          <w:szCs w:val="24"/>
        </w:rPr>
      </w:pPr>
      <w:r>
        <w:rPr>
          <w:szCs w:val="24"/>
        </w:rPr>
        <w:t>Aunque el artículo 51 de la Ley 863 de 2003 establece que:</w:t>
      </w:r>
    </w:p>
    <w:p w:rsidR="007E60D0" w:rsidRDefault="007E60D0">
      <w:pPr>
        <w:jc w:val="both"/>
        <w:rPr>
          <w:szCs w:val="24"/>
        </w:rPr>
      </w:pPr>
    </w:p>
    <w:p w:rsidR="007E60D0" w:rsidRDefault="007E60D0">
      <w:pPr>
        <w:jc w:val="both"/>
        <w:rPr>
          <w:szCs w:val="24"/>
        </w:rPr>
      </w:pPr>
      <w:r>
        <w:rPr>
          <w:szCs w:val="24"/>
        </w:rPr>
        <w:t>“Para el cubrimiento de las obligaciones por concepto de bonos pensiónales y cuotas partes de bonos pensiónales, los entes territoriales podrán utilizar hasta el cincuenta por ciento (50%) del saldo disponible en la cuenta del Fondo Nacional de Pensiones de las Entidades Territoriales, Fonpet, creado por la Ley 549 de 1999, aun cuando la reserva constituida no haya alcanzado el ciento por ciento (100%) del pasivo pensional. Conforme al reglamento que establezca el Gobierno Nacional, estos recursos podrán transferirse directamente a las entidades administradoras en nombre de los entes territoriales emisores, previa autorización del representante legal respectivo”.</w:t>
      </w:r>
    </w:p>
    <w:p w:rsidR="007E60D0" w:rsidRDefault="007E60D0">
      <w:pPr>
        <w:jc w:val="both"/>
        <w:rPr>
          <w:szCs w:val="24"/>
        </w:rPr>
      </w:pPr>
    </w:p>
    <w:p w:rsidR="007E60D0" w:rsidRDefault="007E60D0">
      <w:pPr>
        <w:jc w:val="both"/>
        <w:rPr>
          <w:szCs w:val="24"/>
        </w:rPr>
      </w:pPr>
      <w:r>
        <w:rPr>
          <w:szCs w:val="24"/>
        </w:rPr>
        <w:t>Para que esto sea posible debe conocerse el monto del pasivo y ello solo es posible con el cálculo del pasivo actuarial. Sin perjuicio de la posibilidad de acceder a los recursos del Fonpet, es fundamental conocer el monto de la deuda actuarial para definir las alternativas más convenientes para aprovisionarla.</w:t>
      </w:r>
    </w:p>
    <w:p w:rsidR="007E60D0" w:rsidRDefault="007E60D0">
      <w:pPr>
        <w:jc w:val="both"/>
        <w:rPr>
          <w:szCs w:val="24"/>
        </w:rPr>
      </w:pPr>
    </w:p>
    <w:p w:rsidR="007E60D0" w:rsidRDefault="007E60D0">
      <w:pPr>
        <w:jc w:val="both"/>
        <w:rPr>
          <w:szCs w:val="24"/>
        </w:rPr>
      </w:pPr>
      <w:r>
        <w:rPr>
          <w:szCs w:val="24"/>
        </w:rPr>
        <w:t>Un aspecto fundamental a estimar por parte de la administración y que puede influir grandemente en el flujo normal de pagos del  municipio lo constituye el cobro de las cuotas partes pensiónales y la necesidad de emitir bonos pensiónales. Aunque en el mediano plazo se define la estrategia para darle solución a las contingencias que se presenten por esta razón mediante la identificación del pasivo actuarial, se hace necesario analizar cómo ha sido el comportamiento reciente de estos cobros, identificando el tipo de funcionarios, el tiempo en que fueron vinculados, hasta qué fecha trabajaron allí, etc., todo ello para establecer y prever posibles nuevos cobros en las siguientes vigencias.</w:t>
      </w:r>
    </w:p>
    <w:p w:rsidR="007E60D0" w:rsidRDefault="007E60D0">
      <w:pPr>
        <w:jc w:val="both"/>
        <w:rPr>
          <w:szCs w:val="24"/>
        </w:rPr>
      </w:pPr>
    </w:p>
    <w:p w:rsidR="007E60D0" w:rsidRDefault="007E60D0">
      <w:pPr>
        <w:jc w:val="both"/>
        <w:rPr>
          <w:szCs w:val="24"/>
        </w:rPr>
      </w:pPr>
      <w:r>
        <w:rPr>
          <w:szCs w:val="24"/>
        </w:rPr>
        <w:t>La Ley 100 de 1993 y el Decreto 1296 de 1994 establecieron la obligatoriedad de constituir los fondos de pensiones territoriales cuando se necesiten. El Decreto 810 de 1998 señaló de qué manera deben fondearse los patrimonios autónomos que respalden esos fondos, los que no pueden ser solo de papel o para justificar estructuras organizacionales. Además, la existencia de patrimonios autónomos permite pagar mesadas, bonos y cuotas partes contra recursos distintos a los ingresos corrientes.</w:t>
      </w:r>
    </w:p>
    <w:p w:rsidR="007E60D0" w:rsidRDefault="007E60D0">
      <w:pPr>
        <w:jc w:val="both"/>
        <w:rPr>
          <w:szCs w:val="24"/>
        </w:rPr>
      </w:pPr>
    </w:p>
    <w:p w:rsidR="007E60D0" w:rsidRDefault="007E60D0">
      <w:pPr>
        <w:jc w:val="both"/>
        <w:rPr>
          <w:b/>
          <w:bCs/>
          <w:szCs w:val="24"/>
        </w:rPr>
      </w:pPr>
      <w:r>
        <w:rPr>
          <w:b/>
          <w:bCs/>
          <w:szCs w:val="24"/>
        </w:rPr>
        <w:t>d. Servicio de la Deuda</w:t>
      </w:r>
    </w:p>
    <w:p w:rsidR="007E60D0" w:rsidRDefault="007E60D0">
      <w:pPr>
        <w:jc w:val="both"/>
        <w:rPr>
          <w:szCs w:val="24"/>
        </w:rPr>
      </w:pPr>
    </w:p>
    <w:p w:rsidR="007E60D0" w:rsidRDefault="007E60D0">
      <w:pPr>
        <w:jc w:val="both"/>
        <w:rPr>
          <w:szCs w:val="24"/>
        </w:rPr>
      </w:pPr>
      <w:r>
        <w:rPr>
          <w:szCs w:val="24"/>
        </w:rPr>
        <w:t>Corresponde este gasto al pago del capital, los intereses y algunos gastos asociados a la cancelación de la deuda pública que mantiene la entidad territorial. Su estimación depende de las condiciones contractuales en que se pactó cada crédito tales como la tasa de interés, el plazo, la gracia y las fechas de los desembolsos.</w:t>
      </w:r>
    </w:p>
    <w:p w:rsidR="007E60D0" w:rsidRDefault="007E60D0">
      <w:pPr>
        <w:jc w:val="both"/>
        <w:rPr>
          <w:b/>
          <w:bCs/>
          <w:szCs w:val="24"/>
        </w:rPr>
      </w:pPr>
    </w:p>
    <w:p w:rsidR="007E60D0" w:rsidRDefault="007E60D0">
      <w:pPr>
        <w:jc w:val="both"/>
        <w:rPr>
          <w:b/>
          <w:bCs/>
          <w:szCs w:val="24"/>
        </w:rPr>
      </w:pPr>
      <w:r>
        <w:rPr>
          <w:b/>
          <w:bCs/>
          <w:szCs w:val="24"/>
        </w:rPr>
        <w:t>e. Inversión</w:t>
      </w:r>
    </w:p>
    <w:p w:rsidR="007E60D0" w:rsidRDefault="007E60D0">
      <w:pPr>
        <w:jc w:val="both"/>
        <w:rPr>
          <w:szCs w:val="24"/>
        </w:rPr>
      </w:pPr>
    </w:p>
    <w:p w:rsidR="007E60D0" w:rsidRDefault="007E60D0">
      <w:pPr>
        <w:jc w:val="both"/>
        <w:rPr>
          <w:szCs w:val="24"/>
        </w:rPr>
      </w:pPr>
      <w:r>
        <w:rPr>
          <w:szCs w:val="24"/>
        </w:rPr>
        <w:t>La estimación de estos gastos está directamente relacionada con la puesta en práctica del programa de gobierno a través del Plan de Desarrollo. Aunque el objetivo de esta metodología no es profundizar en los procesos de identificación y formulación de proyectos que harán realidad el programa de gobierno, si se considera prudente advertir que previa a esta etapa es necesario identificar la restricción presupuestal que existe para encaminar los proyectos.</w:t>
      </w:r>
    </w:p>
    <w:p w:rsidR="007E60D0" w:rsidRDefault="007E60D0">
      <w:pPr>
        <w:jc w:val="both"/>
        <w:rPr>
          <w:szCs w:val="24"/>
        </w:rPr>
      </w:pPr>
    </w:p>
    <w:p w:rsidR="007E60D0" w:rsidRDefault="007E60D0">
      <w:pPr>
        <w:jc w:val="both"/>
        <w:rPr>
          <w:szCs w:val="24"/>
        </w:rPr>
      </w:pPr>
      <w:r>
        <w:rPr>
          <w:szCs w:val="24"/>
        </w:rPr>
        <w:t xml:space="preserve">Al respecto, se recuerda que no basta con identificar la destinación de las rentas, también es fundamental conocer sus vínculos contractuales con proyectos de inversión anteriores, con el servicio de la deuda o con el saneamiento fiscal. </w:t>
      </w:r>
    </w:p>
    <w:p w:rsidR="007E60D0" w:rsidRDefault="007E60D0">
      <w:pPr>
        <w:jc w:val="both"/>
        <w:rPr>
          <w:szCs w:val="24"/>
        </w:rPr>
      </w:pPr>
    </w:p>
    <w:p w:rsidR="007E60D0" w:rsidRDefault="007E60D0">
      <w:pPr>
        <w:jc w:val="both"/>
        <w:rPr>
          <w:szCs w:val="24"/>
        </w:rPr>
      </w:pPr>
      <w:r>
        <w:rPr>
          <w:szCs w:val="24"/>
        </w:rPr>
        <w:t>Una vez conocidas y estimadas las fuentes reales de inversión, será posible definir mediante el proceso social, técnico y político establecido en la Ley 152 de 1994, el gasto de inversión para los próximos diez años.</w:t>
      </w:r>
    </w:p>
    <w:p w:rsidR="007E60D0" w:rsidRDefault="007E60D0">
      <w:pPr>
        <w:jc w:val="both"/>
        <w:rPr>
          <w:szCs w:val="24"/>
        </w:rPr>
      </w:pPr>
    </w:p>
    <w:p w:rsidR="007E60D0" w:rsidRDefault="007E60D0">
      <w:pPr>
        <w:jc w:val="both"/>
        <w:rPr>
          <w:szCs w:val="24"/>
          <w:lang w:val="es-ES_tradnl"/>
        </w:rPr>
      </w:pPr>
      <w:r>
        <w:rPr>
          <w:szCs w:val="24"/>
          <w:lang w:val="es-ES_tradnl"/>
        </w:rPr>
        <w:t>A continuación, en el cuadro No.3 se puede observar el comportamiento de los diversos Gastos del Municipio durante las vigencias de 2008, 2009 y 2010.</w:t>
      </w:r>
    </w:p>
    <w:p w:rsidR="007E60D0" w:rsidRDefault="007E60D0">
      <w:pPr>
        <w:jc w:val="both"/>
        <w:rPr>
          <w:szCs w:val="24"/>
          <w:lang w:val="es-ES_tradnl"/>
        </w:rPr>
      </w:pPr>
    </w:p>
    <w:tbl>
      <w:tblPr>
        <w:tblW w:w="0" w:type="auto"/>
        <w:tblInd w:w="70" w:type="dxa"/>
        <w:tblLayout w:type="fixed"/>
        <w:tblCellMar>
          <w:left w:w="70" w:type="dxa"/>
          <w:right w:w="70" w:type="dxa"/>
        </w:tblCellMar>
        <w:tblLook w:val="0000"/>
      </w:tblPr>
      <w:tblGrid>
        <w:gridCol w:w="2670"/>
        <w:gridCol w:w="1159"/>
        <w:gridCol w:w="1154"/>
        <w:gridCol w:w="1159"/>
        <w:gridCol w:w="20"/>
      </w:tblGrid>
      <w:tr w:rsidR="007E60D0">
        <w:trPr>
          <w:gridAfter w:val="1"/>
          <w:wAfter w:w="20" w:type="dxa"/>
          <w:trHeight w:val="330"/>
        </w:trPr>
        <w:tc>
          <w:tcPr>
            <w:tcW w:w="6142" w:type="dxa"/>
            <w:gridSpan w:val="4"/>
            <w:shd w:val="clear" w:color="auto" w:fill="auto"/>
            <w:vAlign w:val="center"/>
          </w:tcPr>
          <w:p w:rsidR="007E60D0" w:rsidRDefault="007E60D0">
            <w:pPr>
              <w:snapToGrid w:val="0"/>
              <w:jc w:val="center"/>
              <w:rPr>
                <w:b/>
                <w:bCs/>
                <w:color w:val="000000"/>
                <w:sz w:val="22"/>
                <w:szCs w:val="22"/>
              </w:rPr>
            </w:pPr>
            <w:r>
              <w:rPr>
                <w:b/>
                <w:bCs/>
                <w:color w:val="000000"/>
                <w:sz w:val="22"/>
                <w:szCs w:val="22"/>
              </w:rPr>
              <w:t>CUADRO No. 3</w:t>
            </w:r>
          </w:p>
        </w:tc>
      </w:tr>
      <w:tr w:rsidR="007E60D0">
        <w:trPr>
          <w:gridAfter w:val="1"/>
          <w:wAfter w:w="20" w:type="dxa"/>
          <w:trHeight w:val="315"/>
        </w:trPr>
        <w:tc>
          <w:tcPr>
            <w:tcW w:w="6142" w:type="dxa"/>
            <w:gridSpan w:val="4"/>
            <w:vMerge w:val="restart"/>
            <w:tcBorders>
              <w:bottom w:val="single" w:sz="8"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ESTRUCTURA DE LOS GASTOS</w:t>
            </w:r>
          </w:p>
        </w:tc>
      </w:tr>
      <w:tr w:rsidR="007E60D0">
        <w:trPr>
          <w:gridAfter w:val="1"/>
          <w:wAfter w:w="20" w:type="dxa"/>
          <w:trHeight w:val="276"/>
        </w:trPr>
        <w:tc>
          <w:tcPr>
            <w:tcW w:w="6142" w:type="dxa"/>
            <w:gridSpan w:val="4"/>
            <w:vMerge/>
            <w:tcBorders>
              <w:bottom w:val="single" w:sz="8" w:space="0" w:color="000000"/>
            </w:tcBorders>
            <w:shd w:val="clear" w:color="auto" w:fill="auto"/>
            <w:vAlign w:val="center"/>
          </w:tcPr>
          <w:p w:rsidR="007E60D0" w:rsidRDefault="007E60D0">
            <w:pPr>
              <w:snapToGrid w:val="0"/>
              <w:jc w:val="center"/>
              <w:rPr>
                <w:b/>
                <w:bCs/>
                <w:color w:val="000000"/>
                <w:szCs w:val="22"/>
              </w:rPr>
            </w:pPr>
          </w:p>
        </w:tc>
      </w:tr>
      <w:tr w:rsidR="007E60D0">
        <w:trPr>
          <w:trHeight w:val="270"/>
        </w:trPr>
        <w:tc>
          <w:tcPr>
            <w:tcW w:w="2670" w:type="dxa"/>
            <w:tcBorders>
              <w:left w:val="single" w:sz="8" w:space="0" w:color="000000"/>
              <w:bottom w:val="single" w:sz="8"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CONCEPTO</w:t>
            </w:r>
          </w:p>
        </w:tc>
        <w:tc>
          <w:tcPr>
            <w:tcW w:w="1159" w:type="dxa"/>
            <w:tcBorders>
              <w:left w:val="single" w:sz="8" w:space="0" w:color="000000"/>
              <w:bottom w:val="single" w:sz="8"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Año</w:t>
            </w:r>
          </w:p>
        </w:tc>
        <w:tc>
          <w:tcPr>
            <w:tcW w:w="1154" w:type="dxa"/>
            <w:tcBorders>
              <w:left w:val="single" w:sz="8" w:space="0" w:color="000000"/>
              <w:bottom w:val="single" w:sz="8"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Año</w:t>
            </w:r>
          </w:p>
        </w:tc>
        <w:tc>
          <w:tcPr>
            <w:tcW w:w="1179" w:type="dxa"/>
            <w:gridSpan w:val="2"/>
            <w:tcBorders>
              <w:left w:val="single" w:sz="8" w:space="0" w:color="000000"/>
              <w:bottom w:val="single" w:sz="8" w:space="0" w:color="000000"/>
              <w:right w:val="single" w:sz="8"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Año</w:t>
            </w:r>
          </w:p>
        </w:tc>
      </w:tr>
      <w:tr w:rsidR="007E60D0">
        <w:trPr>
          <w:trHeight w:val="270"/>
        </w:trPr>
        <w:tc>
          <w:tcPr>
            <w:tcW w:w="2670" w:type="dxa"/>
            <w:tcBorders>
              <w:left w:val="single" w:sz="8" w:space="0" w:color="000000"/>
              <w:bottom w:val="single" w:sz="8" w:space="0" w:color="000000"/>
            </w:tcBorders>
            <w:shd w:val="clear" w:color="auto" w:fill="auto"/>
            <w:vAlign w:val="center"/>
          </w:tcPr>
          <w:p w:rsidR="007E60D0" w:rsidRDefault="007E60D0">
            <w:pPr>
              <w:snapToGrid w:val="0"/>
              <w:jc w:val="center"/>
              <w:rPr>
                <w:b/>
                <w:bCs/>
                <w:color w:val="000000"/>
                <w:szCs w:val="22"/>
              </w:rPr>
            </w:pPr>
          </w:p>
        </w:tc>
        <w:tc>
          <w:tcPr>
            <w:tcW w:w="1159" w:type="dxa"/>
            <w:tcBorders>
              <w:left w:val="single" w:sz="8" w:space="0" w:color="000000"/>
              <w:bottom w:val="single" w:sz="8"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2008</w:t>
            </w:r>
          </w:p>
        </w:tc>
        <w:tc>
          <w:tcPr>
            <w:tcW w:w="1154" w:type="dxa"/>
            <w:tcBorders>
              <w:left w:val="single" w:sz="8" w:space="0" w:color="000000"/>
              <w:bottom w:val="single" w:sz="8"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2009</w:t>
            </w:r>
          </w:p>
        </w:tc>
        <w:tc>
          <w:tcPr>
            <w:tcW w:w="1179" w:type="dxa"/>
            <w:gridSpan w:val="2"/>
            <w:tcBorders>
              <w:left w:val="single" w:sz="8" w:space="0" w:color="000000"/>
              <w:bottom w:val="single" w:sz="8" w:space="0" w:color="000000"/>
              <w:right w:val="single" w:sz="8"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2010</w:t>
            </w:r>
          </w:p>
        </w:tc>
      </w:tr>
      <w:tr w:rsidR="007E60D0">
        <w:trPr>
          <w:trHeight w:val="270"/>
        </w:trPr>
        <w:tc>
          <w:tcPr>
            <w:tcW w:w="2670" w:type="dxa"/>
            <w:tcBorders>
              <w:left w:val="single" w:sz="8" w:space="0" w:color="000000"/>
              <w:bottom w:val="single" w:sz="8"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TOTAL GASTOS</w:t>
            </w:r>
          </w:p>
        </w:tc>
        <w:tc>
          <w:tcPr>
            <w:tcW w:w="1159" w:type="dxa"/>
            <w:tcBorders>
              <w:top w:val="single" w:sz="4" w:space="0" w:color="000000"/>
              <w:left w:val="single" w:sz="8" w:space="0" w:color="000000"/>
              <w:bottom w:val="single" w:sz="4" w:space="0" w:color="000000"/>
            </w:tcBorders>
            <w:shd w:val="clear" w:color="auto" w:fill="auto"/>
            <w:vAlign w:val="center"/>
          </w:tcPr>
          <w:p w:rsidR="007E60D0" w:rsidRDefault="007E60D0">
            <w:pPr>
              <w:snapToGrid w:val="0"/>
              <w:jc w:val="center"/>
              <w:rPr>
                <w:sz w:val="22"/>
                <w:szCs w:val="22"/>
              </w:rPr>
            </w:pPr>
            <w:r>
              <w:rPr>
                <w:sz w:val="22"/>
                <w:szCs w:val="22"/>
              </w:rPr>
              <w:t>34.777</w:t>
            </w:r>
          </w:p>
        </w:tc>
        <w:tc>
          <w:tcPr>
            <w:tcW w:w="1154" w:type="dxa"/>
            <w:tcBorders>
              <w:top w:val="single" w:sz="4" w:space="0" w:color="000000"/>
              <w:left w:val="single" w:sz="4" w:space="0" w:color="000000"/>
              <w:bottom w:val="single" w:sz="4" w:space="0" w:color="000000"/>
            </w:tcBorders>
            <w:shd w:val="clear" w:color="auto" w:fill="auto"/>
            <w:vAlign w:val="center"/>
          </w:tcPr>
          <w:p w:rsidR="007E60D0" w:rsidRDefault="007E60D0">
            <w:pPr>
              <w:snapToGrid w:val="0"/>
              <w:jc w:val="center"/>
              <w:rPr>
                <w:sz w:val="22"/>
                <w:szCs w:val="22"/>
              </w:rPr>
            </w:pPr>
            <w:r>
              <w:rPr>
                <w:sz w:val="22"/>
                <w:szCs w:val="22"/>
              </w:rPr>
              <w:t>32.886</w:t>
            </w:r>
          </w:p>
        </w:tc>
        <w:tc>
          <w:tcPr>
            <w:tcW w:w="1179" w:type="dxa"/>
            <w:gridSpan w:val="2"/>
            <w:tcBorders>
              <w:top w:val="single" w:sz="4" w:space="0" w:color="000000"/>
              <w:left w:val="single" w:sz="4" w:space="0" w:color="000000"/>
              <w:bottom w:val="single" w:sz="4" w:space="0" w:color="000000"/>
              <w:right w:val="single" w:sz="8" w:space="0" w:color="000000"/>
            </w:tcBorders>
            <w:shd w:val="clear" w:color="auto" w:fill="auto"/>
            <w:vAlign w:val="center"/>
          </w:tcPr>
          <w:p w:rsidR="007E60D0" w:rsidRDefault="007E60D0">
            <w:pPr>
              <w:snapToGrid w:val="0"/>
              <w:jc w:val="center"/>
              <w:rPr>
                <w:sz w:val="22"/>
                <w:szCs w:val="22"/>
              </w:rPr>
            </w:pPr>
            <w:r>
              <w:rPr>
                <w:sz w:val="22"/>
                <w:szCs w:val="22"/>
              </w:rPr>
              <w:t>34.817</w:t>
            </w:r>
          </w:p>
        </w:tc>
      </w:tr>
      <w:tr w:rsidR="007E60D0">
        <w:trPr>
          <w:trHeight w:val="270"/>
        </w:trPr>
        <w:tc>
          <w:tcPr>
            <w:tcW w:w="2670" w:type="dxa"/>
            <w:tcBorders>
              <w:left w:val="single" w:sz="8" w:space="0" w:color="000000"/>
              <w:bottom w:val="single" w:sz="8"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FUNCIONAMIENTO</w:t>
            </w:r>
          </w:p>
        </w:tc>
        <w:tc>
          <w:tcPr>
            <w:tcW w:w="1159" w:type="dxa"/>
            <w:tcBorders>
              <w:left w:val="single" w:sz="8" w:space="0" w:color="000000"/>
              <w:bottom w:val="single" w:sz="4" w:space="0" w:color="000000"/>
            </w:tcBorders>
            <w:shd w:val="clear" w:color="auto" w:fill="auto"/>
            <w:vAlign w:val="center"/>
          </w:tcPr>
          <w:p w:rsidR="007E60D0" w:rsidRDefault="007E60D0">
            <w:pPr>
              <w:snapToGrid w:val="0"/>
              <w:jc w:val="center"/>
              <w:rPr>
                <w:sz w:val="22"/>
                <w:szCs w:val="22"/>
              </w:rPr>
            </w:pPr>
            <w:r>
              <w:rPr>
                <w:sz w:val="22"/>
                <w:szCs w:val="22"/>
              </w:rPr>
              <w:t>1.938</w:t>
            </w:r>
          </w:p>
        </w:tc>
        <w:tc>
          <w:tcPr>
            <w:tcW w:w="1154" w:type="dxa"/>
            <w:tcBorders>
              <w:left w:val="single" w:sz="4" w:space="0" w:color="000000"/>
              <w:bottom w:val="single" w:sz="4" w:space="0" w:color="000000"/>
            </w:tcBorders>
            <w:shd w:val="clear" w:color="auto" w:fill="auto"/>
            <w:vAlign w:val="center"/>
          </w:tcPr>
          <w:p w:rsidR="007E60D0" w:rsidRDefault="007E60D0">
            <w:pPr>
              <w:snapToGrid w:val="0"/>
              <w:jc w:val="center"/>
              <w:rPr>
                <w:sz w:val="22"/>
                <w:szCs w:val="22"/>
              </w:rPr>
            </w:pPr>
            <w:r>
              <w:rPr>
                <w:sz w:val="22"/>
                <w:szCs w:val="22"/>
              </w:rPr>
              <w:t>2.234</w:t>
            </w:r>
          </w:p>
        </w:tc>
        <w:tc>
          <w:tcPr>
            <w:tcW w:w="1179" w:type="dxa"/>
            <w:gridSpan w:val="2"/>
            <w:tcBorders>
              <w:left w:val="single" w:sz="4" w:space="0" w:color="000000"/>
              <w:bottom w:val="single" w:sz="4" w:space="0" w:color="000000"/>
              <w:right w:val="single" w:sz="8" w:space="0" w:color="000000"/>
            </w:tcBorders>
            <w:shd w:val="clear" w:color="auto" w:fill="auto"/>
            <w:vAlign w:val="center"/>
          </w:tcPr>
          <w:p w:rsidR="007E60D0" w:rsidRDefault="007E60D0">
            <w:pPr>
              <w:snapToGrid w:val="0"/>
              <w:jc w:val="center"/>
              <w:rPr>
                <w:sz w:val="22"/>
                <w:szCs w:val="22"/>
              </w:rPr>
            </w:pPr>
            <w:r>
              <w:rPr>
                <w:sz w:val="22"/>
                <w:szCs w:val="22"/>
              </w:rPr>
              <w:t>2.364</w:t>
            </w:r>
          </w:p>
        </w:tc>
      </w:tr>
      <w:tr w:rsidR="007E60D0">
        <w:trPr>
          <w:trHeight w:val="330"/>
        </w:trPr>
        <w:tc>
          <w:tcPr>
            <w:tcW w:w="2670" w:type="dxa"/>
            <w:tcBorders>
              <w:left w:val="single" w:sz="8"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SERVICIO LA DEUDA</w:t>
            </w:r>
          </w:p>
        </w:tc>
        <w:tc>
          <w:tcPr>
            <w:tcW w:w="1159" w:type="dxa"/>
            <w:tcBorders>
              <w:left w:val="single" w:sz="8" w:space="0" w:color="000000"/>
              <w:bottom w:val="single" w:sz="8" w:space="0" w:color="000000"/>
            </w:tcBorders>
            <w:shd w:val="clear" w:color="auto" w:fill="auto"/>
            <w:vAlign w:val="center"/>
          </w:tcPr>
          <w:p w:rsidR="007E60D0" w:rsidRDefault="007E60D0">
            <w:pPr>
              <w:snapToGrid w:val="0"/>
              <w:jc w:val="center"/>
              <w:rPr>
                <w:sz w:val="22"/>
                <w:szCs w:val="22"/>
              </w:rPr>
            </w:pPr>
            <w:r>
              <w:rPr>
                <w:sz w:val="22"/>
                <w:szCs w:val="22"/>
              </w:rPr>
              <w:t>966</w:t>
            </w:r>
          </w:p>
        </w:tc>
        <w:tc>
          <w:tcPr>
            <w:tcW w:w="1154" w:type="dxa"/>
            <w:tcBorders>
              <w:left w:val="single" w:sz="4" w:space="0" w:color="000000"/>
              <w:bottom w:val="single" w:sz="8" w:space="0" w:color="000000"/>
            </w:tcBorders>
            <w:shd w:val="clear" w:color="auto" w:fill="auto"/>
            <w:vAlign w:val="center"/>
          </w:tcPr>
          <w:p w:rsidR="007E60D0" w:rsidRDefault="007E60D0">
            <w:pPr>
              <w:snapToGrid w:val="0"/>
              <w:jc w:val="center"/>
              <w:rPr>
                <w:sz w:val="22"/>
                <w:szCs w:val="22"/>
              </w:rPr>
            </w:pPr>
            <w:r>
              <w:rPr>
                <w:sz w:val="22"/>
                <w:szCs w:val="22"/>
              </w:rPr>
              <w:t>2.766</w:t>
            </w:r>
          </w:p>
        </w:tc>
        <w:tc>
          <w:tcPr>
            <w:tcW w:w="1179" w:type="dxa"/>
            <w:gridSpan w:val="2"/>
            <w:tcBorders>
              <w:left w:val="single" w:sz="4" w:space="0" w:color="000000"/>
              <w:bottom w:val="single" w:sz="8" w:space="0" w:color="000000"/>
              <w:right w:val="single" w:sz="8" w:space="0" w:color="000000"/>
            </w:tcBorders>
            <w:shd w:val="clear" w:color="auto" w:fill="auto"/>
            <w:vAlign w:val="center"/>
          </w:tcPr>
          <w:p w:rsidR="007E60D0" w:rsidRDefault="007E60D0">
            <w:pPr>
              <w:snapToGrid w:val="0"/>
              <w:jc w:val="center"/>
              <w:rPr>
                <w:sz w:val="22"/>
                <w:szCs w:val="22"/>
              </w:rPr>
            </w:pPr>
            <w:r>
              <w:rPr>
                <w:sz w:val="22"/>
                <w:szCs w:val="22"/>
              </w:rPr>
              <w:t>4.569</w:t>
            </w:r>
          </w:p>
        </w:tc>
      </w:tr>
      <w:tr w:rsidR="007E60D0">
        <w:trPr>
          <w:trHeight w:val="255"/>
        </w:trPr>
        <w:tc>
          <w:tcPr>
            <w:tcW w:w="2670" w:type="dxa"/>
            <w:tcBorders>
              <w:top w:val="single" w:sz="8" w:space="0" w:color="000000"/>
              <w:left w:val="single" w:sz="8" w:space="0" w:color="000000"/>
              <w:bottom w:val="single" w:sz="8"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lastRenderedPageBreak/>
              <w:t>INVERSIÓN</w:t>
            </w:r>
          </w:p>
        </w:tc>
        <w:tc>
          <w:tcPr>
            <w:tcW w:w="1159" w:type="dxa"/>
            <w:tcBorders>
              <w:top w:val="single" w:sz="4" w:space="0" w:color="000000"/>
              <w:left w:val="single" w:sz="8" w:space="0" w:color="000000"/>
              <w:bottom w:val="single" w:sz="8" w:space="0" w:color="000000"/>
            </w:tcBorders>
            <w:shd w:val="clear" w:color="auto" w:fill="auto"/>
            <w:vAlign w:val="center"/>
          </w:tcPr>
          <w:p w:rsidR="007E60D0" w:rsidRDefault="007E60D0">
            <w:pPr>
              <w:snapToGrid w:val="0"/>
              <w:jc w:val="center"/>
              <w:rPr>
                <w:sz w:val="22"/>
                <w:szCs w:val="22"/>
              </w:rPr>
            </w:pPr>
            <w:r>
              <w:rPr>
                <w:sz w:val="22"/>
                <w:szCs w:val="22"/>
              </w:rPr>
              <w:t>32.679</w:t>
            </w:r>
          </w:p>
        </w:tc>
        <w:tc>
          <w:tcPr>
            <w:tcW w:w="1154" w:type="dxa"/>
            <w:tcBorders>
              <w:top w:val="single" w:sz="4" w:space="0" w:color="000000"/>
              <w:left w:val="single" w:sz="4" w:space="0" w:color="000000"/>
              <w:bottom w:val="single" w:sz="8" w:space="0" w:color="000000"/>
            </w:tcBorders>
            <w:shd w:val="clear" w:color="auto" w:fill="auto"/>
            <w:vAlign w:val="center"/>
          </w:tcPr>
          <w:p w:rsidR="007E60D0" w:rsidRDefault="007E60D0">
            <w:pPr>
              <w:snapToGrid w:val="0"/>
              <w:jc w:val="center"/>
              <w:rPr>
                <w:sz w:val="22"/>
                <w:szCs w:val="22"/>
              </w:rPr>
            </w:pPr>
            <w:r>
              <w:rPr>
                <w:sz w:val="22"/>
                <w:szCs w:val="22"/>
              </w:rPr>
              <w:t>30.536</w:t>
            </w:r>
          </w:p>
        </w:tc>
        <w:tc>
          <w:tcPr>
            <w:tcW w:w="1179" w:type="dxa"/>
            <w:gridSpan w:val="2"/>
            <w:tcBorders>
              <w:top w:val="single" w:sz="4" w:space="0" w:color="000000"/>
              <w:left w:val="single" w:sz="4" w:space="0" w:color="000000"/>
              <w:bottom w:val="single" w:sz="8" w:space="0" w:color="000000"/>
              <w:right w:val="single" w:sz="8" w:space="0" w:color="000000"/>
            </w:tcBorders>
            <w:shd w:val="clear" w:color="auto" w:fill="auto"/>
            <w:vAlign w:val="center"/>
          </w:tcPr>
          <w:p w:rsidR="007E60D0" w:rsidRDefault="007E60D0">
            <w:pPr>
              <w:snapToGrid w:val="0"/>
              <w:jc w:val="center"/>
              <w:rPr>
                <w:sz w:val="22"/>
                <w:szCs w:val="22"/>
              </w:rPr>
            </w:pPr>
            <w:r>
              <w:rPr>
                <w:sz w:val="22"/>
                <w:szCs w:val="22"/>
              </w:rPr>
              <w:t>31.475</w:t>
            </w:r>
          </w:p>
        </w:tc>
      </w:tr>
    </w:tbl>
    <w:p w:rsidR="007E60D0" w:rsidRDefault="007E60D0">
      <w:pPr>
        <w:jc w:val="center"/>
        <w:rPr>
          <w:b/>
          <w:szCs w:val="24"/>
          <w:lang w:val="es-ES_tradnl"/>
        </w:rPr>
      </w:pPr>
      <w:r>
        <w:rPr>
          <w:b/>
          <w:szCs w:val="24"/>
          <w:lang w:val="es-ES_tradnl"/>
        </w:rPr>
        <w:t>Gráfico N. 3</w:t>
      </w:r>
    </w:p>
    <w:p w:rsidR="007E60D0" w:rsidRDefault="007E60D0">
      <w:pPr>
        <w:jc w:val="center"/>
        <w:rPr>
          <w:b/>
          <w:szCs w:val="24"/>
          <w:lang w:val="es-ES_tradnl"/>
        </w:rPr>
      </w:pPr>
      <w:r>
        <w:rPr>
          <w:b/>
          <w:szCs w:val="24"/>
          <w:lang w:val="es-ES_tradnl"/>
        </w:rPr>
        <w:t>Estructura de Gastos</w:t>
      </w:r>
    </w:p>
    <w:p w:rsidR="007E60D0" w:rsidRDefault="007E60D0">
      <w:pPr>
        <w:jc w:val="center"/>
        <w:rPr>
          <w:b/>
          <w:szCs w:val="24"/>
          <w:lang w:val="es-ES_tradnl"/>
        </w:rPr>
      </w:pPr>
    </w:p>
    <w:p w:rsidR="007E60D0" w:rsidRDefault="00944E93">
      <w:pPr>
        <w:jc w:val="center"/>
        <w:rPr>
          <w:szCs w:val="24"/>
          <w:lang w:val="es-CO"/>
        </w:rPr>
      </w:pPr>
      <w:r>
        <w:rPr>
          <w:noProof/>
          <w:szCs w:val="24"/>
          <w:lang w:val="es-CO" w:eastAsia="es-CO"/>
        </w:rPr>
        <w:drawing>
          <wp:inline distT="0" distB="0" distL="0" distR="0">
            <wp:extent cx="4591050" cy="2743200"/>
            <wp:effectExtent l="1905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srcRect b="-116"/>
                    <a:stretch>
                      <a:fillRect/>
                    </a:stretch>
                  </pic:blipFill>
                  <pic:spPr bwMode="auto">
                    <a:xfrm>
                      <a:off x="0" y="0"/>
                      <a:ext cx="4591050" cy="2743200"/>
                    </a:xfrm>
                    <a:prstGeom prst="rect">
                      <a:avLst/>
                    </a:prstGeom>
                    <a:solidFill>
                      <a:srgbClr val="FFFFFF"/>
                    </a:solidFill>
                    <a:ln w="9525">
                      <a:noFill/>
                      <a:miter lim="800000"/>
                      <a:headEnd/>
                      <a:tailEnd/>
                    </a:ln>
                  </pic:spPr>
                </pic:pic>
              </a:graphicData>
            </a:graphic>
          </wp:inline>
        </w:drawing>
      </w:r>
    </w:p>
    <w:p w:rsidR="007E60D0" w:rsidRDefault="007E60D0">
      <w:pPr>
        <w:jc w:val="center"/>
        <w:rPr>
          <w:szCs w:val="24"/>
          <w:lang w:val="es-CO"/>
        </w:rPr>
      </w:pPr>
    </w:p>
    <w:p w:rsidR="007E60D0" w:rsidRDefault="007E60D0">
      <w:pPr>
        <w:jc w:val="center"/>
        <w:rPr>
          <w:szCs w:val="24"/>
          <w:lang w:val="es-CO"/>
        </w:rPr>
      </w:pPr>
    </w:p>
    <w:p w:rsidR="007E60D0" w:rsidRDefault="007E60D0">
      <w:pPr>
        <w:jc w:val="center"/>
        <w:rPr>
          <w:szCs w:val="24"/>
          <w:lang w:val="es-CO"/>
        </w:rPr>
      </w:pPr>
    </w:p>
    <w:p w:rsidR="007E60D0" w:rsidRDefault="007E60D0">
      <w:pPr>
        <w:pStyle w:val="Prrafodelista"/>
        <w:numPr>
          <w:ilvl w:val="2"/>
          <w:numId w:val="15"/>
        </w:numPr>
        <w:jc w:val="both"/>
        <w:rPr>
          <w:rFonts w:ascii="Times New Roman" w:hAnsi="Times New Roman" w:cs="Times New Roman"/>
          <w:b/>
          <w:sz w:val="24"/>
          <w:szCs w:val="24"/>
          <w:lang w:val="es-ES_tradnl"/>
        </w:rPr>
      </w:pPr>
      <w:r>
        <w:rPr>
          <w:rFonts w:ascii="Times New Roman" w:hAnsi="Times New Roman" w:cs="Times New Roman"/>
          <w:b/>
          <w:sz w:val="24"/>
          <w:szCs w:val="24"/>
          <w:lang w:val="es-ES_tradnl"/>
        </w:rPr>
        <w:t>Estructura de los Gastos de Funcionamiento</w:t>
      </w:r>
    </w:p>
    <w:p w:rsidR="007E60D0" w:rsidRDefault="007E60D0">
      <w:pPr>
        <w:jc w:val="both"/>
        <w:rPr>
          <w:b/>
          <w:szCs w:val="24"/>
          <w:lang w:val="es-ES_tradnl"/>
        </w:rPr>
      </w:pPr>
    </w:p>
    <w:p w:rsidR="007E60D0" w:rsidRDefault="007E60D0">
      <w:pPr>
        <w:jc w:val="both"/>
        <w:rPr>
          <w:szCs w:val="24"/>
          <w:lang w:val="es-ES_tradnl"/>
        </w:rPr>
      </w:pPr>
      <w:r>
        <w:rPr>
          <w:szCs w:val="24"/>
          <w:lang w:val="es-ES_tradnl"/>
        </w:rPr>
        <w:t>Los Gastos de Funcionamiento durante las tres vigencias han tenido el siguiente comportamiento, el cual se puede apreciar en el cuadro.</w:t>
      </w:r>
    </w:p>
    <w:p w:rsidR="007E60D0" w:rsidRDefault="007E60D0">
      <w:pPr>
        <w:tabs>
          <w:tab w:val="left" w:pos="1209"/>
        </w:tabs>
        <w:jc w:val="both"/>
        <w:rPr>
          <w:szCs w:val="24"/>
          <w:lang w:val="es-ES_tradnl"/>
        </w:rPr>
      </w:pPr>
      <w:r>
        <w:rPr>
          <w:szCs w:val="24"/>
          <w:lang w:val="es-ES_tradnl"/>
        </w:rPr>
        <w:tab/>
      </w:r>
    </w:p>
    <w:p w:rsidR="007E60D0" w:rsidRDefault="007E60D0">
      <w:pPr>
        <w:tabs>
          <w:tab w:val="left" w:pos="1209"/>
        </w:tabs>
        <w:rPr>
          <w:szCs w:val="24"/>
          <w:lang w:val="es-ES_tradnl"/>
        </w:rPr>
      </w:pPr>
    </w:p>
    <w:p w:rsidR="007E60D0" w:rsidRDefault="007E60D0">
      <w:pPr>
        <w:tabs>
          <w:tab w:val="left" w:pos="1209"/>
        </w:tabs>
        <w:jc w:val="center"/>
        <w:rPr>
          <w:b/>
          <w:szCs w:val="24"/>
          <w:lang w:val="es-ES_tradnl"/>
        </w:rPr>
      </w:pPr>
      <w:r>
        <w:rPr>
          <w:b/>
          <w:szCs w:val="24"/>
          <w:lang w:val="es-ES_tradnl"/>
        </w:rPr>
        <w:t>CUADRO No. 4</w:t>
      </w:r>
    </w:p>
    <w:p w:rsidR="007E60D0" w:rsidRDefault="007E60D0">
      <w:pPr>
        <w:tabs>
          <w:tab w:val="left" w:pos="1209"/>
        </w:tabs>
        <w:jc w:val="center"/>
        <w:rPr>
          <w:b/>
          <w:szCs w:val="24"/>
          <w:lang w:val="es-ES_tradnl"/>
        </w:rPr>
      </w:pPr>
    </w:p>
    <w:tbl>
      <w:tblPr>
        <w:tblW w:w="0" w:type="auto"/>
        <w:tblInd w:w="70" w:type="dxa"/>
        <w:tblLayout w:type="fixed"/>
        <w:tblCellMar>
          <w:left w:w="70" w:type="dxa"/>
          <w:right w:w="70" w:type="dxa"/>
        </w:tblCellMar>
        <w:tblLook w:val="0000"/>
      </w:tblPr>
      <w:tblGrid>
        <w:gridCol w:w="1387"/>
        <w:gridCol w:w="2251"/>
        <w:gridCol w:w="1896"/>
        <w:gridCol w:w="2581"/>
        <w:gridCol w:w="20"/>
      </w:tblGrid>
      <w:tr w:rsidR="007E60D0">
        <w:trPr>
          <w:gridAfter w:val="1"/>
          <w:wAfter w:w="20" w:type="dxa"/>
          <w:trHeight w:val="330"/>
        </w:trPr>
        <w:tc>
          <w:tcPr>
            <w:tcW w:w="8115" w:type="dxa"/>
            <w:gridSpan w:val="4"/>
            <w:shd w:val="clear" w:color="auto" w:fill="auto"/>
            <w:vAlign w:val="center"/>
          </w:tcPr>
          <w:p w:rsidR="007E60D0" w:rsidRDefault="007E60D0">
            <w:pPr>
              <w:snapToGrid w:val="0"/>
              <w:jc w:val="center"/>
              <w:rPr>
                <w:b/>
                <w:bCs/>
                <w:color w:val="000000"/>
                <w:sz w:val="22"/>
                <w:szCs w:val="22"/>
              </w:rPr>
            </w:pPr>
            <w:r>
              <w:rPr>
                <w:b/>
                <w:bCs/>
                <w:color w:val="000000"/>
                <w:sz w:val="22"/>
                <w:szCs w:val="22"/>
              </w:rPr>
              <w:t>GASTOS DE FUNCIONAMIENTO</w:t>
            </w:r>
          </w:p>
        </w:tc>
      </w:tr>
      <w:tr w:rsidR="007E60D0">
        <w:trPr>
          <w:trHeight w:val="315"/>
        </w:trPr>
        <w:tc>
          <w:tcPr>
            <w:tcW w:w="1387" w:type="dxa"/>
            <w:tcBorders>
              <w:top w:val="single" w:sz="8" w:space="0" w:color="000000"/>
              <w:left w:val="single" w:sz="8" w:space="0" w:color="000000"/>
              <w:bottom w:val="single" w:sz="8"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CONCEPTO</w:t>
            </w:r>
          </w:p>
        </w:tc>
        <w:tc>
          <w:tcPr>
            <w:tcW w:w="2251" w:type="dxa"/>
            <w:tcBorders>
              <w:top w:val="single" w:sz="8" w:space="0" w:color="000000"/>
              <w:left w:val="single" w:sz="8" w:space="0" w:color="000000"/>
              <w:bottom w:val="single" w:sz="8"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SERVICIOS PERSONALES</w:t>
            </w:r>
          </w:p>
        </w:tc>
        <w:tc>
          <w:tcPr>
            <w:tcW w:w="1896" w:type="dxa"/>
            <w:tcBorders>
              <w:top w:val="single" w:sz="8" w:space="0" w:color="000000"/>
              <w:left w:val="single" w:sz="4" w:space="0" w:color="000000"/>
              <w:bottom w:val="single" w:sz="8"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GASTOS GENERALES</w:t>
            </w:r>
          </w:p>
        </w:tc>
        <w:tc>
          <w:tcPr>
            <w:tcW w:w="2601" w:type="dxa"/>
            <w:gridSpan w:val="2"/>
            <w:tcBorders>
              <w:top w:val="single" w:sz="8" w:space="0" w:color="000000"/>
              <w:left w:val="single" w:sz="4" w:space="0" w:color="000000"/>
              <w:bottom w:val="single" w:sz="8" w:space="0" w:color="000000"/>
              <w:right w:val="single" w:sz="8"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TRANSFERENCIAS PAGADAS</w:t>
            </w:r>
          </w:p>
        </w:tc>
      </w:tr>
      <w:tr w:rsidR="007E60D0">
        <w:trPr>
          <w:trHeight w:val="276"/>
        </w:trPr>
        <w:tc>
          <w:tcPr>
            <w:tcW w:w="1387" w:type="dxa"/>
            <w:vMerge w:val="restart"/>
            <w:tcBorders>
              <w:left w:val="single" w:sz="8" w:space="0" w:color="000000"/>
              <w:bottom w:val="single" w:sz="4"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2008</w:t>
            </w:r>
          </w:p>
        </w:tc>
        <w:tc>
          <w:tcPr>
            <w:tcW w:w="2251" w:type="dxa"/>
            <w:vMerge w:val="restart"/>
            <w:tcBorders>
              <w:left w:val="single" w:sz="8" w:space="0" w:color="000000"/>
              <w:bottom w:val="single" w:sz="4" w:space="0" w:color="000000"/>
            </w:tcBorders>
            <w:shd w:val="clear" w:color="auto" w:fill="auto"/>
            <w:vAlign w:val="center"/>
          </w:tcPr>
          <w:p w:rsidR="007E60D0" w:rsidRDefault="007E60D0">
            <w:pPr>
              <w:snapToGrid w:val="0"/>
              <w:jc w:val="center"/>
              <w:rPr>
                <w:sz w:val="22"/>
                <w:szCs w:val="22"/>
              </w:rPr>
            </w:pPr>
            <w:r>
              <w:rPr>
                <w:sz w:val="22"/>
                <w:szCs w:val="22"/>
              </w:rPr>
              <w:t>1.049</w:t>
            </w:r>
          </w:p>
        </w:tc>
        <w:tc>
          <w:tcPr>
            <w:tcW w:w="1896" w:type="dxa"/>
            <w:vMerge w:val="restart"/>
            <w:tcBorders>
              <w:left w:val="single" w:sz="4" w:space="0" w:color="000000"/>
              <w:bottom w:val="single" w:sz="4" w:space="0" w:color="000000"/>
            </w:tcBorders>
            <w:shd w:val="clear" w:color="auto" w:fill="auto"/>
            <w:vAlign w:val="center"/>
          </w:tcPr>
          <w:p w:rsidR="007E60D0" w:rsidRDefault="007E60D0">
            <w:pPr>
              <w:snapToGrid w:val="0"/>
              <w:jc w:val="center"/>
              <w:rPr>
                <w:sz w:val="22"/>
                <w:szCs w:val="22"/>
              </w:rPr>
            </w:pPr>
            <w:r>
              <w:rPr>
                <w:sz w:val="22"/>
                <w:szCs w:val="22"/>
              </w:rPr>
              <w:t>665</w:t>
            </w:r>
          </w:p>
        </w:tc>
        <w:tc>
          <w:tcPr>
            <w:tcW w:w="2601" w:type="dxa"/>
            <w:gridSpan w:val="2"/>
            <w:vMerge w:val="restart"/>
            <w:tcBorders>
              <w:left w:val="single" w:sz="4" w:space="0" w:color="000000"/>
              <w:bottom w:val="single" w:sz="4" w:space="0" w:color="000000"/>
              <w:right w:val="single" w:sz="8" w:space="0" w:color="000000"/>
            </w:tcBorders>
            <w:shd w:val="clear" w:color="auto" w:fill="auto"/>
            <w:vAlign w:val="center"/>
          </w:tcPr>
          <w:p w:rsidR="007E60D0" w:rsidRDefault="007E60D0">
            <w:pPr>
              <w:snapToGrid w:val="0"/>
              <w:jc w:val="center"/>
              <w:rPr>
                <w:sz w:val="22"/>
                <w:szCs w:val="22"/>
              </w:rPr>
            </w:pPr>
            <w:r>
              <w:rPr>
                <w:sz w:val="22"/>
                <w:szCs w:val="22"/>
              </w:rPr>
              <w:t>223</w:t>
            </w:r>
          </w:p>
        </w:tc>
      </w:tr>
      <w:tr w:rsidR="007E60D0">
        <w:trPr>
          <w:trHeight w:val="276"/>
        </w:trPr>
        <w:tc>
          <w:tcPr>
            <w:tcW w:w="1387" w:type="dxa"/>
            <w:vMerge/>
            <w:tcBorders>
              <w:left w:val="single" w:sz="8" w:space="0" w:color="000000"/>
              <w:bottom w:val="single" w:sz="4" w:space="0" w:color="000000"/>
            </w:tcBorders>
            <w:shd w:val="clear" w:color="auto" w:fill="auto"/>
            <w:vAlign w:val="center"/>
          </w:tcPr>
          <w:p w:rsidR="007E60D0" w:rsidRDefault="007E60D0">
            <w:pPr>
              <w:snapToGrid w:val="0"/>
              <w:jc w:val="center"/>
              <w:rPr>
                <w:b/>
                <w:bCs/>
                <w:color w:val="000000"/>
                <w:szCs w:val="22"/>
              </w:rPr>
            </w:pPr>
          </w:p>
        </w:tc>
        <w:tc>
          <w:tcPr>
            <w:tcW w:w="2251" w:type="dxa"/>
            <w:vMerge/>
            <w:tcBorders>
              <w:left w:val="single" w:sz="8" w:space="0" w:color="000000"/>
              <w:bottom w:val="single" w:sz="4" w:space="0" w:color="000000"/>
            </w:tcBorders>
            <w:shd w:val="clear" w:color="auto" w:fill="auto"/>
            <w:vAlign w:val="center"/>
          </w:tcPr>
          <w:p w:rsidR="007E60D0" w:rsidRDefault="007E60D0">
            <w:pPr>
              <w:snapToGrid w:val="0"/>
              <w:jc w:val="center"/>
              <w:rPr>
                <w:szCs w:val="22"/>
              </w:rPr>
            </w:pPr>
          </w:p>
        </w:tc>
        <w:tc>
          <w:tcPr>
            <w:tcW w:w="1896" w:type="dxa"/>
            <w:vMerge/>
            <w:tcBorders>
              <w:left w:val="single" w:sz="4" w:space="0" w:color="000000"/>
              <w:bottom w:val="single" w:sz="4" w:space="0" w:color="000000"/>
            </w:tcBorders>
            <w:shd w:val="clear" w:color="auto" w:fill="auto"/>
            <w:vAlign w:val="center"/>
          </w:tcPr>
          <w:p w:rsidR="007E60D0" w:rsidRDefault="007E60D0">
            <w:pPr>
              <w:snapToGrid w:val="0"/>
              <w:jc w:val="center"/>
              <w:rPr>
                <w:szCs w:val="22"/>
              </w:rPr>
            </w:pPr>
          </w:p>
        </w:tc>
        <w:tc>
          <w:tcPr>
            <w:tcW w:w="2601" w:type="dxa"/>
            <w:gridSpan w:val="2"/>
            <w:vMerge/>
            <w:tcBorders>
              <w:left w:val="single" w:sz="4" w:space="0" w:color="000000"/>
              <w:bottom w:val="single" w:sz="4" w:space="0" w:color="000000"/>
              <w:right w:val="single" w:sz="8" w:space="0" w:color="000000"/>
            </w:tcBorders>
            <w:shd w:val="clear" w:color="auto" w:fill="auto"/>
            <w:vAlign w:val="center"/>
          </w:tcPr>
          <w:p w:rsidR="007E60D0" w:rsidRDefault="007E60D0">
            <w:pPr>
              <w:snapToGrid w:val="0"/>
              <w:jc w:val="center"/>
              <w:rPr>
                <w:szCs w:val="22"/>
              </w:rPr>
            </w:pPr>
          </w:p>
        </w:tc>
      </w:tr>
      <w:tr w:rsidR="007E60D0">
        <w:trPr>
          <w:trHeight w:val="276"/>
        </w:trPr>
        <w:tc>
          <w:tcPr>
            <w:tcW w:w="1387" w:type="dxa"/>
            <w:vMerge w:val="restart"/>
            <w:tcBorders>
              <w:left w:val="single" w:sz="8" w:space="0" w:color="000000"/>
              <w:bottom w:val="single" w:sz="4"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2009</w:t>
            </w:r>
          </w:p>
        </w:tc>
        <w:tc>
          <w:tcPr>
            <w:tcW w:w="2251" w:type="dxa"/>
            <w:vMerge w:val="restart"/>
            <w:tcBorders>
              <w:left w:val="single" w:sz="8" w:space="0" w:color="000000"/>
              <w:bottom w:val="single" w:sz="4" w:space="0" w:color="000000"/>
            </w:tcBorders>
            <w:shd w:val="clear" w:color="auto" w:fill="auto"/>
            <w:vAlign w:val="center"/>
          </w:tcPr>
          <w:p w:rsidR="007E60D0" w:rsidRDefault="007E60D0">
            <w:pPr>
              <w:snapToGrid w:val="0"/>
              <w:jc w:val="center"/>
              <w:rPr>
                <w:sz w:val="22"/>
                <w:szCs w:val="22"/>
              </w:rPr>
            </w:pPr>
            <w:r>
              <w:rPr>
                <w:sz w:val="22"/>
                <w:szCs w:val="22"/>
              </w:rPr>
              <w:t>1.231</w:t>
            </w:r>
          </w:p>
        </w:tc>
        <w:tc>
          <w:tcPr>
            <w:tcW w:w="1896" w:type="dxa"/>
            <w:vMerge w:val="restart"/>
            <w:tcBorders>
              <w:left w:val="single" w:sz="4" w:space="0" w:color="000000"/>
              <w:bottom w:val="single" w:sz="4" w:space="0" w:color="000000"/>
            </w:tcBorders>
            <w:shd w:val="clear" w:color="auto" w:fill="auto"/>
            <w:vAlign w:val="center"/>
          </w:tcPr>
          <w:p w:rsidR="007E60D0" w:rsidRDefault="007E60D0">
            <w:pPr>
              <w:snapToGrid w:val="0"/>
              <w:jc w:val="center"/>
              <w:rPr>
                <w:sz w:val="22"/>
                <w:szCs w:val="22"/>
              </w:rPr>
            </w:pPr>
            <w:r>
              <w:rPr>
                <w:sz w:val="22"/>
                <w:szCs w:val="22"/>
              </w:rPr>
              <w:t>911</w:t>
            </w:r>
          </w:p>
        </w:tc>
        <w:tc>
          <w:tcPr>
            <w:tcW w:w="2601" w:type="dxa"/>
            <w:gridSpan w:val="2"/>
            <w:vMerge w:val="restart"/>
            <w:tcBorders>
              <w:left w:val="single" w:sz="4" w:space="0" w:color="000000"/>
              <w:bottom w:val="single" w:sz="4" w:space="0" w:color="000000"/>
              <w:right w:val="single" w:sz="8" w:space="0" w:color="000000"/>
            </w:tcBorders>
            <w:shd w:val="clear" w:color="auto" w:fill="auto"/>
            <w:vAlign w:val="center"/>
          </w:tcPr>
          <w:p w:rsidR="007E60D0" w:rsidRDefault="007E60D0">
            <w:pPr>
              <w:snapToGrid w:val="0"/>
              <w:jc w:val="center"/>
              <w:rPr>
                <w:sz w:val="22"/>
                <w:szCs w:val="22"/>
              </w:rPr>
            </w:pPr>
            <w:r>
              <w:rPr>
                <w:sz w:val="22"/>
                <w:szCs w:val="22"/>
              </w:rPr>
              <w:t>91</w:t>
            </w:r>
          </w:p>
        </w:tc>
      </w:tr>
      <w:tr w:rsidR="007E60D0">
        <w:trPr>
          <w:trHeight w:val="276"/>
        </w:trPr>
        <w:tc>
          <w:tcPr>
            <w:tcW w:w="1387" w:type="dxa"/>
            <w:vMerge/>
            <w:tcBorders>
              <w:left w:val="single" w:sz="8" w:space="0" w:color="000000"/>
              <w:bottom w:val="single" w:sz="4" w:space="0" w:color="000000"/>
            </w:tcBorders>
            <w:shd w:val="clear" w:color="auto" w:fill="auto"/>
            <w:vAlign w:val="center"/>
          </w:tcPr>
          <w:p w:rsidR="007E60D0" w:rsidRDefault="007E60D0">
            <w:pPr>
              <w:snapToGrid w:val="0"/>
              <w:jc w:val="center"/>
              <w:rPr>
                <w:b/>
                <w:bCs/>
                <w:color w:val="000000"/>
                <w:szCs w:val="22"/>
              </w:rPr>
            </w:pPr>
          </w:p>
        </w:tc>
        <w:tc>
          <w:tcPr>
            <w:tcW w:w="2251" w:type="dxa"/>
            <w:vMerge/>
            <w:tcBorders>
              <w:left w:val="single" w:sz="8" w:space="0" w:color="000000"/>
              <w:bottom w:val="single" w:sz="4" w:space="0" w:color="000000"/>
            </w:tcBorders>
            <w:shd w:val="clear" w:color="auto" w:fill="auto"/>
            <w:vAlign w:val="center"/>
          </w:tcPr>
          <w:p w:rsidR="007E60D0" w:rsidRDefault="007E60D0">
            <w:pPr>
              <w:snapToGrid w:val="0"/>
              <w:jc w:val="center"/>
              <w:rPr>
                <w:szCs w:val="22"/>
              </w:rPr>
            </w:pPr>
          </w:p>
        </w:tc>
        <w:tc>
          <w:tcPr>
            <w:tcW w:w="1896" w:type="dxa"/>
            <w:vMerge/>
            <w:tcBorders>
              <w:left w:val="single" w:sz="4" w:space="0" w:color="000000"/>
              <w:bottom w:val="single" w:sz="4" w:space="0" w:color="000000"/>
            </w:tcBorders>
            <w:shd w:val="clear" w:color="auto" w:fill="auto"/>
            <w:vAlign w:val="center"/>
          </w:tcPr>
          <w:p w:rsidR="007E60D0" w:rsidRDefault="007E60D0">
            <w:pPr>
              <w:snapToGrid w:val="0"/>
              <w:jc w:val="center"/>
              <w:rPr>
                <w:szCs w:val="22"/>
              </w:rPr>
            </w:pPr>
          </w:p>
        </w:tc>
        <w:tc>
          <w:tcPr>
            <w:tcW w:w="2601" w:type="dxa"/>
            <w:gridSpan w:val="2"/>
            <w:vMerge/>
            <w:tcBorders>
              <w:left w:val="single" w:sz="4" w:space="0" w:color="000000"/>
              <w:bottom w:val="single" w:sz="4" w:space="0" w:color="000000"/>
              <w:right w:val="single" w:sz="8" w:space="0" w:color="000000"/>
            </w:tcBorders>
            <w:shd w:val="clear" w:color="auto" w:fill="auto"/>
            <w:vAlign w:val="center"/>
          </w:tcPr>
          <w:p w:rsidR="007E60D0" w:rsidRDefault="007E60D0">
            <w:pPr>
              <w:snapToGrid w:val="0"/>
              <w:jc w:val="center"/>
              <w:rPr>
                <w:szCs w:val="22"/>
              </w:rPr>
            </w:pPr>
          </w:p>
        </w:tc>
      </w:tr>
      <w:tr w:rsidR="007E60D0">
        <w:trPr>
          <w:trHeight w:val="276"/>
        </w:trPr>
        <w:tc>
          <w:tcPr>
            <w:tcW w:w="1387" w:type="dxa"/>
            <w:vMerge w:val="restart"/>
            <w:tcBorders>
              <w:left w:val="single" w:sz="8" w:space="0" w:color="000000"/>
              <w:bottom w:val="single" w:sz="8"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2010</w:t>
            </w:r>
          </w:p>
        </w:tc>
        <w:tc>
          <w:tcPr>
            <w:tcW w:w="2251" w:type="dxa"/>
            <w:vMerge w:val="restart"/>
            <w:tcBorders>
              <w:left w:val="single" w:sz="8" w:space="0" w:color="000000"/>
              <w:bottom w:val="single" w:sz="8" w:space="0" w:color="000000"/>
            </w:tcBorders>
            <w:shd w:val="clear" w:color="auto" w:fill="auto"/>
            <w:vAlign w:val="center"/>
          </w:tcPr>
          <w:p w:rsidR="007E60D0" w:rsidRDefault="007E60D0">
            <w:pPr>
              <w:snapToGrid w:val="0"/>
              <w:jc w:val="center"/>
              <w:rPr>
                <w:sz w:val="22"/>
                <w:szCs w:val="22"/>
              </w:rPr>
            </w:pPr>
            <w:r>
              <w:rPr>
                <w:sz w:val="22"/>
                <w:szCs w:val="22"/>
              </w:rPr>
              <w:t>1.371</w:t>
            </w:r>
          </w:p>
        </w:tc>
        <w:tc>
          <w:tcPr>
            <w:tcW w:w="1896" w:type="dxa"/>
            <w:vMerge w:val="restart"/>
            <w:tcBorders>
              <w:left w:val="single" w:sz="4" w:space="0" w:color="000000"/>
              <w:bottom w:val="single" w:sz="8" w:space="0" w:color="000000"/>
            </w:tcBorders>
            <w:shd w:val="clear" w:color="auto" w:fill="auto"/>
            <w:vAlign w:val="center"/>
          </w:tcPr>
          <w:p w:rsidR="007E60D0" w:rsidRDefault="007E60D0">
            <w:pPr>
              <w:snapToGrid w:val="0"/>
              <w:jc w:val="center"/>
              <w:rPr>
                <w:sz w:val="22"/>
                <w:szCs w:val="22"/>
              </w:rPr>
            </w:pPr>
            <w:r>
              <w:rPr>
                <w:sz w:val="22"/>
                <w:szCs w:val="22"/>
              </w:rPr>
              <w:t>884</w:t>
            </w:r>
          </w:p>
        </w:tc>
        <w:tc>
          <w:tcPr>
            <w:tcW w:w="2601" w:type="dxa"/>
            <w:gridSpan w:val="2"/>
            <w:vMerge w:val="restart"/>
            <w:tcBorders>
              <w:left w:val="single" w:sz="4" w:space="0" w:color="000000"/>
              <w:bottom w:val="single" w:sz="8" w:space="0" w:color="000000"/>
              <w:right w:val="single" w:sz="8" w:space="0" w:color="000000"/>
            </w:tcBorders>
            <w:shd w:val="clear" w:color="auto" w:fill="auto"/>
            <w:vAlign w:val="center"/>
          </w:tcPr>
          <w:p w:rsidR="007E60D0" w:rsidRDefault="007E60D0">
            <w:pPr>
              <w:snapToGrid w:val="0"/>
              <w:jc w:val="center"/>
              <w:rPr>
                <w:sz w:val="22"/>
                <w:szCs w:val="22"/>
              </w:rPr>
            </w:pPr>
            <w:r>
              <w:rPr>
                <w:sz w:val="22"/>
                <w:szCs w:val="22"/>
              </w:rPr>
              <w:t>110</w:t>
            </w:r>
          </w:p>
        </w:tc>
      </w:tr>
      <w:tr w:rsidR="007E60D0">
        <w:trPr>
          <w:trHeight w:val="315"/>
        </w:trPr>
        <w:tc>
          <w:tcPr>
            <w:tcW w:w="1387" w:type="dxa"/>
            <w:vMerge/>
            <w:tcBorders>
              <w:left w:val="single" w:sz="8" w:space="0" w:color="000000"/>
              <w:bottom w:val="single" w:sz="8" w:space="0" w:color="000000"/>
            </w:tcBorders>
            <w:shd w:val="clear" w:color="auto" w:fill="auto"/>
            <w:vAlign w:val="center"/>
          </w:tcPr>
          <w:p w:rsidR="007E60D0" w:rsidRDefault="007E60D0">
            <w:pPr>
              <w:snapToGrid w:val="0"/>
              <w:jc w:val="center"/>
              <w:rPr>
                <w:b/>
                <w:bCs/>
                <w:color w:val="000000"/>
                <w:szCs w:val="22"/>
              </w:rPr>
            </w:pPr>
          </w:p>
        </w:tc>
        <w:tc>
          <w:tcPr>
            <w:tcW w:w="2251" w:type="dxa"/>
            <w:vMerge/>
            <w:tcBorders>
              <w:left w:val="single" w:sz="8" w:space="0" w:color="000000"/>
              <w:bottom w:val="single" w:sz="8" w:space="0" w:color="000000"/>
            </w:tcBorders>
            <w:shd w:val="clear" w:color="auto" w:fill="auto"/>
            <w:vAlign w:val="center"/>
          </w:tcPr>
          <w:p w:rsidR="007E60D0" w:rsidRDefault="007E60D0">
            <w:pPr>
              <w:snapToGrid w:val="0"/>
              <w:jc w:val="center"/>
              <w:rPr>
                <w:szCs w:val="22"/>
              </w:rPr>
            </w:pPr>
          </w:p>
        </w:tc>
        <w:tc>
          <w:tcPr>
            <w:tcW w:w="1896" w:type="dxa"/>
            <w:vMerge/>
            <w:tcBorders>
              <w:left w:val="single" w:sz="4" w:space="0" w:color="000000"/>
              <w:bottom w:val="single" w:sz="8" w:space="0" w:color="000000"/>
            </w:tcBorders>
            <w:shd w:val="clear" w:color="auto" w:fill="auto"/>
            <w:vAlign w:val="center"/>
          </w:tcPr>
          <w:p w:rsidR="007E60D0" w:rsidRDefault="007E60D0">
            <w:pPr>
              <w:snapToGrid w:val="0"/>
              <w:jc w:val="center"/>
              <w:rPr>
                <w:szCs w:val="22"/>
              </w:rPr>
            </w:pPr>
          </w:p>
        </w:tc>
        <w:tc>
          <w:tcPr>
            <w:tcW w:w="2601" w:type="dxa"/>
            <w:gridSpan w:val="2"/>
            <w:vMerge/>
            <w:tcBorders>
              <w:left w:val="single" w:sz="4" w:space="0" w:color="000000"/>
              <w:bottom w:val="single" w:sz="8" w:space="0" w:color="000000"/>
              <w:right w:val="single" w:sz="8" w:space="0" w:color="000000"/>
            </w:tcBorders>
            <w:shd w:val="clear" w:color="auto" w:fill="auto"/>
            <w:vAlign w:val="center"/>
          </w:tcPr>
          <w:p w:rsidR="007E60D0" w:rsidRDefault="007E60D0">
            <w:pPr>
              <w:snapToGrid w:val="0"/>
              <w:jc w:val="center"/>
              <w:rPr>
                <w:szCs w:val="22"/>
              </w:rPr>
            </w:pPr>
          </w:p>
        </w:tc>
      </w:tr>
    </w:tbl>
    <w:p w:rsidR="007E60D0" w:rsidRDefault="007E60D0">
      <w:pPr>
        <w:jc w:val="center"/>
        <w:rPr>
          <w:b/>
          <w:szCs w:val="24"/>
        </w:rPr>
      </w:pPr>
    </w:p>
    <w:p w:rsidR="007E60D0" w:rsidRDefault="007E60D0">
      <w:pPr>
        <w:jc w:val="center"/>
        <w:rPr>
          <w:b/>
          <w:szCs w:val="24"/>
        </w:rPr>
      </w:pPr>
    </w:p>
    <w:p w:rsidR="007E60D0" w:rsidRDefault="007E60D0">
      <w:pPr>
        <w:jc w:val="center"/>
        <w:rPr>
          <w:b/>
          <w:szCs w:val="24"/>
        </w:rPr>
      </w:pPr>
    </w:p>
    <w:p w:rsidR="007E60D0" w:rsidRDefault="007E60D0">
      <w:pPr>
        <w:jc w:val="center"/>
        <w:rPr>
          <w:b/>
          <w:szCs w:val="24"/>
        </w:rPr>
      </w:pPr>
    </w:p>
    <w:p w:rsidR="007E60D0" w:rsidRDefault="007E60D0">
      <w:pPr>
        <w:jc w:val="center"/>
        <w:rPr>
          <w:b/>
          <w:szCs w:val="24"/>
        </w:rPr>
      </w:pPr>
      <w:r>
        <w:rPr>
          <w:b/>
          <w:szCs w:val="24"/>
        </w:rPr>
        <w:t>Gráfica No. 4</w:t>
      </w:r>
    </w:p>
    <w:p w:rsidR="007E60D0" w:rsidRDefault="007E60D0">
      <w:pPr>
        <w:jc w:val="center"/>
        <w:rPr>
          <w:b/>
          <w:szCs w:val="24"/>
        </w:rPr>
      </w:pPr>
      <w:r>
        <w:rPr>
          <w:b/>
          <w:szCs w:val="24"/>
        </w:rPr>
        <w:t>Gastos de Funcionamiento</w:t>
      </w:r>
    </w:p>
    <w:p w:rsidR="007E60D0" w:rsidRDefault="007E60D0">
      <w:pPr>
        <w:jc w:val="center"/>
        <w:rPr>
          <w:szCs w:val="24"/>
          <w:lang w:val="es-CO"/>
        </w:rPr>
      </w:pPr>
    </w:p>
    <w:p w:rsidR="007E60D0" w:rsidRDefault="00944E93">
      <w:pPr>
        <w:jc w:val="center"/>
        <w:rPr>
          <w:szCs w:val="24"/>
          <w:lang w:val="es-CO"/>
        </w:rPr>
      </w:pPr>
      <w:r>
        <w:rPr>
          <w:noProof/>
          <w:szCs w:val="24"/>
          <w:lang w:val="es-CO" w:eastAsia="es-CO"/>
        </w:rPr>
        <w:drawing>
          <wp:inline distT="0" distB="0" distL="0" distR="0">
            <wp:extent cx="4591050" cy="2752725"/>
            <wp:effectExtent l="1905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srcRect/>
                    <a:stretch>
                      <a:fillRect/>
                    </a:stretch>
                  </pic:blipFill>
                  <pic:spPr bwMode="auto">
                    <a:xfrm>
                      <a:off x="0" y="0"/>
                      <a:ext cx="4591050" cy="2752725"/>
                    </a:xfrm>
                    <a:prstGeom prst="rect">
                      <a:avLst/>
                    </a:prstGeom>
                    <a:solidFill>
                      <a:srgbClr val="FFFFFF"/>
                    </a:solidFill>
                    <a:ln w="9525">
                      <a:noFill/>
                      <a:miter lim="800000"/>
                      <a:headEnd/>
                      <a:tailEnd/>
                    </a:ln>
                  </pic:spPr>
                </pic:pic>
              </a:graphicData>
            </a:graphic>
          </wp:inline>
        </w:drawing>
      </w:r>
    </w:p>
    <w:p w:rsidR="007E60D0" w:rsidRDefault="007E60D0">
      <w:pPr>
        <w:jc w:val="center"/>
        <w:rPr>
          <w:szCs w:val="24"/>
          <w:lang w:val="es-CO"/>
        </w:rPr>
      </w:pPr>
    </w:p>
    <w:p w:rsidR="007E60D0" w:rsidRDefault="007E60D0">
      <w:pPr>
        <w:jc w:val="center"/>
        <w:rPr>
          <w:szCs w:val="24"/>
          <w:lang w:val="es-CO"/>
        </w:rPr>
      </w:pPr>
    </w:p>
    <w:p w:rsidR="007E60D0" w:rsidRDefault="007E60D0">
      <w:pPr>
        <w:jc w:val="both"/>
        <w:rPr>
          <w:szCs w:val="24"/>
          <w:lang w:val="es-CO"/>
        </w:rPr>
      </w:pPr>
      <w:r>
        <w:rPr>
          <w:szCs w:val="24"/>
          <w:lang w:val="es-CO"/>
        </w:rPr>
        <w:t>En esta gráfica se puede ver claramente como los Servicios Personales del municipio durante el año 2010 crecieron en $139 millones aproximadamente frente al año anterior; en cuanto a los Gastos Generales hubo una disminución aproximada de $28 millones y en las Transferencias se presentó un aumento de $19 millones, mostrando que los Gastos del Funcionamiento del municipio tuvieron un crecimiento en el último año del 6%.</w:t>
      </w:r>
    </w:p>
    <w:p w:rsidR="007E60D0" w:rsidRDefault="007E60D0">
      <w:pPr>
        <w:jc w:val="center"/>
        <w:rPr>
          <w:szCs w:val="24"/>
          <w:lang w:val="es-CO"/>
        </w:rPr>
      </w:pPr>
    </w:p>
    <w:p w:rsidR="007E60D0" w:rsidRDefault="007E60D0">
      <w:pPr>
        <w:jc w:val="both"/>
        <w:rPr>
          <w:b/>
          <w:szCs w:val="24"/>
          <w:lang w:val="es-ES_tradnl"/>
        </w:rPr>
      </w:pPr>
      <w:r>
        <w:rPr>
          <w:b/>
          <w:szCs w:val="24"/>
          <w:lang w:val="es-ES_tradnl"/>
        </w:rPr>
        <w:t>1.2.5 Relación entre la estructura de ingresos y la estructura de gastos</w:t>
      </w:r>
    </w:p>
    <w:p w:rsidR="007E60D0" w:rsidRDefault="007E60D0">
      <w:pPr>
        <w:jc w:val="both"/>
        <w:rPr>
          <w:b/>
          <w:szCs w:val="24"/>
          <w:lang w:val="es-ES_tradnl"/>
        </w:rPr>
      </w:pPr>
    </w:p>
    <w:p w:rsidR="007E60D0" w:rsidRDefault="007E60D0">
      <w:pPr>
        <w:jc w:val="both"/>
        <w:rPr>
          <w:szCs w:val="24"/>
        </w:rPr>
      </w:pPr>
      <w:r>
        <w:rPr>
          <w:szCs w:val="24"/>
        </w:rPr>
        <w:t>Identificados y estimados los tipos de ingresos y necesidades de gasto, se hace necesario hacer un cruce entre las fuentes y los usos para establecer si los recursos según su destinación son suficientes para financiar los gastos de funcionamiento y de inversión de la entidad. La importancia de este ejercicio radica en que una parte importante de los recursos del municipio ha sido destinada desde la Constitución, las leyes o Acuerdos a financiar exclusivamente uno o determinados tipos de gasto. Por ejemplo, la participación de educación del sistema general de participaciones tan solo puede ser utilizada para financiar gastos de ese sector y no de otro. Por ello, no es posible afirmar que hay recursos suficientes para financiar las transferencias al concejo si la fuente de la que se dispone es la participación de educación.</w:t>
      </w:r>
    </w:p>
    <w:p w:rsidR="007E60D0" w:rsidRDefault="007E60D0">
      <w:pPr>
        <w:jc w:val="both"/>
        <w:rPr>
          <w:szCs w:val="24"/>
        </w:rPr>
      </w:pPr>
    </w:p>
    <w:p w:rsidR="007E60D0" w:rsidRDefault="007E60D0">
      <w:pPr>
        <w:jc w:val="both"/>
        <w:rPr>
          <w:szCs w:val="24"/>
        </w:rPr>
      </w:pPr>
      <w:r>
        <w:rPr>
          <w:szCs w:val="24"/>
        </w:rPr>
        <w:t xml:space="preserve">Lo anterior debe hacerse porque salvo los llamados “ingresos corrientes de libre destinación”, la mayoría de las otras fuentes de ingreso del municipio tiene una destinación específica dada desde la Constitución Política en algunos casos o desde las leyes en otros. </w:t>
      </w:r>
      <w:r>
        <w:rPr>
          <w:szCs w:val="24"/>
        </w:rPr>
        <w:lastRenderedPageBreak/>
        <w:t>Estas destinaciones, salvo contadas excepciones, implican que en el mejor de los casos sea posible cancelar pasivos por concepto de un determinado gasto con la renta autorizada por las normas para sufragar ese tipo de gastos. Por ejemplo, no es permitido utilizar recursos destinados a financiar el sector salud para cancelar gastos en infraestructura vial y mucho menos su pasivos. Podría ser posible utilizar esos recursos de salud (siempre y cuando no provengan del sistema general de participaciones para salud) para cancelar pasivos acumulados de vigencias anteriores en el mismo sector.</w:t>
      </w:r>
    </w:p>
    <w:p w:rsidR="007E60D0" w:rsidRDefault="007E60D0">
      <w:pPr>
        <w:jc w:val="both"/>
        <w:rPr>
          <w:szCs w:val="24"/>
        </w:rPr>
      </w:pPr>
    </w:p>
    <w:p w:rsidR="007E60D0" w:rsidRDefault="007E60D0">
      <w:pPr>
        <w:jc w:val="both"/>
        <w:rPr>
          <w:szCs w:val="24"/>
        </w:rPr>
      </w:pPr>
      <w:r>
        <w:rPr>
          <w:szCs w:val="24"/>
        </w:rPr>
        <w:t>Un análisis adicional consiste en identificar los saldos, los posibles usos y las afectaciones contractuales y legales de los recursos que estén en caja en la tesorería, en cuentas bancarias y en inversiones financieras de corto y mediano plazo.</w:t>
      </w:r>
    </w:p>
    <w:p w:rsidR="007E60D0" w:rsidRDefault="007E60D0">
      <w:pPr>
        <w:jc w:val="both"/>
        <w:rPr>
          <w:szCs w:val="24"/>
        </w:rPr>
      </w:pPr>
      <w:r>
        <w:rPr>
          <w:szCs w:val="24"/>
        </w:rPr>
        <w:t>Así, conocidas las fuentes que se pueden destinar libremente al funcionamiento y aquellas que se deben utilizar exclusivamente en el financiamiento de determinado sector de inversión, se procede a definir el tipo de gasto que cada cual podrá financiar.</w:t>
      </w:r>
    </w:p>
    <w:p w:rsidR="007E60D0" w:rsidRDefault="007E60D0">
      <w:pPr>
        <w:jc w:val="both"/>
        <w:rPr>
          <w:szCs w:val="24"/>
        </w:rPr>
      </w:pPr>
    </w:p>
    <w:p w:rsidR="007E60D0" w:rsidRDefault="007E60D0">
      <w:pPr>
        <w:jc w:val="both"/>
        <w:rPr>
          <w:szCs w:val="24"/>
        </w:rPr>
      </w:pPr>
      <w:r>
        <w:rPr>
          <w:szCs w:val="24"/>
        </w:rPr>
        <w:t>El procedimiento de comparación debe satisfacer las siguientes etapas:</w:t>
      </w:r>
    </w:p>
    <w:p w:rsidR="007E60D0" w:rsidRDefault="007E60D0">
      <w:pPr>
        <w:jc w:val="both"/>
        <w:rPr>
          <w:szCs w:val="24"/>
        </w:rPr>
      </w:pPr>
    </w:p>
    <w:p w:rsidR="007E60D0" w:rsidRDefault="007E60D0">
      <w:pPr>
        <w:jc w:val="both"/>
        <w:rPr>
          <w:szCs w:val="24"/>
        </w:rPr>
      </w:pPr>
      <w:r>
        <w:rPr>
          <w:szCs w:val="24"/>
        </w:rPr>
        <w:t>1. Identificar y garantizar el financiamiento del gasto recurrente en funcionamiento e inversión. En el caso del gasto de funcionamiento se deben tener en cuenta además los límites que por categoría existen para dichos gastos en la Ley 617 de 2000 que corresponden al 80% de los ingresos corrientes de libre destinación por estar ubicado el municipio en la sexta categoría.</w:t>
      </w:r>
    </w:p>
    <w:p w:rsidR="007E60D0" w:rsidRDefault="007E60D0">
      <w:pPr>
        <w:jc w:val="both"/>
        <w:rPr>
          <w:szCs w:val="24"/>
        </w:rPr>
      </w:pPr>
    </w:p>
    <w:p w:rsidR="007E60D0" w:rsidRDefault="007E60D0">
      <w:pPr>
        <w:jc w:val="both"/>
        <w:rPr>
          <w:szCs w:val="24"/>
        </w:rPr>
      </w:pPr>
    </w:p>
    <w:p w:rsidR="007E60D0" w:rsidRDefault="007E60D0">
      <w:pPr>
        <w:pStyle w:val="Prrafodelista"/>
        <w:numPr>
          <w:ilvl w:val="0"/>
          <w:numId w:val="14"/>
        </w:numPr>
        <w:jc w:val="both"/>
        <w:rPr>
          <w:rFonts w:ascii="Times New Roman" w:hAnsi="Times New Roman" w:cs="Times New Roman"/>
          <w:b/>
          <w:sz w:val="24"/>
          <w:szCs w:val="24"/>
        </w:rPr>
      </w:pPr>
      <w:r>
        <w:rPr>
          <w:rFonts w:ascii="Times New Roman" w:hAnsi="Times New Roman" w:cs="Times New Roman"/>
          <w:b/>
          <w:sz w:val="24"/>
          <w:szCs w:val="24"/>
        </w:rPr>
        <w:t>SECTOR CENTRAL MUNICIPAL</w:t>
      </w:r>
    </w:p>
    <w:p w:rsidR="007E60D0" w:rsidRDefault="007E60D0">
      <w:pPr>
        <w:jc w:val="both"/>
        <w:rPr>
          <w:szCs w:val="24"/>
        </w:rPr>
      </w:pPr>
    </w:p>
    <w:p w:rsidR="007E60D0" w:rsidRDefault="007E60D0">
      <w:pPr>
        <w:jc w:val="both"/>
        <w:rPr>
          <w:szCs w:val="24"/>
        </w:rPr>
      </w:pPr>
      <w:r>
        <w:rPr>
          <w:bCs/>
          <w:szCs w:val="24"/>
        </w:rPr>
        <w:t>CATEGORÍA INGRESOS CORRIENTES DE LIBRE DESTINACIÓN: Sexta</w:t>
      </w:r>
      <w:r>
        <w:rPr>
          <w:szCs w:val="24"/>
        </w:rPr>
        <w:t xml:space="preserve"> 80%</w:t>
      </w:r>
    </w:p>
    <w:p w:rsidR="007E60D0" w:rsidRDefault="007E60D0">
      <w:pPr>
        <w:jc w:val="both"/>
        <w:rPr>
          <w:bCs/>
          <w:szCs w:val="24"/>
        </w:rPr>
      </w:pPr>
    </w:p>
    <w:p w:rsidR="007E60D0" w:rsidRDefault="007E60D0">
      <w:pPr>
        <w:pStyle w:val="Prrafodelista"/>
        <w:numPr>
          <w:ilvl w:val="0"/>
          <w:numId w:val="14"/>
        </w:numPr>
        <w:jc w:val="both"/>
        <w:rPr>
          <w:rFonts w:ascii="Times New Roman" w:hAnsi="Times New Roman" w:cs="Times New Roman"/>
          <w:bCs/>
          <w:sz w:val="24"/>
          <w:szCs w:val="24"/>
        </w:rPr>
      </w:pPr>
      <w:r>
        <w:rPr>
          <w:rFonts w:ascii="Times New Roman" w:hAnsi="Times New Roman" w:cs="Times New Roman"/>
          <w:b/>
          <w:sz w:val="24"/>
          <w:szCs w:val="24"/>
        </w:rPr>
        <w:t>CONCEJO MUNICIPAL</w:t>
      </w:r>
      <w:r>
        <w:rPr>
          <w:rFonts w:ascii="Times New Roman" w:hAnsi="Times New Roman" w:cs="Times New Roman"/>
          <w:bCs/>
          <w:sz w:val="24"/>
          <w:szCs w:val="24"/>
        </w:rPr>
        <w:t xml:space="preserve"> </w:t>
      </w:r>
    </w:p>
    <w:p w:rsidR="007E60D0" w:rsidRDefault="007E60D0">
      <w:pPr>
        <w:jc w:val="both"/>
        <w:rPr>
          <w:bCs/>
          <w:szCs w:val="24"/>
        </w:rPr>
      </w:pPr>
    </w:p>
    <w:p w:rsidR="007E60D0" w:rsidRDefault="007E60D0">
      <w:pPr>
        <w:jc w:val="both"/>
        <w:rPr>
          <w:bCs/>
          <w:szCs w:val="24"/>
        </w:rPr>
      </w:pPr>
      <w:r>
        <w:rPr>
          <w:bCs/>
          <w:szCs w:val="24"/>
        </w:rPr>
        <w:t>CATEGORÍA VALOR MAXIMO INGRESOS CORRIENTES DE LIBRE DESTINACIÓN:</w:t>
      </w:r>
    </w:p>
    <w:p w:rsidR="007E60D0" w:rsidRDefault="007E60D0">
      <w:pPr>
        <w:jc w:val="both"/>
        <w:rPr>
          <w:szCs w:val="24"/>
        </w:rPr>
      </w:pPr>
    </w:p>
    <w:p w:rsidR="007E60D0" w:rsidRDefault="007E60D0">
      <w:pPr>
        <w:jc w:val="both"/>
        <w:rPr>
          <w:szCs w:val="24"/>
        </w:rPr>
      </w:pPr>
      <w:r>
        <w:rPr>
          <w:szCs w:val="24"/>
        </w:rPr>
        <w:t>TOTAL HONORARIOS CAUSADOS x N° SESIONES AUTORIZADAS: Sexta &lt;=100% Salario Diario Del Alcalde x 70 Ordinarias. Si es necesario x 12 Extraordinarias</w:t>
      </w:r>
    </w:p>
    <w:p w:rsidR="007E60D0" w:rsidRDefault="007E60D0">
      <w:pPr>
        <w:jc w:val="both"/>
        <w:rPr>
          <w:szCs w:val="24"/>
        </w:rPr>
      </w:pPr>
    </w:p>
    <w:p w:rsidR="007E60D0" w:rsidRDefault="007E60D0">
      <w:pPr>
        <w:jc w:val="both"/>
        <w:rPr>
          <w:szCs w:val="24"/>
        </w:rPr>
      </w:pPr>
      <w:r>
        <w:rPr>
          <w:szCs w:val="24"/>
        </w:rPr>
        <w:t>MÁS 1.5% = Salario Mensual Del Alcalde → Salario Diario Del Alcalde</w:t>
      </w:r>
    </w:p>
    <w:p w:rsidR="007E60D0" w:rsidRDefault="007E60D0">
      <w:pPr>
        <w:jc w:val="both"/>
        <w:rPr>
          <w:szCs w:val="24"/>
        </w:rPr>
      </w:pPr>
    </w:p>
    <w:p w:rsidR="007E60D0" w:rsidRDefault="007E60D0">
      <w:pPr>
        <w:jc w:val="both"/>
        <w:rPr>
          <w:szCs w:val="24"/>
        </w:rPr>
      </w:pPr>
      <w:r>
        <w:rPr>
          <w:szCs w:val="24"/>
        </w:rPr>
        <w:t>Es fundamental comprender que el cálculo de los honorarios para los concejales es un techo máximo que no necesariamente se debe alcanzar. Los honorarios se cancelan por asistencia efectiva a la sesión, así, si un concejal no asiste a la sesión no se le pagan honorarios por la misma. Asimismo, un manejo adecuado de la agenda del Concejo puede llevar a eliminar la necesidad de convocar a sesiones extraordinarias e incluso a algunas ordinarias.</w:t>
      </w:r>
    </w:p>
    <w:p w:rsidR="007E60D0" w:rsidRDefault="007E60D0">
      <w:pPr>
        <w:jc w:val="both"/>
        <w:rPr>
          <w:szCs w:val="24"/>
        </w:rPr>
      </w:pPr>
    </w:p>
    <w:p w:rsidR="007E60D0" w:rsidRDefault="007E60D0">
      <w:pPr>
        <w:jc w:val="both"/>
        <w:rPr>
          <w:szCs w:val="24"/>
        </w:rPr>
      </w:pPr>
      <w:r>
        <w:rPr>
          <w:szCs w:val="24"/>
        </w:rPr>
        <w:lastRenderedPageBreak/>
        <w:t>Todos los municipios cuyos Ingresos Corrientes de Libre Destinación de la vigencia inmediatamente anterior no superaron los $1.000.000.000,oo (mil millones de pesos), pueden adicionar a los honorarios de los concejales hasta 60 S.M.L.M. en lugar de los porcentajes arriba descritos para funcionamiento. (Pueden ser menos de 60).</w:t>
      </w:r>
    </w:p>
    <w:p w:rsidR="007E60D0" w:rsidRDefault="007E60D0">
      <w:pPr>
        <w:jc w:val="both"/>
        <w:rPr>
          <w:szCs w:val="24"/>
        </w:rPr>
      </w:pPr>
    </w:p>
    <w:p w:rsidR="007E60D0" w:rsidRDefault="007E60D0">
      <w:pPr>
        <w:pStyle w:val="Prrafodelista"/>
        <w:numPr>
          <w:ilvl w:val="0"/>
          <w:numId w:val="14"/>
        </w:numPr>
        <w:jc w:val="both"/>
        <w:rPr>
          <w:rFonts w:ascii="Times New Roman" w:hAnsi="Times New Roman" w:cs="Times New Roman"/>
          <w:b/>
          <w:sz w:val="24"/>
          <w:szCs w:val="24"/>
        </w:rPr>
      </w:pPr>
      <w:r>
        <w:rPr>
          <w:rFonts w:ascii="Times New Roman" w:hAnsi="Times New Roman" w:cs="Times New Roman"/>
          <w:b/>
          <w:sz w:val="24"/>
          <w:szCs w:val="24"/>
        </w:rPr>
        <w:t>PERSONERÍA MUNICIPAL:</w:t>
      </w:r>
    </w:p>
    <w:p w:rsidR="007E60D0" w:rsidRDefault="007E60D0">
      <w:pPr>
        <w:jc w:val="both"/>
        <w:rPr>
          <w:bCs/>
          <w:szCs w:val="24"/>
        </w:rPr>
      </w:pPr>
    </w:p>
    <w:p w:rsidR="007E60D0" w:rsidRDefault="007E60D0">
      <w:pPr>
        <w:jc w:val="both"/>
        <w:rPr>
          <w:szCs w:val="24"/>
        </w:rPr>
      </w:pPr>
      <w:r>
        <w:rPr>
          <w:bCs/>
          <w:szCs w:val="24"/>
        </w:rPr>
        <w:t>CATEGORÍA APORTES: Sexta</w:t>
      </w:r>
      <w:r>
        <w:rPr>
          <w:szCs w:val="24"/>
        </w:rPr>
        <w:t xml:space="preserve"> 150 S.M.L.M.</w:t>
      </w:r>
    </w:p>
    <w:p w:rsidR="007E60D0" w:rsidRDefault="007E60D0">
      <w:pPr>
        <w:jc w:val="both"/>
        <w:rPr>
          <w:bCs/>
          <w:szCs w:val="24"/>
        </w:rPr>
      </w:pPr>
    </w:p>
    <w:p w:rsidR="007E60D0" w:rsidRDefault="007E60D0">
      <w:pPr>
        <w:jc w:val="both"/>
        <w:rPr>
          <w:szCs w:val="24"/>
        </w:rPr>
      </w:pPr>
      <w:r>
        <w:rPr>
          <w:bCs/>
          <w:szCs w:val="24"/>
        </w:rPr>
        <w:t xml:space="preserve">2. </w:t>
      </w:r>
      <w:r>
        <w:rPr>
          <w:szCs w:val="24"/>
        </w:rPr>
        <w:t>Identificar y garantizar los compromisos contractuales y presupuestales existentes en los diversos sectores de inversión. Por ejemplo, vigencias futuras para determinado proyecto de inversión estratégica o concesión o para el servicio de la deuda pública.</w:t>
      </w:r>
    </w:p>
    <w:p w:rsidR="007E60D0" w:rsidRDefault="007E60D0">
      <w:pPr>
        <w:jc w:val="both"/>
        <w:rPr>
          <w:szCs w:val="24"/>
        </w:rPr>
      </w:pPr>
    </w:p>
    <w:p w:rsidR="007E60D0" w:rsidRDefault="007E60D0">
      <w:pPr>
        <w:jc w:val="both"/>
        <w:rPr>
          <w:szCs w:val="24"/>
        </w:rPr>
      </w:pPr>
      <w:r>
        <w:rPr>
          <w:bCs/>
          <w:szCs w:val="24"/>
        </w:rPr>
        <w:t xml:space="preserve">3. </w:t>
      </w:r>
      <w:r>
        <w:rPr>
          <w:szCs w:val="24"/>
        </w:rPr>
        <w:t>En la medida que ya ha sido identificado el pasivo exigible y contingente, se hace necesario establecer la programación de pagos del mismo de tal manera que se respeten las destinaciones específicas de las normas y se garantice la cancelación en un período razonable de tiempo para que los acreedores no paralicen el normal funcionamiento de la administración a través de tutelas y embargos.</w:t>
      </w:r>
    </w:p>
    <w:p w:rsidR="007E60D0" w:rsidRDefault="007E60D0">
      <w:pPr>
        <w:jc w:val="both"/>
        <w:rPr>
          <w:szCs w:val="24"/>
        </w:rPr>
      </w:pPr>
    </w:p>
    <w:p w:rsidR="007E60D0" w:rsidRDefault="007E60D0">
      <w:pPr>
        <w:jc w:val="both"/>
        <w:rPr>
          <w:szCs w:val="24"/>
        </w:rPr>
      </w:pPr>
      <w:r>
        <w:rPr>
          <w:bCs/>
          <w:szCs w:val="24"/>
        </w:rPr>
        <w:t xml:space="preserve">4. </w:t>
      </w:r>
      <w:r>
        <w:rPr>
          <w:szCs w:val="24"/>
        </w:rPr>
        <w:t>Finalmente, financiado el gasto recurrente, cubiertos los compromisos de vigencias futuras y el servicio de la deuda vigente, definida la forma como se cancelarán las acreencias acumuladas de vigencias anteriores y las contingencias, se podrá establecer el monto de los recursos libres de afectación que se utilizarán en la financiación de gastos de inversión.</w:t>
      </w:r>
    </w:p>
    <w:p w:rsidR="007E60D0" w:rsidRDefault="007E60D0">
      <w:pPr>
        <w:jc w:val="both"/>
        <w:rPr>
          <w:szCs w:val="24"/>
        </w:rPr>
      </w:pPr>
    </w:p>
    <w:p w:rsidR="007E60D0" w:rsidRDefault="007E60D0">
      <w:pPr>
        <w:jc w:val="both"/>
        <w:rPr>
          <w:b/>
          <w:bCs/>
          <w:szCs w:val="24"/>
        </w:rPr>
      </w:pPr>
      <w:r>
        <w:rPr>
          <w:b/>
          <w:bCs/>
          <w:szCs w:val="24"/>
        </w:rPr>
        <w:t>Estimación de Recursos Complementarios para aumentar gastos de inversión sujeto a restricciones:</w:t>
      </w:r>
    </w:p>
    <w:p w:rsidR="007E60D0" w:rsidRDefault="007E60D0">
      <w:pPr>
        <w:jc w:val="both"/>
        <w:rPr>
          <w:bCs/>
          <w:szCs w:val="24"/>
        </w:rPr>
      </w:pPr>
    </w:p>
    <w:p w:rsidR="007E60D0" w:rsidRDefault="007E60D0">
      <w:pPr>
        <w:jc w:val="both"/>
        <w:rPr>
          <w:szCs w:val="24"/>
        </w:rPr>
      </w:pPr>
      <w:r>
        <w:rPr>
          <w:szCs w:val="24"/>
        </w:rPr>
        <w:t>Una vez hecho el cruce entre ingresos y gastos respetando las destinaciones específicas, se visualizan para la administración las posibilidades reales de financiar “nuevos gastos de inversión”.</w:t>
      </w:r>
    </w:p>
    <w:p w:rsidR="007E60D0" w:rsidRDefault="007E60D0">
      <w:pPr>
        <w:jc w:val="both"/>
        <w:rPr>
          <w:szCs w:val="24"/>
        </w:rPr>
      </w:pPr>
    </w:p>
    <w:p w:rsidR="007E60D0" w:rsidRDefault="007E60D0">
      <w:pPr>
        <w:jc w:val="both"/>
        <w:rPr>
          <w:szCs w:val="24"/>
        </w:rPr>
      </w:pPr>
      <w:r>
        <w:rPr>
          <w:szCs w:val="24"/>
        </w:rPr>
        <w:t>El resultado del cruce entre ingresos y gastos puede evidenciar tres situaciones: 1) La imposibilidad de iniciar con fuentes propias nuevos proyectos de inversión; 2) Hacer ver que los ahorros existentes no son suficientes para financiar el costo total de los proyectos que se espera programar en el Plan de Desarrollo; o 3) Mostrar que existen recursos sin afectación para financiar el programa de gobierno.</w:t>
      </w:r>
    </w:p>
    <w:p w:rsidR="007E60D0" w:rsidRDefault="007E60D0">
      <w:pPr>
        <w:jc w:val="both"/>
        <w:rPr>
          <w:szCs w:val="24"/>
        </w:rPr>
      </w:pPr>
    </w:p>
    <w:p w:rsidR="007E60D0" w:rsidRDefault="007E60D0">
      <w:pPr>
        <w:jc w:val="both"/>
        <w:rPr>
          <w:bCs/>
          <w:szCs w:val="24"/>
        </w:rPr>
      </w:pPr>
      <w:r>
        <w:rPr>
          <w:bCs/>
          <w:szCs w:val="24"/>
        </w:rPr>
        <w:t>1. No existen fuentes propias para financiar nuevos gastos de inversión.</w:t>
      </w:r>
    </w:p>
    <w:p w:rsidR="007E60D0" w:rsidRDefault="007E60D0">
      <w:pPr>
        <w:jc w:val="both"/>
        <w:rPr>
          <w:bCs/>
          <w:szCs w:val="24"/>
        </w:rPr>
      </w:pPr>
    </w:p>
    <w:p w:rsidR="007E60D0" w:rsidRDefault="007E60D0">
      <w:pPr>
        <w:jc w:val="both"/>
        <w:rPr>
          <w:b/>
          <w:bCs/>
          <w:szCs w:val="24"/>
        </w:rPr>
      </w:pPr>
      <w:r>
        <w:rPr>
          <w:b/>
          <w:bCs/>
          <w:szCs w:val="24"/>
        </w:rPr>
        <w:t>a. Los casos extremos de crisis fiscal</w:t>
      </w:r>
    </w:p>
    <w:p w:rsidR="007E60D0" w:rsidRDefault="007E60D0">
      <w:pPr>
        <w:jc w:val="both"/>
        <w:rPr>
          <w:szCs w:val="24"/>
        </w:rPr>
      </w:pPr>
    </w:p>
    <w:p w:rsidR="007E60D0" w:rsidRDefault="007E60D0">
      <w:pPr>
        <w:jc w:val="both"/>
        <w:rPr>
          <w:szCs w:val="24"/>
        </w:rPr>
      </w:pPr>
      <w:r>
        <w:rPr>
          <w:szCs w:val="24"/>
        </w:rPr>
        <w:t xml:space="preserve">A continuación se presenta un esquema de diagnóstico y posibles medidas de acción cuya profundidad estará sujeta a la gravedad de la problemática identificada. El tiempo de </w:t>
      </w:r>
      <w:r>
        <w:rPr>
          <w:szCs w:val="24"/>
        </w:rPr>
        <w:lastRenderedPageBreak/>
        <w:t>duración del ajuste depende de la magnitud del pasivo y del valor del ahorro y rentas “reasignables” que pueda destinar la entidad para su cancelación.</w:t>
      </w:r>
    </w:p>
    <w:p w:rsidR="007E60D0" w:rsidRDefault="007E60D0">
      <w:pPr>
        <w:jc w:val="both"/>
        <w:rPr>
          <w:szCs w:val="24"/>
        </w:rPr>
      </w:pPr>
    </w:p>
    <w:p w:rsidR="007E60D0" w:rsidRDefault="007E60D0">
      <w:pPr>
        <w:jc w:val="both"/>
        <w:rPr>
          <w:bCs/>
          <w:szCs w:val="24"/>
        </w:rPr>
      </w:pPr>
      <w:r>
        <w:rPr>
          <w:bCs/>
          <w:szCs w:val="24"/>
        </w:rPr>
        <w:t>Esquema:</w:t>
      </w:r>
    </w:p>
    <w:p w:rsidR="007E60D0" w:rsidRDefault="007E60D0">
      <w:pPr>
        <w:jc w:val="both"/>
        <w:rPr>
          <w:szCs w:val="24"/>
        </w:rPr>
      </w:pPr>
    </w:p>
    <w:p w:rsidR="007E60D0" w:rsidRDefault="007E60D0">
      <w:pPr>
        <w:jc w:val="both"/>
        <w:rPr>
          <w:szCs w:val="24"/>
        </w:rPr>
      </w:pPr>
      <w:r>
        <w:rPr>
          <w:szCs w:val="24"/>
        </w:rPr>
        <w:t>El estricto cumplimiento de la Ley 617 de 2000 permite como mínimo la no generación de déficit adicional por funcionamiento y en el mejor de los casos garantiza ahorros importantes de ingresos propios que pueden ser destinados a estos menesteres.</w:t>
      </w:r>
    </w:p>
    <w:p w:rsidR="007E60D0" w:rsidRDefault="007E60D0">
      <w:pPr>
        <w:jc w:val="both"/>
        <w:rPr>
          <w:szCs w:val="24"/>
        </w:rPr>
      </w:pPr>
    </w:p>
    <w:p w:rsidR="007E60D0" w:rsidRDefault="007E60D0">
      <w:pPr>
        <w:jc w:val="both"/>
        <w:rPr>
          <w:szCs w:val="24"/>
        </w:rPr>
      </w:pPr>
      <w:r>
        <w:rPr>
          <w:szCs w:val="24"/>
        </w:rPr>
        <w:t>Si dichos ahorros no son suficientes y la magnitud del pasivo hace imposible diseñar un plan de pagos creíble, se debe estudiar seriamente la posibilidad de formalizar un programa de saneamiento fiscal y financiero en los términos del decreto 192 de 2001 (artículo 11) y haciendo uso de la autorización contenida en el artículo 12 de la Ley 617 de 2000 reorientar rentas “reasignables” por el tiempo que ello sea necesario al saneamiento fiscal de la entidad.</w:t>
      </w:r>
    </w:p>
    <w:p w:rsidR="007E60D0" w:rsidRDefault="007E60D0">
      <w:pPr>
        <w:jc w:val="both"/>
        <w:rPr>
          <w:szCs w:val="24"/>
        </w:rPr>
      </w:pPr>
    </w:p>
    <w:p w:rsidR="007E60D0" w:rsidRDefault="007E60D0">
      <w:pPr>
        <w:jc w:val="both"/>
        <w:rPr>
          <w:szCs w:val="24"/>
        </w:rPr>
      </w:pPr>
      <w:r>
        <w:rPr>
          <w:szCs w:val="24"/>
        </w:rPr>
        <w:t>En el peor de los casos la solución a la problemática del pasivo puede estar en la promoción de un acuerdo de reestructuración de pasivos en el marco de la Ley 550 de 1999.</w:t>
      </w:r>
    </w:p>
    <w:p w:rsidR="007E60D0" w:rsidRDefault="007E60D0">
      <w:pPr>
        <w:jc w:val="both"/>
        <w:rPr>
          <w:szCs w:val="24"/>
        </w:rPr>
      </w:pPr>
    </w:p>
    <w:p w:rsidR="007E60D0" w:rsidRDefault="007E60D0">
      <w:pPr>
        <w:jc w:val="both"/>
        <w:rPr>
          <w:bCs/>
          <w:szCs w:val="24"/>
        </w:rPr>
      </w:pPr>
      <w:r>
        <w:rPr>
          <w:bCs/>
          <w:szCs w:val="24"/>
        </w:rPr>
        <w:t>Posibles medidas:</w:t>
      </w:r>
    </w:p>
    <w:p w:rsidR="007E60D0" w:rsidRDefault="007E60D0">
      <w:pPr>
        <w:jc w:val="both"/>
        <w:rPr>
          <w:bCs/>
          <w:szCs w:val="24"/>
        </w:rPr>
      </w:pPr>
    </w:p>
    <w:p w:rsidR="007E60D0" w:rsidRDefault="007E60D0">
      <w:pPr>
        <w:jc w:val="both"/>
        <w:rPr>
          <w:szCs w:val="24"/>
        </w:rPr>
      </w:pPr>
      <w:r>
        <w:rPr>
          <w:szCs w:val="24"/>
        </w:rPr>
        <w:t>A partir de la problemática identificada el marco fiscal de mediano plazo debe sustentarse en un plan que establezca las acciones, medidas y metas que conducirán a cumplir con los límites de gasto y endeudamiento legales y/o a mejorar la situación fiscal y administrativa de la entidad territorial. Las acciones y medidas deberán estar orientadas, entre otros, al logro de los siguientes objetivos:</w:t>
      </w:r>
    </w:p>
    <w:p w:rsidR="007E60D0" w:rsidRDefault="007E60D0">
      <w:pPr>
        <w:jc w:val="both"/>
        <w:rPr>
          <w:szCs w:val="24"/>
        </w:rPr>
      </w:pPr>
    </w:p>
    <w:p w:rsidR="007E60D0" w:rsidRDefault="007E60D0">
      <w:pPr>
        <w:pStyle w:val="Prrafodelista"/>
        <w:numPr>
          <w:ilvl w:val="0"/>
          <w:numId w:val="11"/>
        </w:numPr>
        <w:jc w:val="both"/>
        <w:rPr>
          <w:rFonts w:ascii="Times New Roman" w:hAnsi="Times New Roman" w:cs="Times New Roman"/>
          <w:sz w:val="24"/>
          <w:szCs w:val="24"/>
        </w:rPr>
      </w:pPr>
      <w:r>
        <w:rPr>
          <w:rFonts w:ascii="Times New Roman" w:hAnsi="Times New Roman" w:cs="Times New Roman"/>
          <w:sz w:val="24"/>
          <w:szCs w:val="24"/>
        </w:rPr>
        <w:t>Cumplir los indicadores y los límites de las leyes de disciplina fiscal</w:t>
      </w:r>
    </w:p>
    <w:p w:rsidR="007E60D0" w:rsidRDefault="007E60D0">
      <w:pPr>
        <w:ind w:left="360"/>
        <w:jc w:val="both"/>
        <w:rPr>
          <w:szCs w:val="24"/>
        </w:rPr>
      </w:pPr>
    </w:p>
    <w:p w:rsidR="007E60D0" w:rsidRDefault="007E60D0">
      <w:pPr>
        <w:pStyle w:val="Prrafodelista"/>
        <w:numPr>
          <w:ilvl w:val="0"/>
          <w:numId w:val="11"/>
        </w:numPr>
        <w:jc w:val="both"/>
        <w:rPr>
          <w:rFonts w:ascii="Times New Roman" w:hAnsi="Times New Roman" w:cs="Times New Roman"/>
          <w:sz w:val="24"/>
          <w:szCs w:val="24"/>
        </w:rPr>
      </w:pPr>
      <w:r>
        <w:rPr>
          <w:rFonts w:ascii="Times New Roman" w:hAnsi="Times New Roman" w:cs="Times New Roman"/>
          <w:sz w:val="24"/>
          <w:szCs w:val="24"/>
        </w:rPr>
        <w:t>Generar ahorro corriente positivo y superávit total en todos y cada uno de los años de vigencia del programa;</w:t>
      </w:r>
    </w:p>
    <w:p w:rsidR="007E60D0" w:rsidRDefault="007E60D0">
      <w:pPr>
        <w:pStyle w:val="Prrafodelista"/>
        <w:rPr>
          <w:rFonts w:ascii="Times New Roman" w:hAnsi="Times New Roman" w:cs="Times New Roman"/>
          <w:sz w:val="24"/>
          <w:szCs w:val="24"/>
        </w:rPr>
      </w:pPr>
    </w:p>
    <w:p w:rsidR="007E60D0" w:rsidRDefault="007E60D0">
      <w:pPr>
        <w:pStyle w:val="Prrafodelista"/>
        <w:numPr>
          <w:ilvl w:val="0"/>
          <w:numId w:val="11"/>
        </w:numPr>
        <w:jc w:val="both"/>
        <w:rPr>
          <w:rFonts w:ascii="Times New Roman" w:hAnsi="Times New Roman" w:cs="Times New Roman"/>
          <w:sz w:val="24"/>
          <w:szCs w:val="24"/>
        </w:rPr>
      </w:pPr>
      <w:r>
        <w:rPr>
          <w:rFonts w:ascii="Times New Roman" w:hAnsi="Times New Roman" w:cs="Times New Roman"/>
          <w:sz w:val="24"/>
          <w:szCs w:val="24"/>
        </w:rPr>
        <w:t>Incrementar el recaudo de ingresos;</w:t>
      </w:r>
    </w:p>
    <w:p w:rsidR="007E60D0" w:rsidRDefault="007E60D0">
      <w:pPr>
        <w:pStyle w:val="Prrafodelista"/>
        <w:jc w:val="both"/>
        <w:rPr>
          <w:rFonts w:ascii="Times New Roman" w:hAnsi="Times New Roman" w:cs="Times New Roman"/>
          <w:sz w:val="24"/>
          <w:szCs w:val="24"/>
        </w:rPr>
      </w:pPr>
    </w:p>
    <w:p w:rsidR="007E60D0" w:rsidRDefault="007E60D0">
      <w:pPr>
        <w:pStyle w:val="Prrafodelista"/>
        <w:numPr>
          <w:ilvl w:val="0"/>
          <w:numId w:val="11"/>
        </w:numPr>
        <w:jc w:val="both"/>
        <w:rPr>
          <w:rFonts w:ascii="Times New Roman" w:hAnsi="Times New Roman" w:cs="Times New Roman"/>
          <w:sz w:val="24"/>
          <w:szCs w:val="24"/>
        </w:rPr>
      </w:pPr>
      <w:r>
        <w:rPr>
          <w:rFonts w:ascii="Times New Roman" w:hAnsi="Times New Roman" w:cs="Times New Roman"/>
          <w:sz w:val="24"/>
          <w:szCs w:val="24"/>
        </w:rPr>
        <w:t>Disminuir y racionalizar gastos;</w:t>
      </w:r>
    </w:p>
    <w:p w:rsidR="007E60D0" w:rsidRDefault="007E60D0">
      <w:pPr>
        <w:ind w:left="360"/>
        <w:jc w:val="both"/>
        <w:rPr>
          <w:szCs w:val="24"/>
        </w:rPr>
      </w:pPr>
    </w:p>
    <w:p w:rsidR="007E60D0" w:rsidRDefault="007E60D0">
      <w:pPr>
        <w:pStyle w:val="Prrafodelista"/>
        <w:numPr>
          <w:ilvl w:val="0"/>
          <w:numId w:val="11"/>
        </w:numPr>
        <w:jc w:val="both"/>
        <w:rPr>
          <w:rFonts w:ascii="Times New Roman" w:hAnsi="Times New Roman" w:cs="Times New Roman"/>
          <w:sz w:val="24"/>
          <w:szCs w:val="24"/>
        </w:rPr>
      </w:pPr>
      <w:r>
        <w:rPr>
          <w:rFonts w:ascii="Times New Roman" w:hAnsi="Times New Roman" w:cs="Times New Roman"/>
          <w:sz w:val="24"/>
          <w:szCs w:val="24"/>
        </w:rPr>
        <w:t>Mejorar el perfil de la deuda y las condiciones de repago.</w:t>
      </w:r>
    </w:p>
    <w:p w:rsidR="007E60D0" w:rsidRDefault="007E60D0">
      <w:pPr>
        <w:pStyle w:val="Prrafodelista"/>
        <w:rPr>
          <w:rFonts w:ascii="Times New Roman" w:hAnsi="Times New Roman" w:cs="Times New Roman"/>
          <w:sz w:val="24"/>
          <w:szCs w:val="24"/>
        </w:rPr>
      </w:pPr>
    </w:p>
    <w:p w:rsidR="007E60D0" w:rsidRDefault="007E60D0">
      <w:pPr>
        <w:pStyle w:val="Prrafodelista"/>
        <w:numPr>
          <w:ilvl w:val="0"/>
          <w:numId w:val="11"/>
        </w:numPr>
        <w:jc w:val="both"/>
        <w:rPr>
          <w:rFonts w:ascii="Times New Roman" w:hAnsi="Times New Roman" w:cs="Times New Roman"/>
          <w:sz w:val="24"/>
          <w:szCs w:val="24"/>
        </w:rPr>
      </w:pPr>
      <w:r>
        <w:rPr>
          <w:rFonts w:ascii="Times New Roman" w:hAnsi="Times New Roman" w:cs="Times New Roman"/>
          <w:sz w:val="24"/>
          <w:szCs w:val="24"/>
        </w:rPr>
        <w:t>Fortalecer la eficiencia en las áreas de gestión de personal, financiera y administrativa.</w:t>
      </w:r>
    </w:p>
    <w:p w:rsidR="007E60D0" w:rsidRDefault="007E60D0">
      <w:pPr>
        <w:pStyle w:val="Prrafodelista"/>
        <w:rPr>
          <w:rFonts w:ascii="Times New Roman" w:hAnsi="Times New Roman" w:cs="Times New Roman"/>
          <w:sz w:val="24"/>
          <w:szCs w:val="24"/>
        </w:rPr>
      </w:pPr>
    </w:p>
    <w:p w:rsidR="007E60D0" w:rsidRDefault="007E60D0">
      <w:pPr>
        <w:jc w:val="both"/>
        <w:rPr>
          <w:szCs w:val="24"/>
        </w:rPr>
      </w:pPr>
      <w:r>
        <w:rPr>
          <w:szCs w:val="24"/>
        </w:rPr>
        <w:t xml:space="preserve">Las acciones y medidas que se planteen deben ser viables y efectivas para mantener en el tiempo el cumplimiento de los indicadores legales o dar solución a la problemática que impida cumplir con la estimación y el logro de los objetivos planteados. Es deseable que su </w:t>
      </w:r>
      <w:r>
        <w:rPr>
          <w:szCs w:val="24"/>
        </w:rPr>
        <w:lastRenderedPageBreak/>
        <w:t>diseño supere la visión coyuntural y que busque resultados perdurables. El Plan de acción, de acuerdo con la visión que de la situación fiscal del municipio se tenga, podría contener dos tipos de acciones.</w:t>
      </w:r>
    </w:p>
    <w:p w:rsidR="007E60D0" w:rsidRDefault="007E60D0">
      <w:pPr>
        <w:jc w:val="both"/>
        <w:rPr>
          <w:szCs w:val="24"/>
        </w:rPr>
      </w:pPr>
    </w:p>
    <w:p w:rsidR="007E60D0" w:rsidRDefault="007E60D0">
      <w:pPr>
        <w:jc w:val="both"/>
        <w:rPr>
          <w:szCs w:val="24"/>
        </w:rPr>
      </w:pPr>
      <w:r>
        <w:rPr>
          <w:szCs w:val="24"/>
        </w:rPr>
        <w:t>1. Acciones de rápida ejecución e inmediato resultado y de impacto significativo, individual o en conjunto, en las cuentas del municipio que tiendan a resolver en el corto plazo la magnitud del déficit y el ahogo financiero. Son ejemplos de este tipo de acciones las siguientes:</w:t>
      </w:r>
    </w:p>
    <w:p w:rsidR="007E60D0" w:rsidRDefault="007E60D0">
      <w:pPr>
        <w:jc w:val="both"/>
        <w:rPr>
          <w:szCs w:val="24"/>
        </w:rPr>
      </w:pPr>
    </w:p>
    <w:p w:rsidR="007E60D0" w:rsidRDefault="007E60D0">
      <w:pPr>
        <w:jc w:val="both"/>
        <w:rPr>
          <w:szCs w:val="24"/>
        </w:rPr>
      </w:pPr>
      <w:r>
        <w:rPr>
          <w:szCs w:val="24"/>
        </w:rPr>
        <w:t>* Depurar y recuperar cartera de los contribuyentes más representativos.</w:t>
      </w:r>
    </w:p>
    <w:p w:rsidR="007E60D0" w:rsidRDefault="007E60D0">
      <w:pPr>
        <w:jc w:val="both"/>
        <w:rPr>
          <w:szCs w:val="24"/>
        </w:rPr>
      </w:pPr>
    </w:p>
    <w:p w:rsidR="007E60D0" w:rsidRDefault="007E60D0">
      <w:pPr>
        <w:jc w:val="both"/>
        <w:rPr>
          <w:szCs w:val="24"/>
        </w:rPr>
      </w:pPr>
      <w:r>
        <w:rPr>
          <w:szCs w:val="24"/>
        </w:rPr>
        <w:t>* Ajustar el presupuesto a las posibilidades reales del municipio y reducir rápidamente aquellos gastos que no cuentan con financiación o aquellos gastos redundantes o injustificados.</w:t>
      </w:r>
    </w:p>
    <w:p w:rsidR="007E60D0" w:rsidRDefault="007E60D0">
      <w:pPr>
        <w:jc w:val="both"/>
        <w:rPr>
          <w:szCs w:val="24"/>
        </w:rPr>
      </w:pPr>
    </w:p>
    <w:p w:rsidR="007E60D0" w:rsidRDefault="007E60D0">
      <w:pPr>
        <w:jc w:val="both"/>
        <w:rPr>
          <w:szCs w:val="24"/>
        </w:rPr>
      </w:pPr>
      <w:r>
        <w:rPr>
          <w:szCs w:val="24"/>
        </w:rPr>
        <w:t>2. Acciones de impacto a mediano y largo plazo. Especialmente aquellas que se orientan a sanear de manera perdurable las finanzas del municipio y a fortalecer la capacidad de gestión financiera, administrativa y de personal. Como ejemplo de este tipo de acciones se encuentran:</w:t>
      </w:r>
    </w:p>
    <w:p w:rsidR="007E60D0" w:rsidRDefault="007E60D0">
      <w:pPr>
        <w:jc w:val="both"/>
        <w:rPr>
          <w:szCs w:val="24"/>
        </w:rPr>
      </w:pPr>
    </w:p>
    <w:p w:rsidR="007E60D0" w:rsidRDefault="007E60D0">
      <w:pPr>
        <w:jc w:val="both"/>
        <w:rPr>
          <w:szCs w:val="24"/>
        </w:rPr>
      </w:pPr>
      <w:r>
        <w:rPr>
          <w:szCs w:val="24"/>
        </w:rPr>
        <w:t>* Reformas a la administración tributaria (actualización de censos de contribuyentes, adopción de programas de fiscalización y control, eliminación de trámites innecesarios, refuerzos al régimen de sanciones, racionalización del régimen de exenciones y descuentos, simplificación de tarifas);</w:t>
      </w:r>
    </w:p>
    <w:p w:rsidR="007E60D0" w:rsidRDefault="007E60D0">
      <w:pPr>
        <w:jc w:val="both"/>
        <w:rPr>
          <w:szCs w:val="24"/>
        </w:rPr>
      </w:pPr>
    </w:p>
    <w:p w:rsidR="007E60D0" w:rsidRDefault="007E60D0">
      <w:pPr>
        <w:jc w:val="both"/>
        <w:rPr>
          <w:szCs w:val="24"/>
        </w:rPr>
      </w:pPr>
      <w:r>
        <w:rPr>
          <w:szCs w:val="24"/>
        </w:rPr>
        <w:t>* Aplicación de normas actualizadas en materia financiera (código de rentas, estatuto orgánico de presupuesto y plan general de la contabilidad pública); Organización de una administración financiera integrada y en consonancia con las funciones básicas de una administración moderna (rentas, presupuesto, tesorería y contabilidad);</w:t>
      </w:r>
    </w:p>
    <w:p w:rsidR="007E60D0" w:rsidRDefault="007E60D0">
      <w:pPr>
        <w:jc w:val="both"/>
        <w:rPr>
          <w:szCs w:val="24"/>
        </w:rPr>
      </w:pPr>
    </w:p>
    <w:p w:rsidR="007E60D0" w:rsidRDefault="007E60D0">
      <w:pPr>
        <w:jc w:val="both"/>
        <w:rPr>
          <w:szCs w:val="24"/>
        </w:rPr>
      </w:pPr>
      <w:r>
        <w:rPr>
          <w:szCs w:val="24"/>
        </w:rPr>
        <w:t>* Rediseño de la estructura orgánica de la administración central, descentralizada, órganos de control y corporación de elección popular.</w:t>
      </w:r>
    </w:p>
    <w:p w:rsidR="007E60D0" w:rsidRDefault="007E60D0">
      <w:pPr>
        <w:jc w:val="both"/>
        <w:rPr>
          <w:szCs w:val="24"/>
        </w:rPr>
      </w:pPr>
    </w:p>
    <w:p w:rsidR="007E60D0" w:rsidRDefault="007E60D0">
      <w:pPr>
        <w:jc w:val="both"/>
        <w:rPr>
          <w:szCs w:val="24"/>
        </w:rPr>
      </w:pPr>
      <w:r>
        <w:rPr>
          <w:szCs w:val="24"/>
        </w:rPr>
        <w:t>* Adopción de planes de retiro de personal por supresión de cargos;</w:t>
      </w:r>
    </w:p>
    <w:p w:rsidR="007E60D0" w:rsidRDefault="007E60D0">
      <w:pPr>
        <w:jc w:val="both"/>
        <w:rPr>
          <w:szCs w:val="24"/>
        </w:rPr>
      </w:pPr>
    </w:p>
    <w:p w:rsidR="007E60D0" w:rsidRDefault="007E60D0">
      <w:pPr>
        <w:jc w:val="both"/>
        <w:rPr>
          <w:szCs w:val="24"/>
        </w:rPr>
      </w:pPr>
      <w:r>
        <w:rPr>
          <w:szCs w:val="24"/>
        </w:rPr>
        <w:t>* Establecimiento de un sistema adecuado de gestión de personal (procedimientos de selección, evaluación, promoción y control, elaboración de manuales de procesos y procedimientos, etc.);</w:t>
      </w:r>
    </w:p>
    <w:p w:rsidR="007E60D0" w:rsidRDefault="007E60D0">
      <w:pPr>
        <w:jc w:val="both"/>
        <w:rPr>
          <w:szCs w:val="24"/>
        </w:rPr>
      </w:pPr>
    </w:p>
    <w:p w:rsidR="007E60D0" w:rsidRDefault="007E60D0">
      <w:pPr>
        <w:jc w:val="both"/>
        <w:rPr>
          <w:szCs w:val="24"/>
        </w:rPr>
      </w:pPr>
      <w:r>
        <w:rPr>
          <w:szCs w:val="24"/>
        </w:rPr>
        <w:t>* Actualización de la historia laboral de los empleados y cálculo del pasivo pensional de la entidad;</w:t>
      </w:r>
    </w:p>
    <w:p w:rsidR="007E60D0" w:rsidRDefault="007E60D0">
      <w:pPr>
        <w:jc w:val="both"/>
        <w:rPr>
          <w:szCs w:val="24"/>
        </w:rPr>
      </w:pPr>
    </w:p>
    <w:p w:rsidR="007E60D0" w:rsidRDefault="007E60D0">
      <w:pPr>
        <w:jc w:val="both"/>
        <w:rPr>
          <w:szCs w:val="24"/>
        </w:rPr>
      </w:pPr>
      <w:r>
        <w:rPr>
          <w:szCs w:val="24"/>
        </w:rPr>
        <w:t>* Capitalización de los fondos de pensiones territorial;</w:t>
      </w:r>
    </w:p>
    <w:p w:rsidR="007E60D0" w:rsidRDefault="007E60D0">
      <w:pPr>
        <w:jc w:val="both"/>
        <w:rPr>
          <w:szCs w:val="24"/>
        </w:rPr>
      </w:pPr>
    </w:p>
    <w:p w:rsidR="007E60D0" w:rsidRDefault="007E60D0">
      <w:pPr>
        <w:jc w:val="both"/>
        <w:rPr>
          <w:szCs w:val="24"/>
        </w:rPr>
      </w:pPr>
      <w:r>
        <w:rPr>
          <w:szCs w:val="24"/>
        </w:rPr>
        <w:lastRenderedPageBreak/>
        <w:t>* Cobro de cuotas partes pensiónales.</w:t>
      </w:r>
    </w:p>
    <w:p w:rsidR="007E60D0" w:rsidRDefault="007E60D0">
      <w:pPr>
        <w:jc w:val="both"/>
        <w:rPr>
          <w:szCs w:val="24"/>
        </w:rPr>
      </w:pPr>
    </w:p>
    <w:p w:rsidR="007E60D0" w:rsidRDefault="007E60D0">
      <w:pPr>
        <w:jc w:val="both"/>
        <w:rPr>
          <w:szCs w:val="24"/>
        </w:rPr>
      </w:pPr>
      <w:r>
        <w:rPr>
          <w:szCs w:val="24"/>
        </w:rPr>
        <w:t>* Revisión de la legalidad de las pensiones vigentes.</w:t>
      </w:r>
    </w:p>
    <w:p w:rsidR="007E60D0" w:rsidRDefault="007E60D0">
      <w:pPr>
        <w:jc w:val="both"/>
        <w:rPr>
          <w:szCs w:val="24"/>
        </w:rPr>
      </w:pPr>
    </w:p>
    <w:p w:rsidR="007E60D0" w:rsidRDefault="007E60D0">
      <w:pPr>
        <w:jc w:val="both"/>
        <w:rPr>
          <w:szCs w:val="24"/>
        </w:rPr>
      </w:pPr>
      <w:r>
        <w:rPr>
          <w:szCs w:val="24"/>
        </w:rPr>
        <w:t>* Enajenación de activos y otros derechos, y fomento a la participación privada en la prestación de servicios;</w:t>
      </w:r>
    </w:p>
    <w:p w:rsidR="007E60D0" w:rsidRDefault="007E60D0">
      <w:pPr>
        <w:jc w:val="both"/>
        <w:rPr>
          <w:szCs w:val="24"/>
        </w:rPr>
      </w:pPr>
    </w:p>
    <w:p w:rsidR="007E60D0" w:rsidRDefault="007E60D0">
      <w:pPr>
        <w:jc w:val="both"/>
        <w:rPr>
          <w:szCs w:val="24"/>
        </w:rPr>
      </w:pPr>
      <w:r>
        <w:rPr>
          <w:szCs w:val="24"/>
        </w:rPr>
        <w:t>Así mismo, es importante establecer un cronograma de ejecución para operacionalizar cada una de las acciones seleccionadas, con el fin de puntualizar las metas, las actividades, los responsables y el tiempo para ejecutarlas, de manera que se pueda verificar su avance y cumplimiento. Es necesario cuantificar el costo de las acciones contempladas, tales, la compra de equipos, etc.</w:t>
      </w:r>
    </w:p>
    <w:p w:rsidR="007E60D0" w:rsidRDefault="007E60D0">
      <w:pPr>
        <w:jc w:val="both"/>
        <w:rPr>
          <w:szCs w:val="24"/>
        </w:rPr>
      </w:pPr>
    </w:p>
    <w:p w:rsidR="007E60D0" w:rsidRDefault="007E60D0">
      <w:pPr>
        <w:jc w:val="both"/>
        <w:rPr>
          <w:b/>
          <w:bCs/>
          <w:szCs w:val="24"/>
        </w:rPr>
      </w:pPr>
      <w:r>
        <w:rPr>
          <w:b/>
          <w:bCs/>
          <w:szCs w:val="24"/>
        </w:rPr>
        <w:t>b. No hay crisis fiscal, pero las fuentes para iniciar nuevos gastos de inversión están copadas.</w:t>
      </w:r>
    </w:p>
    <w:p w:rsidR="007E60D0" w:rsidRDefault="007E60D0">
      <w:pPr>
        <w:jc w:val="both"/>
        <w:rPr>
          <w:szCs w:val="24"/>
        </w:rPr>
      </w:pPr>
    </w:p>
    <w:p w:rsidR="007E60D0" w:rsidRDefault="007E60D0">
      <w:pPr>
        <w:jc w:val="both"/>
        <w:rPr>
          <w:szCs w:val="24"/>
        </w:rPr>
      </w:pPr>
      <w:r>
        <w:rPr>
          <w:szCs w:val="24"/>
        </w:rPr>
        <w:t>Mientras las fuentes para financiar inversión estén copadas, lo más responsable es evitar embarcar a la entidad en la ejecución de un Plan de Desarrollo que podría desestabilizar la situación fiscal de la administración y ubicarla en las condiciones descritas en el literal anterior.</w:t>
      </w:r>
    </w:p>
    <w:p w:rsidR="007E60D0" w:rsidRDefault="007E60D0">
      <w:pPr>
        <w:jc w:val="both"/>
        <w:rPr>
          <w:szCs w:val="24"/>
        </w:rPr>
      </w:pPr>
    </w:p>
    <w:p w:rsidR="007E60D0" w:rsidRDefault="007E60D0">
      <w:pPr>
        <w:jc w:val="both"/>
        <w:rPr>
          <w:szCs w:val="24"/>
        </w:rPr>
      </w:pPr>
      <w:r>
        <w:rPr>
          <w:szCs w:val="24"/>
        </w:rPr>
        <w:t>Una opción clara es trabajar en la “eficiencia” con que se viene realizando la inversión que tiene financiamiento. Administrar los recursos de manera tal que con la misma cantidad sea posible mejorar la prestación de los bienes y servicios que demanda la comunidad, puede traer mejores dividendos que iniciar nuevos proyectos sin que se cuente con fuentes reales para financiarlos.</w:t>
      </w:r>
    </w:p>
    <w:p w:rsidR="007E60D0" w:rsidRDefault="007E60D0">
      <w:pPr>
        <w:jc w:val="both"/>
        <w:rPr>
          <w:szCs w:val="24"/>
        </w:rPr>
      </w:pPr>
    </w:p>
    <w:p w:rsidR="007E60D0" w:rsidRDefault="007E60D0">
      <w:pPr>
        <w:jc w:val="both"/>
        <w:rPr>
          <w:szCs w:val="24"/>
        </w:rPr>
      </w:pPr>
      <w:r>
        <w:rPr>
          <w:szCs w:val="24"/>
        </w:rPr>
        <w:t>Si lo anterior no es suficiente, para financiar nuevo gasto de inversión deberá tener en cuenta que la estimación de ingresos y gastos a diez años debe mostrar que la entidad tendrá en todas las vigencias capacidad legal de pago, que de acuerdo a su categoría sexta cumplirá con los límites de gasto del sector central y de transferencias al Concejo y a la Personería.</w:t>
      </w:r>
    </w:p>
    <w:p w:rsidR="007E60D0" w:rsidRDefault="007E60D0">
      <w:pPr>
        <w:jc w:val="both"/>
        <w:rPr>
          <w:szCs w:val="24"/>
        </w:rPr>
      </w:pPr>
    </w:p>
    <w:p w:rsidR="007E60D0" w:rsidRDefault="007E60D0">
      <w:pPr>
        <w:jc w:val="both"/>
        <w:rPr>
          <w:szCs w:val="24"/>
        </w:rPr>
      </w:pPr>
      <w:r>
        <w:rPr>
          <w:szCs w:val="24"/>
        </w:rPr>
        <w:t>Adicionalmente debe tenerse muy en cuenta que el incumplimiento de los indicadores de la leyes de disciplina fiscal por parte del municipio tiene entre otras consecuencias que la Nación esté formalmente impedida para brindar apoyo a la misma (Artículos 80 de la Ley 617 de 2000, 19 de la Ley 819 de 2003 y 7 del decreto 4515 de 2007).</w:t>
      </w:r>
    </w:p>
    <w:p w:rsidR="007E60D0" w:rsidRDefault="007E60D0">
      <w:pPr>
        <w:jc w:val="both"/>
        <w:rPr>
          <w:szCs w:val="24"/>
        </w:rPr>
      </w:pPr>
    </w:p>
    <w:p w:rsidR="007E60D0" w:rsidRDefault="007E60D0">
      <w:pPr>
        <w:jc w:val="both"/>
        <w:rPr>
          <w:bCs/>
          <w:szCs w:val="24"/>
        </w:rPr>
      </w:pPr>
      <w:r>
        <w:rPr>
          <w:bCs/>
          <w:szCs w:val="24"/>
        </w:rPr>
        <w:t>2. El ahorro disponible no es suficiente para financiar la totalidad del Programa de Gobierno.</w:t>
      </w:r>
    </w:p>
    <w:p w:rsidR="007E60D0" w:rsidRDefault="007E60D0">
      <w:pPr>
        <w:jc w:val="both"/>
        <w:rPr>
          <w:bCs/>
          <w:szCs w:val="24"/>
        </w:rPr>
      </w:pPr>
    </w:p>
    <w:p w:rsidR="007E60D0" w:rsidRDefault="007E60D0">
      <w:pPr>
        <w:jc w:val="both"/>
        <w:rPr>
          <w:szCs w:val="24"/>
        </w:rPr>
      </w:pPr>
      <w:r>
        <w:rPr>
          <w:szCs w:val="24"/>
        </w:rPr>
        <w:t xml:space="preserve">El municipio en esta situación cuenta normalmente con recursos libres de afectación que, en primer lugar, provienen de cumplir con los límites de gasto de la Ley 617 de 2000 ya descritos en apartado anterior (llamados ahorro propio); en segundo lugar, provienen del </w:t>
      </w:r>
      <w:r>
        <w:rPr>
          <w:szCs w:val="24"/>
        </w:rPr>
        <w:lastRenderedPageBreak/>
        <w:t>sistema general de participaciones de educación, salud y propósito general; en tercer lugar, provienen de la sobretasa a la gasolina.</w:t>
      </w:r>
    </w:p>
    <w:p w:rsidR="007E60D0" w:rsidRDefault="007E60D0">
      <w:pPr>
        <w:jc w:val="both"/>
        <w:rPr>
          <w:szCs w:val="24"/>
        </w:rPr>
      </w:pPr>
    </w:p>
    <w:p w:rsidR="007E60D0" w:rsidRDefault="007E60D0">
      <w:pPr>
        <w:jc w:val="both"/>
        <w:rPr>
          <w:szCs w:val="24"/>
        </w:rPr>
      </w:pPr>
      <w:r>
        <w:rPr>
          <w:szCs w:val="24"/>
        </w:rPr>
        <w:t>Sin embargo, los mismos no son suficientes para financiar el programa de gobierno y por ello deben gestionar fuentes complementarias como los recursos de contrapartida, las donaciones y el endeudamiento.</w:t>
      </w:r>
    </w:p>
    <w:p w:rsidR="007E60D0" w:rsidRDefault="007E60D0">
      <w:pPr>
        <w:jc w:val="both"/>
        <w:rPr>
          <w:szCs w:val="24"/>
        </w:rPr>
      </w:pPr>
      <w:r>
        <w:rPr>
          <w:szCs w:val="24"/>
        </w:rPr>
        <w:t xml:space="preserve"> </w:t>
      </w:r>
    </w:p>
    <w:p w:rsidR="007E60D0" w:rsidRDefault="007E60D0">
      <w:pPr>
        <w:jc w:val="both"/>
        <w:rPr>
          <w:szCs w:val="24"/>
        </w:rPr>
      </w:pPr>
      <w:r>
        <w:rPr>
          <w:szCs w:val="24"/>
        </w:rPr>
        <w:t>Respecto a los recursos de contrapartida y las donaciones lo fundamental es conocer el procedimiento formal para acceder a este tipo de fuentes. Es importante, en el caso del municipio, ponerse en contacto con el Departamento Administrativo de Planeación Departamental, entidad que les asesorará en cuanto al procedimiento para encaminar un proyecto a través del banco de proyectos y sobre las posibilidades de apoyo al interior del Departamento.</w:t>
      </w:r>
    </w:p>
    <w:p w:rsidR="007E60D0" w:rsidRDefault="007E60D0">
      <w:pPr>
        <w:jc w:val="both"/>
        <w:rPr>
          <w:szCs w:val="24"/>
        </w:rPr>
      </w:pPr>
    </w:p>
    <w:p w:rsidR="007E60D0" w:rsidRDefault="007E60D0">
      <w:pPr>
        <w:jc w:val="both"/>
        <w:rPr>
          <w:szCs w:val="24"/>
        </w:rPr>
      </w:pPr>
      <w:r>
        <w:rPr>
          <w:szCs w:val="24"/>
        </w:rPr>
        <w:t>Asimismo, sin perjuicio de los ministerios sectoriales, es importante establecer contacto con el Departamento Nacional de Planeación, entidad que le suministrará la asesoría necesaria sobre el tipo de proyectos que se pueden financiar con dichas fuentes y su capacidad de apalancar proyectos.</w:t>
      </w:r>
    </w:p>
    <w:p w:rsidR="007E60D0" w:rsidRDefault="007E60D0">
      <w:pPr>
        <w:jc w:val="both"/>
        <w:rPr>
          <w:szCs w:val="24"/>
        </w:rPr>
      </w:pPr>
    </w:p>
    <w:p w:rsidR="007E60D0" w:rsidRDefault="007E60D0">
      <w:pPr>
        <w:jc w:val="both"/>
        <w:rPr>
          <w:szCs w:val="24"/>
        </w:rPr>
      </w:pPr>
      <w:r>
        <w:rPr>
          <w:szCs w:val="24"/>
        </w:rPr>
        <w:t>Por ejemplo, en el Departamento Nacional de Planeación le pueden informar que el Fondo Nacional de Regalías en virtud de lo ordenado por el artículo 48 la Ley 863 de 2003 deberá descontar a título de inversión regional el 50% para destinarlo al Fondo de Pensiones de las Entidades Territoriales (FONPET). Además, que se ha decidido en el Plan Nacional de Desarrollo (artículo 116 de la ley 1151 de 2007) que los proyectos de inversión que se podrán financiar con el 50% restante estarán dirigidos principalmente a recuperar el canal navegable y atender inundaciones del río Magdalena, prevenir y atender desastres y calamidades a nivel nacional, recuperar el macizo colombiano y ampliar coberturas en el sector de educación en los estratos más pobres de la población.</w:t>
      </w:r>
    </w:p>
    <w:p w:rsidR="007E60D0" w:rsidRDefault="007E60D0">
      <w:pPr>
        <w:jc w:val="both"/>
        <w:rPr>
          <w:szCs w:val="24"/>
        </w:rPr>
      </w:pPr>
    </w:p>
    <w:p w:rsidR="007E60D0" w:rsidRDefault="007E60D0">
      <w:pPr>
        <w:jc w:val="both"/>
        <w:rPr>
          <w:szCs w:val="24"/>
        </w:rPr>
      </w:pPr>
      <w:r>
        <w:rPr>
          <w:szCs w:val="24"/>
        </w:rPr>
        <w:t>El endeudamiento público surge ante la necesidad de financiar la parte del plan de desarrollo que no se puede atender con el ahorro propio y las rentas destinadas por la constitución y la Ley al gasto de inversión. Aunque podría entenderse que lo principal es identificar dichas necesidades de financiamiento, es de suma importancia tener en cuenta que el nivel de endeudamiento está restringido por la capacidad del municipio para asumir el costo financiero de determinado monto de crédito.</w:t>
      </w:r>
    </w:p>
    <w:p w:rsidR="007E60D0" w:rsidRDefault="007E60D0">
      <w:pPr>
        <w:jc w:val="both"/>
        <w:rPr>
          <w:szCs w:val="24"/>
        </w:rPr>
      </w:pPr>
    </w:p>
    <w:p w:rsidR="007E60D0" w:rsidRDefault="007E60D0">
      <w:pPr>
        <w:jc w:val="both"/>
        <w:rPr>
          <w:szCs w:val="24"/>
        </w:rPr>
      </w:pPr>
      <w:r>
        <w:rPr>
          <w:szCs w:val="24"/>
        </w:rPr>
        <w:t>La Ley 358 de 1997 ha establecido la forma de evaluar la capacidad de pago de las entidades territoriales a través de los indicadores de solvencia y sostenibilidad que miden la relación de los intereses de la deuda con el ahorro operacional y del saldo de la deuda con los ingresos corrientes respectivamente. Asimismo, la Ley 819 de 2003 completó dicha forma de medir la sostenibilidad del endeudamiento a través la relación que existe entre el pago de intereses y el ahorro primario.</w:t>
      </w:r>
    </w:p>
    <w:p w:rsidR="007E60D0" w:rsidRDefault="007E60D0">
      <w:pPr>
        <w:jc w:val="both"/>
        <w:rPr>
          <w:szCs w:val="24"/>
        </w:rPr>
      </w:pPr>
    </w:p>
    <w:p w:rsidR="007E60D0" w:rsidRDefault="007E60D0">
      <w:pPr>
        <w:jc w:val="both"/>
        <w:rPr>
          <w:szCs w:val="24"/>
        </w:rPr>
      </w:pPr>
      <w:r>
        <w:rPr>
          <w:szCs w:val="24"/>
        </w:rPr>
        <w:lastRenderedPageBreak/>
        <w:t>Así las cosas, con el fin de garantizar un monto sostenible de deuda el municipio no pueden superar en cada vigencia las siguientes relaciones:</w:t>
      </w:r>
    </w:p>
    <w:p w:rsidR="007E60D0" w:rsidRDefault="007E60D0">
      <w:pPr>
        <w:jc w:val="center"/>
        <w:rPr>
          <w:szCs w:val="24"/>
        </w:rPr>
      </w:pPr>
    </w:p>
    <w:p w:rsidR="007E60D0" w:rsidRDefault="007E60D0">
      <w:pPr>
        <w:jc w:val="center"/>
        <w:rPr>
          <w:szCs w:val="24"/>
        </w:rPr>
      </w:pPr>
      <w:r>
        <w:rPr>
          <w:szCs w:val="24"/>
        </w:rPr>
        <w:t>____</w:t>
      </w:r>
      <w:r>
        <w:rPr>
          <w:szCs w:val="24"/>
          <w:u w:val="single"/>
        </w:rPr>
        <w:t>Intereses</w:t>
      </w:r>
      <w:r>
        <w:rPr>
          <w:szCs w:val="24"/>
        </w:rPr>
        <w:t>_____ * 100 ≤ 40%,</w:t>
      </w:r>
    </w:p>
    <w:p w:rsidR="007E60D0" w:rsidRDefault="007E60D0">
      <w:pPr>
        <w:ind w:left="2124" w:firstLine="708"/>
        <w:rPr>
          <w:szCs w:val="24"/>
        </w:rPr>
      </w:pPr>
      <w:r>
        <w:rPr>
          <w:szCs w:val="24"/>
        </w:rPr>
        <w:t>Ahorro Operacional</w:t>
      </w:r>
    </w:p>
    <w:p w:rsidR="007E60D0" w:rsidRDefault="007E60D0">
      <w:pPr>
        <w:jc w:val="center"/>
        <w:rPr>
          <w:szCs w:val="24"/>
        </w:rPr>
      </w:pPr>
    </w:p>
    <w:p w:rsidR="007E60D0" w:rsidRDefault="007E60D0">
      <w:pPr>
        <w:jc w:val="center"/>
        <w:rPr>
          <w:szCs w:val="24"/>
        </w:rPr>
      </w:pPr>
      <w:r>
        <w:rPr>
          <w:szCs w:val="24"/>
        </w:rPr>
        <w:t>_</w:t>
      </w:r>
      <w:r>
        <w:rPr>
          <w:szCs w:val="24"/>
          <w:u w:val="single"/>
        </w:rPr>
        <w:t>Saldo de la Deuda</w:t>
      </w:r>
      <w:r>
        <w:rPr>
          <w:szCs w:val="24"/>
        </w:rPr>
        <w:t>_ * 100 &lt; 80%</w:t>
      </w:r>
    </w:p>
    <w:p w:rsidR="007E60D0" w:rsidRDefault="007E60D0">
      <w:pPr>
        <w:ind w:left="2124" w:firstLine="708"/>
        <w:rPr>
          <w:szCs w:val="24"/>
        </w:rPr>
      </w:pPr>
      <w:r>
        <w:rPr>
          <w:szCs w:val="24"/>
        </w:rPr>
        <w:t>Ingresos Corrientes</w:t>
      </w:r>
    </w:p>
    <w:p w:rsidR="007E60D0" w:rsidRDefault="007E60D0">
      <w:pPr>
        <w:jc w:val="both"/>
        <w:rPr>
          <w:szCs w:val="24"/>
        </w:rPr>
      </w:pPr>
    </w:p>
    <w:p w:rsidR="007E60D0" w:rsidRDefault="007E60D0">
      <w:pPr>
        <w:jc w:val="both"/>
        <w:rPr>
          <w:szCs w:val="24"/>
        </w:rPr>
      </w:pPr>
      <w:r>
        <w:rPr>
          <w:szCs w:val="24"/>
        </w:rPr>
        <w:t>Adicionalmente, deben fijar metas anuales de superávit primario que les permitan asegurar a mediano plazo un monto de deuda pública que puedan servir cumplidamente. En este sentido se recomienda la siguiente relación:</w:t>
      </w:r>
    </w:p>
    <w:p w:rsidR="007E60D0" w:rsidRDefault="007E60D0">
      <w:pPr>
        <w:jc w:val="center"/>
        <w:rPr>
          <w:szCs w:val="24"/>
        </w:rPr>
      </w:pPr>
      <w:r>
        <w:rPr>
          <w:szCs w:val="24"/>
        </w:rPr>
        <w:t>_</w:t>
      </w:r>
      <w:r>
        <w:rPr>
          <w:szCs w:val="24"/>
          <w:u w:val="single"/>
        </w:rPr>
        <w:t>Ahorro Primario</w:t>
      </w:r>
      <w:r>
        <w:rPr>
          <w:szCs w:val="24"/>
        </w:rPr>
        <w:t>_ * 100 ≥ 100% o ≤ 100%</w:t>
      </w:r>
    </w:p>
    <w:p w:rsidR="007E60D0" w:rsidRDefault="007E60D0">
      <w:pPr>
        <w:ind w:left="2124" w:firstLine="708"/>
        <w:rPr>
          <w:szCs w:val="24"/>
        </w:rPr>
      </w:pPr>
      <w:r>
        <w:rPr>
          <w:szCs w:val="24"/>
        </w:rPr>
        <w:t>Intereses</w:t>
      </w:r>
    </w:p>
    <w:p w:rsidR="007E60D0" w:rsidRDefault="007E60D0">
      <w:pPr>
        <w:jc w:val="both"/>
        <w:rPr>
          <w:szCs w:val="24"/>
        </w:rPr>
      </w:pPr>
    </w:p>
    <w:p w:rsidR="007E60D0" w:rsidRDefault="007E60D0">
      <w:pPr>
        <w:jc w:val="both"/>
        <w:rPr>
          <w:szCs w:val="24"/>
        </w:rPr>
      </w:pPr>
      <w:r>
        <w:rPr>
          <w:szCs w:val="24"/>
        </w:rPr>
        <w:t xml:space="preserve">No obstante lo anterior, es necesario que el municipio evalúe cuatro aspectos que si bien no son formales si están presentes dentro de su realidad fiscal y afectan su capacidad de pago. Se trata de la posibilidad real de refinanciar la deuda, el hecho de que la entidad se endeuda con tasas de interés variable, la existencia de déficit acumulado de vigencias anteriores y la financiación sectorial de la inversión. </w:t>
      </w:r>
    </w:p>
    <w:p w:rsidR="007E60D0" w:rsidRDefault="007E60D0">
      <w:pPr>
        <w:jc w:val="both"/>
        <w:rPr>
          <w:szCs w:val="24"/>
        </w:rPr>
      </w:pPr>
    </w:p>
    <w:p w:rsidR="007E60D0" w:rsidRDefault="007E60D0">
      <w:pPr>
        <w:jc w:val="both"/>
        <w:rPr>
          <w:szCs w:val="24"/>
        </w:rPr>
      </w:pPr>
      <w:r>
        <w:rPr>
          <w:szCs w:val="24"/>
        </w:rPr>
        <w:t>Si bien el indicador del artículo segundo de la ley 819  de 2003 sugiere que lo importante es mantener un ahorro primario suficiente para evitar situaciones de crecimiento excesivo de deuda. Una forma de lograrlo es estabilizando la deuda en el tiempo, fijando metas ahorro primario iguales o superiores al pago de los intereses, con ello la entidad territorial no tendría atrasos de pagos del servicio de su deuda si tiene acceso asegurado a recursos frescos de crédito. Es decir, que es perfectamente posible renegociar su pago con las entidades financieras o que es factible acudir al mercado de capitales a través de la emisión de bonos para buscar el pago del capital.</w:t>
      </w:r>
    </w:p>
    <w:p w:rsidR="007E60D0" w:rsidRDefault="007E60D0">
      <w:pPr>
        <w:jc w:val="both"/>
        <w:rPr>
          <w:szCs w:val="24"/>
        </w:rPr>
      </w:pPr>
    </w:p>
    <w:p w:rsidR="007E60D0" w:rsidRDefault="007E60D0">
      <w:pPr>
        <w:jc w:val="both"/>
        <w:rPr>
          <w:szCs w:val="24"/>
        </w:rPr>
      </w:pPr>
      <w:r>
        <w:rPr>
          <w:szCs w:val="24"/>
        </w:rPr>
        <w:t>Por ello, es fundamental que el municipio evalúe su posición en el mercado crediticio e identifique si le es fácil que las entidades financieras conviertan la renegociación del pago del capital en una práctica normal o emitir bonos. Si la conclusión es que ello no le es posible, se recomienda construir el marco fiscal de mediano plazo de tal manera que el ahorro primario proyectado sea suficiente no solo para cancelar los intereses, sino también para amortizar el capital de la deuda.</w:t>
      </w:r>
    </w:p>
    <w:p w:rsidR="007E60D0" w:rsidRDefault="007E60D0">
      <w:pPr>
        <w:jc w:val="both"/>
        <w:rPr>
          <w:szCs w:val="24"/>
        </w:rPr>
      </w:pPr>
    </w:p>
    <w:p w:rsidR="007E60D0" w:rsidRDefault="007E60D0">
      <w:pPr>
        <w:jc w:val="both"/>
        <w:rPr>
          <w:szCs w:val="24"/>
        </w:rPr>
      </w:pPr>
      <w:r>
        <w:rPr>
          <w:szCs w:val="24"/>
        </w:rPr>
        <w:t>Respecto a los intereses, recuerde que actualmente el principal riesgo financiero que afronta el portafolio de la deuda de las entidades territoriales es el de tasa de interés y de tipo de cambio. El portafolio de su deuda interna está contratado a tasa variable (DTF) y el saldo de la deuda externa está influido por la tasa de cambio. Así, la cuantificación del riesgo está directamente relacionada con el comportamiento de la DTF y de la TRM.</w:t>
      </w:r>
    </w:p>
    <w:p w:rsidR="007E60D0" w:rsidRDefault="007E60D0">
      <w:pPr>
        <w:jc w:val="both"/>
        <w:rPr>
          <w:szCs w:val="24"/>
        </w:rPr>
      </w:pPr>
    </w:p>
    <w:p w:rsidR="007E60D0" w:rsidRDefault="007E60D0">
      <w:pPr>
        <w:jc w:val="both"/>
        <w:rPr>
          <w:szCs w:val="24"/>
        </w:rPr>
      </w:pPr>
      <w:r>
        <w:rPr>
          <w:szCs w:val="24"/>
        </w:rPr>
        <w:lastRenderedPageBreak/>
        <w:t>Estas tasas presentan variaciones históricas que las caracterizan como las más volátiles del mercado. Por ello, la ley de responsabilidad fiscal exige que al calcular los indicadores de endeudamiento se tenga en cuenta esta característica y se cree una especie de colchón que mida al momento de la contratación de la operación de crédito si la entidad territorial podrá cubrir el pago de los intereses de dicho crédito cuando las tasas DTF o TRM sufran cambios importantes.</w:t>
      </w:r>
    </w:p>
    <w:p w:rsidR="007E60D0" w:rsidRDefault="007E60D0">
      <w:pPr>
        <w:jc w:val="both"/>
        <w:rPr>
          <w:szCs w:val="24"/>
        </w:rPr>
      </w:pPr>
    </w:p>
    <w:p w:rsidR="007E60D0" w:rsidRDefault="007E60D0">
      <w:pPr>
        <w:jc w:val="both"/>
        <w:rPr>
          <w:szCs w:val="24"/>
        </w:rPr>
      </w:pPr>
      <w:r>
        <w:rPr>
          <w:szCs w:val="24"/>
        </w:rPr>
        <w:t>Respecto al pasivo, es fundamental tener en cuenta que aunque la norma no involucra la existencia de acreencias acumuladas de vigencias anteriores en el cálculo de la capacidad de pago, es muy importante tener en cuenta que la existencia del mismo alterará el flujo normal de pagos de la entidad en el momento en que se decida a cancelarlo o porque sea obligada a hacerlo a través de procesos jurídicos.</w:t>
      </w:r>
    </w:p>
    <w:p w:rsidR="007E60D0" w:rsidRDefault="007E60D0">
      <w:pPr>
        <w:jc w:val="both"/>
        <w:rPr>
          <w:szCs w:val="24"/>
        </w:rPr>
      </w:pPr>
    </w:p>
    <w:p w:rsidR="007E60D0" w:rsidRDefault="007E60D0">
      <w:pPr>
        <w:jc w:val="both"/>
        <w:rPr>
          <w:szCs w:val="24"/>
        </w:rPr>
      </w:pPr>
      <w:r>
        <w:rPr>
          <w:szCs w:val="24"/>
        </w:rPr>
        <w:t>Respecto a la financiación sectorial, tenga en cuenta que las destinaciones específicas establecidas desde la Constitución y la Ley para algunos recursos hacen que la garantía real para servir un crédito no esté siendo medida totalmente por los indicadores de endeudamiento. Por último, es imprescindible identificar las garantías de cada una de las operaciones realizadas como un elemento que permitirá establecer el grado de libertad para comprometer gasto con las rentas que se emplean para servir la deuda.</w:t>
      </w:r>
    </w:p>
    <w:p w:rsidR="007E60D0" w:rsidRDefault="007E60D0">
      <w:pPr>
        <w:jc w:val="both"/>
        <w:rPr>
          <w:bCs/>
          <w:szCs w:val="24"/>
        </w:rPr>
      </w:pPr>
    </w:p>
    <w:p w:rsidR="007E60D0" w:rsidRDefault="007E60D0">
      <w:pPr>
        <w:jc w:val="both"/>
        <w:rPr>
          <w:bCs/>
          <w:szCs w:val="24"/>
        </w:rPr>
      </w:pPr>
      <w:r>
        <w:rPr>
          <w:bCs/>
          <w:szCs w:val="24"/>
        </w:rPr>
        <w:t>3. El ahorro es suficiente para financiar el programa de gobierno volcado en el plan de desarrollo.</w:t>
      </w:r>
    </w:p>
    <w:p w:rsidR="007E60D0" w:rsidRDefault="007E60D0">
      <w:pPr>
        <w:jc w:val="both"/>
        <w:rPr>
          <w:bCs/>
          <w:szCs w:val="24"/>
        </w:rPr>
      </w:pPr>
    </w:p>
    <w:p w:rsidR="007E60D0" w:rsidRDefault="007E60D0">
      <w:pPr>
        <w:jc w:val="both"/>
        <w:rPr>
          <w:szCs w:val="24"/>
        </w:rPr>
      </w:pPr>
      <w:r>
        <w:rPr>
          <w:szCs w:val="24"/>
        </w:rPr>
        <w:t xml:space="preserve">Sin perjuicio del procedimiento contemplado en la Ley 152 de 1994 sobre el plan de desarrollo, se llama la atención en la necesidad de velar por el cumplimiento de las normas de disciplina fiscal de tal manera que el cumplimiento de las expectativas del municipio en esta situación se sustente en el respeto a los indicadores de límite al gasto de funcionamiento de la Ley 617 de 2000, de endeudamiento de la Ley 358 de 1997 y de responsabilidad fiscal de la 819 de 2003. </w:t>
      </w:r>
    </w:p>
    <w:p w:rsidR="007E60D0" w:rsidRDefault="007E60D0">
      <w:pPr>
        <w:jc w:val="both"/>
        <w:rPr>
          <w:szCs w:val="24"/>
        </w:rPr>
      </w:pPr>
    </w:p>
    <w:p w:rsidR="007E60D0" w:rsidRDefault="007E60D0">
      <w:pPr>
        <w:jc w:val="both"/>
        <w:rPr>
          <w:szCs w:val="24"/>
        </w:rPr>
      </w:pPr>
    </w:p>
    <w:p w:rsidR="007E60D0" w:rsidRDefault="007E60D0">
      <w:pPr>
        <w:pStyle w:val="Prrafodelista"/>
        <w:numPr>
          <w:ilvl w:val="1"/>
          <w:numId w:val="15"/>
        </w:numPr>
        <w:jc w:val="both"/>
        <w:rPr>
          <w:rFonts w:ascii="Times New Roman" w:hAnsi="Times New Roman" w:cs="Times New Roman"/>
          <w:b/>
          <w:sz w:val="24"/>
          <w:szCs w:val="24"/>
          <w:lang w:val="es-ES_tradnl"/>
        </w:rPr>
      </w:pPr>
      <w:r>
        <w:rPr>
          <w:rFonts w:ascii="Times New Roman" w:hAnsi="Times New Roman" w:cs="Times New Roman"/>
          <w:b/>
          <w:sz w:val="24"/>
          <w:szCs w:val="24"/>
          <w:lang w:val="es-ES_tradnl"/>
        </w:rPr>
        <w:t>Capacidad de endeudamiento</w:t>
      </w:r>
    </w:p>
    <w:p w:rsidR="007E60D0" w:rsidRDefault="007E60D0">
      <w:pPr>
        <w:jc w:val="both"/>
        <w:rPr>
          <w:szCs w:val="24"/>
          <w:lang w:val="es-ES_tradnl"/>
        </w:rPr>
      </w:pPr>
    </w:p>
    <w:p w:rsidR="007E60D0" w:rsidRDefault="007E60D0">
      <w:pPr>
        <w:jc w:val="both"/>
        <w:rPr>
          <w:szCs w:val="24"/>
          <w:lang w:val="es-ES_tradnl"/>
        </w:rPr>
      </w:pPr>
      <w:r>
        <w:rPr>
          <w:szCs w:val="24"/>
          <w:lang w:val="es-ES_tradnl"/>
        </w:rPr>
        <w:t>En el cuadro Nº 5 se aprecia que la capacidad de endeudamiento para la vigencia de 2011, cumple con los dos indicadores de la Ley 358 de 1997, así.</w:t>
      </w:r>
    </w:p>
    <w:p w:rsidR="007E60D0" w:rsidRDefault="007E60D0">
      <w:pPr>
        <w:jc w:val="both"/>
        <w:rPr>
          <w:szCs w:val="24"/>
          <w:lang w:val="es-ES_tradnl"/>
        </w:rPr>
      </w:pPr>
    </w:p>
    <w:tbl>
      <w:tblPr>
        <w:tblW w:w="0" w:type="auto"/>
        <w:tblInd w:w="70" w:type="dxa"/>
        <w:tblLayout w:type="fixed"/>
        <w:tblCellMar>
          <w:left w:w="70" w:type="dxa"/>
          <w:right w:w="70" w:type="dxa"/>
        </w:tblCellMar>
        <w:tblLook w:val="0000"/>
      </w:tblPr>
      <w:tblGrid>
        <w:gridCol w:w="4019"/>
        <w:gridCol w:w="1584"/>
        <w:gridCol w:w="239"/>
        <w:gridCol w:w="1461"/>
        <w:gridCol w:w="1610"/>
        <w:gridCol w:w="10"/>
      </w:tblGrid>
      <w:tr w:rsidR="007E60D0">
        <w:trPr>
          <w:trHeight w:val="315"/>
        </w:trPr>
        <w:tc>
          <w:tcPr>
            <w:tcW w:w="4019" w:type="dxa"/>
            <w:tcBorders>
              <w:top w:val="single" w:sz="4" w:space="0" w:color="000000"/>
              <w:left w:val="single" w:sz="4" w:space="0" w:color="000000"/>
              <w:bottom w:val="single" w:sz="4" w:space="0" w:color="000000"/>
            </w:tcBorders>
            <w:shd w:val="clear" w:color="auto" w:fill="auto"/>
            <w:vAlign w:val="bottom"/>
          </w:tcPr>
          <w:p w:rsidR="007E60D0" w:rsidRDefault="007E60D0">
            <w:pPr>
              <w:snapToGrid w:val="0"/>
              <w:jc w:val="center"/>
              <w:rPr>
                <w:b/>
                <w:bCs/>
                <w:szCs w:val="24"/>
              </w:rPr>
            </w:pPr>
            <w:r>
              <w:rPr>
                <w:b/>
                <w:bCs/>
                <w:szCs w:val="24"/>
              </w:rPr>
              <w:t>INDICADOR</w:t>
            </w:r>
          </w:p>
        </w:tc>
        <w:tc>
          <w:tcPr>
            <w:tcW w:w="1823" w:type="dxa"/>
            <w:gridSpan w:val="2"/>
            <w:tcBorders>
              <w:top w:val="single" w:sz="4" w:space="0" w:color="000000"/>
              <w:left w:val="single" w:sz="4" w:space="0" w:color="000000"/>
              <w:bottom w:val="single" w:sz="4" w:space="0" w:color="000000"/>
            </w:tcBorders>
            <w:shd w:val="clear" w:color="auto" w:fill="auto"/>
            <w:vAlign w:val="bottom"/>
          </w:tcPr>
          <w:p w:rsidR="007E60D0" w:rsidRDefault="007E60D0">
            <w:pPr>
              <w:snapToGrid w:val="0"/>
              <w:rPr>
                <w:b/>
                <w:bCs/>
                <w:szCs w:val="24"/>
              </w:rPr>
            </w:pPr>
            <w:r>
              <w:rPr>
                <w:b/>
                <w:bCs/>
                <w:szCs w:val="24"/>
              </w:rPr>
              <w:t>RESULTADO</w:t>
            </w:r>
          </w:p>
        </w:tc>
        <w:tc>
          <w:tcPr>
            <w:tcW w:w="1461" w:type="dxa"/>
            <w:tcBorders>
              <w:top w:val="single" w:sz="4" w:space="0" w:color="000000"/>
              <w:left w:val="single" w:sz="4" w:space="0" w:color="000000"/>
              <w:bottom w:val="single" w:sz="4" w:space="0" w:color="000000"/>
            </w:tcBorders>
            <w:shd w:val="clear" w:color="auto" w:fill="auto"/>
            <w:vAlign w:val="bottom"/>
          </w:tcPr>
          <w:p w:rsidR="007E60D0" w:rsidRDefault="007E60D0">
            <w:pPr>
              <w:snapToGrid w:val="0"/>
              <w:rPr>
                <w:b/>
                <w:bCs/>
                <w:szCs w:val="24"/>
              </w:rPr>
            </w:pPr>
            <w:r>
              <w:rPr>
                <w:b/>
                <w:bCs/>
                <w:szCs w:val="24"/>
              </w:rPr>
              <w:t>TOPES</w:t>
            </w:r>
          </w:p>
        </w:tc>
        <w:tc>
          <w:tcPr>
            <w:tcW w:w="1620"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rsidR="007E60D0" w:rsidRDefault="007E60D0">
            <w:pPr>
              <w:snapToGrid w:val="0"/>
              <w:rPr>
                <w:b/>
                <w:bCs/>
                <w:szCs w:val="24"/>
              </w:rPr>
            </w:pPr>
            <w:r>
              <w:rPr>
                <w:b/>
                <w:bCs/>
                <w:szCs w:val="24"/>
              </w:rPr>
              <w:t>SEMAFORO</w:t>
            </w:r>
          </w:p>
        </w:tc>
      </w:tr>
      <w:tr w:rsidR="007E60D0">
        <w:trPr>
          <w:trHeight w:val="300"/>
        </w:trPr>
        <w:tc>
          <w:tcPr>
            <w:tcW w:w="4019" w:type="dxa"/>
            <w:tcBorders>
              <w:left w:val="single" w:sz="4" w:space="0" w:color="000000"/>
              <w:bottom w:val="single" w:sz="4" w:space="0" w:color="000000"/>
            </w:tcBorders>
            <w:shd w:val="clear" w:color="auto" w:fill="auto"/>
            <w:vAlign w:val="bottom"/>
          </w:tcPr>
          <w:p w:rsidR="007E60D0" w:rsidRDefault="007E60D0">
            <w:pPr>
              <w:snapToGrid w:val="0"/>
              <w:rPr>
                <w:szCs w:val="24"/>
              </w:rPr>
            </w:pPr>
            <w:r>
              <w:rPr>
                <w:szCs w:val="24"/>
              </w:rPr>
              <w:t>INTERESES DEUDA/ AHORRO OPERACIONAL</w:t>
            </w:r>
          </w:p>
        </w:tc>
        <w:tc>
          <w:tcPr>
            <w:tcW w:w="1823" w:type="dxa"/>
            <w:gridSpan w:val="2"/>
            <w:tcBorders>
              <w:left w:val="single" w:sz="4" w:space="0" w:color="000000"/>
              <w:bottom w:val="single" w:sz="4" w:space="0" w:color="000000"/>
            </w:tcBorders>
            <w:shd w:val="clear" w:color="auto" w:fill="auto"/>
            <w:vAlign w:val="bottom"/>
          </w:tcPr>
          <w:p w:rsidR="007E60D0" w:rsidRDefault="007E60D0">
            <w:pPr>
              <w:snapToGrid w:val="0"/>
              <w:jc w:val="center"/>
              <w:rPr>
                <w:b/>
                <w:szCs w:val="24"/>
              </w:rPr>
            </w:pPr>
            <w:r>
              <w:rPr>
                <w:b/>
                <w:szCs w:val="24"/>
              </w:rPr>
              <w:t>11,06%</w:t>
            </w:r>
          </w:p>
        </w:tc>
        <w:tc>
          <w:tcPr>
            <w:tcW w:w="1461" w:type="dxa"/>
            <w:tcBorders>
              <w:left w:val="single" w:sz="4" w:space="0" w:color="000000"/>
              <w:bottom w:val="single" w:sz="4" w:space="0" w:color="000000"/>
            </w:tcBorders>
            <w:shd w:val="clear" w:color="auto" w:fill="auto"/>
            <w:vAlign w:val="bottom"/>
          </w:tcPr>
          <w:p w:rsidR="007E60D0" w:rsidRDefault="007E60D0">
            <w:pPr>
              <w:snapToGrid w:val="0"/>
              <w:jc w:val="center"/>
              <w:rPr>
                <w:szCs w:val="24"/>
              </w:rPr>
            </w:pPr>
            <w:r>
              <w:rPr>
                <w:szCs w:val="24"/>
              </w:rPr>
              <w:t>&lt; 40%</w:t>
            </w:r>
          </w:p>
        </w:tc>
        <w:tc>
          <w:tcPr>
            <w:tcW w:w="1620" w:type="dxa"/>
            <w:gridSpan w:val="2"/>
            <w:tcBorders>
              <w:left w:val="single" w:sz="4" w:space="0" w:color="000000"/>
              <w:bottom w:val="single" w:sz="4" w:space="0" w:color="000000"/>
              <w:right w:val="single" w:sz="4" w:space="0" w:color="000000"/>
            </w:tcBorders>
            <w:shd w:val="clear" w:color="auto" w:fill="auto"/>
            <w:vAlign w:val="bottom"/>
          </w:tcPr>
          <w:p w:rsidR="007E60D0" w:rsidRDefault="007E60D0">
            <w:pPr>
              <w:snapToGrid w:val="0"/>
              <w:jc w:val="center"/>
              <w:rPr>
                <w:szCs w:val="24"/>
              </w:rPr>
            </w:pPr>
            <w:r>
              <w:rPr>
                <w:szCs w:val="24"/>
              </w:rPr>
              <w:t>Verde</w:t>
            </w:r>
          </w:p>
        </w:tc>
      </w:tr>
      <w:tr w:rsidR="007E60D0">
        <w:trPr>
          <w:trHeight w:val="300"/>
        </w:trPr>
        <w:tc>
          <w:tcPr>
            <w:tcW w:w="4019" w:type="dxa"/>
            <w:tcBorders>
              <w:left w:val="single" w:sz="4" w:space="0" w:color="000000"/>
              <w:bottom w:val="single" w:sz="4" w:space="0" w:color="000000"/>
            </w:tcBorders>
            <w:shd w:val="clear" w:color="auto" w:fill="auto"/>
            <w:vAlign w:val="bottom"/>
          </w:tcPr>
          <w:p w:rsidR="007E60D0" w:rsidRDefault="007E60D0">
            <w:pPr>
              <w:snapToGrid w:val="0"/>
              <w:rPr>
                <w:szCs w:val="24"/>
              </w:rPr>
            </w:pPr>
            <w:r>
              <w:rPr>
                <w:szCs w:val="24"/>
              </w:rPr>
              <w:t>SALDO DEUDA / INGRESOS CORRIENTES</w:t>
            </w:r>
          </w:p>
        </w:tc>
        <w:tc>
          <w:tcPr>
            <w:tcW w:w="1823" w:type="dxa"/>
            <w:gridSpan w:val="2"/>
            <w:tcBorders>
              <w:left w:val="single" w:sz="4" w:space="0" w:color="000000"/>
              <w:bottom w:val="single" w:sz="4" w:space="0" w:color="000000"/>
            </w:tcBorders>
            <w:shd w:val="clear" w:color="auto" w:fill="auto"/>
            <w:vAlign w:val="bottom"/>
          </w:tcPr>
          <w:p w:rsidR="007E60D0" w:rsidRDefault="007E60D0">
            <w:pPr>
              <w:snapToGrid w:val="0"/>
              <w:jc w:val="center"/>
              <w:rPr>
                <w:b/>
                <w:szCs w:val="24"/>
              </w:rPr>
            </w:pPr>
            <w:r>
              <w:rPr>
                <w:b/>
                <w:szCs w:val="24"/>
              </w:rPr>
              <w:t>33,15%</w:t>
            </w:r>
          </w:p>
        </w:tc>
        <w:tc>
          <w:tcPr>
            <w:tcW w:w="1461" w:type="dxa"/>
            <w:tcBorders>
              <w:left w:val="single" w:sz="4" w:space="0" w:color="000000"/>
              <w:bottom w:val="single" w:sz="4" w:space="0" w:color="000000"/>
            </w:tcBorders>
            <w:shd w:val="clear" w:color="auto" w:fill="auto"/>
            <w:vAlign w:val="bottom"/>
          </w:tcPr>
          <w:p w:rsidR="007E60D0" w:rsidRDefault="007E60D0">
            <w:pPr>
              <w:snapToGrid w:val="0"/>
              <w:jc w:val="center"/>
              <w:rPr>
                <w:szCs w:val="24"/>
              </w:rPr>
            </w:pPr>
            <w:r>
              <w:rPr>
                <w:szCs w:val="24"/>
              </w:rPr>
              <w:t>&lt; 80%</w:t>
            </w:r>
          </w:p>
        </w:tc>
        <w:tc>
          <w:tcPr>
            <w:tcW w:w="1620" w:type="dxa"/>
            <w:gridSpan w:val="2"/>
            <w:tcBorders>
              <w:left w:val="single" w:sz="4" w:space="0" w:color="000000"/>
              <w:bottom w:val="single" w:sz="4" w:space="0" w:color="000000"/>
              <w:right w:val="single" w:sz="4" w:space="0" w:color="000000"/>
            </w:tcBorders>
            <w:shd w:val="clear" w:color="auto" w:fill="auto"/>
            <w:vAlign w:val="bottom"/>
          </w:tcPr>
          <w:p w:rsidR="007E60D0" w:rsidRDefault="007E60D0">
            <w:pPr>
              <w:snapToGrid w:val="0"/>
              <w:jc w:val="center"/>
              <w:rPr>
                <w:szCs w:val="24"/>
              </w:rPr>
            </w:pPr>
            <w:r>
              <w:rPr>
                <w:szCs w:val="24"/>
              </w:rPr>
              <w:t>Verde</w:t>
            </w:r>
          </w:p>
        </w:tc>
      </w:tr>
      <w:tr w:rsidR="007E60D0">
        <w:tblPrEx>
          <w:tblCellMar>
            <w:left w:w="0" w:type="dxa"/>
            <w:right w:w="0" w:type="dxa"/>
          </w:tblCellMar>
        </w:tblPrEx>
        <w:trPr>
          <w:gridAfter w:val="1"/>
          <w:wAfter w:w="10" w:type="dxa"/>
          <w:trHeight w:val="315"/>
        </w:trPr>
        <w:tc>
          <w:tcPr>
            <w:tcW w:w="8913" w:type="dxa"/>
            <w:gridSpan w:val="5"/>
            <w:shd w:val="clear" w:color="auto" w:fill="auto"/>
            <w:vAlign w:val="bottom"/>
          </w:tcPr>
          <w:p w:rsidR="007E60D0" w:rsidRDefault="007E60D0">
            <w:pPr>
              <w:snapToGrid w:val="0"/>
              <w:jc w:val="center"/>
              <w:rPr>
                <w:b/>
                <w:bCs/>
                <w:szCs w:val="24"/>
              </w:rPr>
            </w:pPr>
          </w:p>
          <w:p w:rsidR="007E60D0" w:rsidRDefault="007E60D0">
            <w:pPr>
              <w:jc w:val="center"/>
              <w:rPr>
                <w:b/>
                <w:bCs/>
                <w:szCs w:val="24"/>
              </w:rPr>
            </w:pPr>
          </w:p>
          <w:p w:rsidR="007E60D0" w:rsidRDefault="007E60D0">
            <w:pPr>
              <w:jc w:val="center"/>
              <w:rPr>
                <w:b/>
                <w:bCs/>
                <w:szCs w:val="24"/>
              </w:rPr>
            </w:pPr>
            <w:r>
              <w:rPr>
                <w:b/>
                <w:bCs/>
                <w:szCs w:val="24"/>
              </w:rPr>
              <w:lastRenderedPageBreak/>
              <w:t>CUADRO No. 5</w:t>
            </w:r>
          </w:p>
        </w:tc>
      </w:tr>
      <w:tr w:rsidR="007E60D0">
        <w:tblPrEx>
          <w:tblCellMar>
            <w:left w:w="0" w:type="dxa"/>
            <w:right w:w="0" w:type="dxa"/>
          </w:tblCellMar>
        </w:tblPrEx>
        <w:trPr>
          <w:gridAfter w:val="1"/>
          <w:wAfter w:w="10" w:type="dxa"/>
          <w:trHeight w:val="315"/>
        </w:trPr>
        <w:tc>
          <w:tcPr>
            <w:tcW w:w="8913" w:type="dxa"/>
            <w:gridSpan w:val="5"/>
            <w:shd w:val="clear" w:color="auto" w:fill="auto"/>
            <w:vAlign w:val="bottom"/>
          </w:tcPr>
          <w:p w:rsidR="007E60D0" w:rsidRDefault="007E60D0">
            <w:pPr>
              <w:snapToGrid w:val="0"/>
              <w:jc w:val="center"/>
              <w:rPr>
                <w:b/>
                <w:bCs/>
                <w:szCs w:val="24"/>
              </w:rPr>
            </w:pPr>
            <w:r>
              <w:rPr>
                <w:b/>
                <w:bCs/>
                <w:szCs w:val="24"/>
              </w:rPr>
              <w:lastRenderedPageBreak/>
              <w:t>CAPACIDAD DE ENDEUDAMIENTO</w:t>
            </w:r>
          </w:p>
        </w:tc>
      </w:tr>
      <w:tr w:rsidR="007E60D0">
        <w:tblPrEx>
          <w:tblCellMar>
            <w:left w:w="0" w:type="dxa"/>
            <w:right w:w="0" w:type="dxa"/>
          </w:tblCellMar>
        </w:tblPrEx>
        <w:trPr>
          <w:gridAfter w:val="1"/>
          <w:wAfter w:w="10" w:type="dxa"/>
          <w:trHeight w:val="315"/>
        </w:trPr>
        <w:tc>
          <w:tcPr>
            <w:tcW w:w="8913" w:type="dxa"/>
            <w:gridSpan w:val="5"/>
            <w:shd w:val="clear" w:color="auto" w:fill="auto"/>
            <w:vAlign w:val="bottom"/>
          </w:tcPr>
          <w:p w:rsidR="007E60D0" w:rsidRDefault="007E60D0">
            <w:pPr>
              <w:snapToGrid w:val="0"/>
              <w:jc w:val="center"/>
              <w:rPr>
                <w:b/>
                <w:bCs/>
                <w:szCs w:val="24"/>
              </w:rPr>
            </w:pPr>
            <w:r>
              <w:rPr>
                <w:b/>
                <w:bCs/>
                <w:szCs w:val="24"/>
              </w:rPr>
              <w:t>VIGENCIA 2011</w:t>
            </w:r>
          </w:p>
        </w:tc>
      </w:tr>
      <w:tr w:rsidR="007E60D0">
        <w:trPr>
          <w:trHeight w:val="315"/>
        </w:trPr>
        <w:tc>
          <w:tcPr>
            <w:tcW w:w="5603" w:type="dxa"/>
            <w:gridSpan w:val="2"/>
            <w:tcBorders>
              <w:top w:val="single" w:sz="4" w:space="0" w:color="000000"/>
              <w:left w:val="single" w:sz="4" w:space="0" w:color="000000"/>
              <w:bottom w:val="single" w:sz="4" w:space="0" w:color="000000"/>
            </w:tcBorders>
            <w:shd w:val="clear" w:color="auto" w:fill="auto"/>
            <w:vAlign w:val="bottom"/>
          </w:tcPr>
          <w:p w:rsidR="007E60D0" w:rsidRDefault="007E60D0">
            <w:pPr>
              <w:snapToGrid w:val="0"/>
              <w:rPr>
                <w:b/>
                <w:bCs/>
                <w:szCs w:val="24"/>
              </w:rPr>
            </w:pPr>
            <w:r>
              <w:rPr>
                <w:b/>
                <w:bCs/>
                <w:szCs w:val="24"/>
              </w:rPr>
              <w:t>CONCEPTO</w:t>
            </w:r>
          </w:p>
        </w:tc>
        <w:tc>
          <w:tcPr>
            <w:tcW w:w="3320" w:type="dxa"/>
            <w:gridSpan w:val="4"/>
            <w:tcBorders>
              <w:top w:val="single" w:sz="4" w:space="0" w:color="000000"/>
              <w:left w:val="single" w:sz="4" w:space="0" w:color="000000"/>
              <w:bottom w:val="single" w:sz="4" w:space="0" w:color="000000"/>
              <w:right w:val="single" w:sz="4" w:space="0" w:color="000000"/>
            </w:tcBorders>
            <w:shd w:val="clear" w:color="auto" w:fill="auto"/>
            <w:vAlign w:val="bottom"/>
          </w:tcPr>
          <w:p w:rsidR="007E60D0" w:rsidRDefault="007E60D0">
            <w:pPr>
              <w:snapToGrid w:val="0"/>
              <w:jc w:val="center"/>
              <w:rPr>
                <w:b/>
                <w:bCs/>
                <w:szCs w:val="24"/>
              </w:rPr>
            </w:pPr>
            <w:r>
              <w:rPr>
                <w:b/>
                <w:bCs/>
                <w:szCs w:val="24"/>
              </w:rPr>
              <w:t>AÑO 2011</w:t>
            </w:r>
          </w:p>
        </w:tc>
      </w:tr>
      <w:tr w:rsidR="007E60D0">
        <w:trPr>
          <w:trHeight w:val="300"/>
        </w:trPr>
        <w:tc>
          <w:tcPr>
            <w:tcW w:w="5603" w:type="dxa"/>
            <w:gridSpan w:val="2"/>
            <w:tcBorders>
              <w:left w:val="single" w:sz="4" w:space="0" w:color="000000"/>
              <w:bottom w:val="single" w:sz="4" w:space="0" w:color="000000"/>
            </w:tcBorders>
            <w:shd w:val="clear" w:color="auto" w:fill="auto"/>
            <w:vAlign w:val="bottom"/>
          </w:tcPr>
          <w:p w:rsidR="007E60D0" w:rsidRDefault="007E60D0">
            <w:pPr>
              <w:snapToGrid w:val="0"/>
              <w:rPr>
                <w:szCs w:val="24"/>
              </w:rPr>
            </w:pPr>
            <w:r>
              <w:rPr>
                <w:szCs w:val="24"/>
              </w:rPr>
              <w:t>INGRESOS CORRIENTES</w:t>
            </w:r>
          </w:p>
        </w:tc>
        <w:tc>
          <w:tcPr>
            <w:tcW w:w="3320" w:type="dxa"/>
            <w:gridSpan w:val="4"/>
            <w:tcBorders>
              <w:left w:val="single" w:sz="4" w:space="0" w:color="000000"/>
              <w:bottom w:val="single" w:sz="4" w:space="0" w:color="000000"/>
              <w:right w:val="single" w:sz="4" w:space="0" w:color="000000"/>
            </w:tcBorders>
            <w:shd w:val="clear" w:color="auto" w:fill="auto"/>
            <w:vAlign w:val="bottom"/>
          </w:tcPr>
          <w:p w:rsidR="007E60D0" w:rsidRDefault="007E60D0">
            <w:pPr>
              <w:snapToGrid w:val="0"/>
              <w:jc w:val="center"/>
              <w:rPr>
                <w:rFonts w:eastAsia="Arial Unicode MS"/>
                <w:szCs w:val="24"/>
              </w:rPr>
            </w:pPr>
            <w:r>
              <w:rPr>
                <w:rFonts w:eastAsia="Arial Unicode MS"/>
                <w:szCs w:val="24"/>
              </w:rPr>
              <w:t>16.859</w:t>
            </w:r>
          </w:p>
        </w:tc>
      </w:tr>
      <w:tr w:rsidR="007E60D0">
        <w:trPr>
          <w:trHeight w:val="325"/>
        </w:trPr>
        <w:tc>
          <w:tcPr>
            <w:tcW w:w="5603" w:type="dxa"/>
            <w:gridSpan w:val="2"/>
            <w:tcBorders>
              <w:left w:val="single" w:sz="4" w:space="0" w:color="000000"/>
              <w:bottom w:val="single" w:sz="4" w:space="0" w:color="000000"/>
            </w:tcBorders>
            <w:shd w:val="clear" w:color="auto" w:fill="auto"/>
            <w:vAlign w:val="bottom"/>
          </w:tcPr>
          <w:p w:rsidR="007E60D0" w:rsidRDefault="007E60D0">
            <w:pPr>
              <w:snapToGrid w:val="0"/>
              <w:rPr>
                <w:szCs w:val="24"/>
              </w:rPr>
            </w:pPr>
            <w:r>
              <w:rPr>
                <w:szCs w:val="24"/>
              </w:rPr>
              <w:t>GASTOS DE FUNCIONAMIENTO</w:t>
            </w:r>
          </w:p>
        </w:tc>
        <w:tc>
          <w:tcPr>
            <w:tcW w:w="3320" w:type="dxa"/>
            <w:gridSpan w:val="4"/>
            <w:tcBorders>
              <w:left w:val="single" w:sz="4" w:space="0" w:color="000000"/>
              <w:bottom w:val="single" w:sz="4" w:space="0" w:color="000000"/>
              <w:right w:val="single" w:sz="4" w:space="0" w:color="000000"/>
            </w:tcBorders>
            <w:shd w:val="clear" w:color="auto" w:fill="auto"/>
            <w:vAlign w:val="bottom"/>
          </w:tcPr>
          <w:p w:rsidR="007E60D0" w:rsidRDefault="007E60D0">
            <w:pPr>
              <w:snapToGrid w:val="0"/>
              <w:jc w:val="center"/>
              <w:rPr>
                <w:rFonts w:eastAsia="Arial Unicode MS"/>
                <w:szCs w:val="24"/>
              </w:rPr>
            </w:pPr>
            <w:r>
              <w:rPr>
                <w:rFonts w:eastAsia="Arial Unicode MS"/>
                <w:szCs w:val="24"/>
              </w:rPr>
              <w:t>3.244</w:t>
            </w:r>
          </w:p>
        </w:tc>
      </w:tr>
      <w:tr w:rsidR="007E60D0">
        <w:trPr>
          <w:trHeight w:val="300"/>
        </w:trPr>
        <w:tc>
          <w:tcPr>
            <w:tcW w:w="5603" w:type="dxa"/>
            <w:gridSpan w:val="2"/>
            <w:tcBorders>
              <w:left w:val="single" w:sz="4" w:space="0" w:color="000000"/>
              <w:bottom w:val="single" w:sz="4" w:space="0" w:color="000000"/>
            </w:tcBorders>
            <w:shd w:val="clear" w:color="auto" w:fill="auto"/>
            <w:vAlign w:val="bottom"/>
          </w:tcPr>
          <w:p w:rsidR="007E60D0" w:rsidRDefault="007E60D0">
            <w:pPr>
              <w:snapToGrid w:val="0"/>
              <w:rPr>
                <w:szCs w:val="24"/>
              </w:rPr>
            </w:pPr>
            <w:r>
              <w:rPr>
                <w:szCs w:val="24"/>
              </w:rPr>
              <w:t>GASTOS DE INVERSION</w:t>
            </w:r>
          </w:p>
        </w:tc>
        <w:tc>
          <w:tcPr>
            <w:tcW w:w="3320" w:type="dxa"/>
            <w:gridSpan w:val="4"/>
            <w:tcBorders>
              <w:left w:val="single" w:sz="4" w:space="0" w:color="000000"/>
              <w:bottom w:val="single" w:sz="4" w:space="0" w:color="000000"/>
              <w:right w:val="single" w:sz="4" w:space="0" w:color="000000"/>
            </w:tcBorders>
            <w:shd w:val="clear" w:color="auto" w:fill="auto"/>
            <w:vAlign w:val="bottom"/>
          </w:tcPr>
          <w:p w:rsidR="007E60D0" w:rsidRDefault="007E60D0">
            <w:pPr>
              <w:snapToGrid w:val="0"/>
              <w:jc w:val="center"/>
              <w:rPr>
                <w:rFonts w:eastAsia="Arial Unicode MS"/>
                <w:szCs w:val="24"/>
              </w:rPr>
            </w:pPr>
            <w:r>
              <w:rPr>
                <w:rFonts w:eastAsia="Arial Unicode MS"/>
                <w:szCs w:val="24"/>
              </w:rPr>
              <w:t>23.533</w:t>
            </w:r>
          </w:p>
        </w:tc>
      </w:tr>
      <w:tr w:rsidR="007E60D0">
        <w:trPr>
          <w:trHeight w:val="300"/>
        </w:trPr>
        <w:tc>
          <w:tcPr>
            <w:tcW w:w="5603" w:type="dxa"/>
            <w:gridSpan w:val="2"/>
            <w:tcBorders>
              <w:left w:val="single" w:sz="4" w:space="0" w:color="000000"/>
              <w:bottom w:val="single" w:sz="4" w:space="0" w:color="000000"/>
            </w:tcBorders>
            <w:shd w:val="clear" w:color="auto" w:fill="auto"/>
            <w:vAlign w:val="bottom"/>
          </w:tcPr>
          <w:p w:rsidR="007E60D0" w:rsidRDefault="007E60D0">
            <w:pPr>
              <w:snapToGrid w:val="0"/>
              <w:rPr>
                <w:szCs w:val="24"/>
              </w:rPr>
            </w:pPr>
            <w:r>
              <w:rPr>
                <w:szCs w:val="24"/>
              </w:rPr>
              <w:t>AHORRO OPERACIONAL</w:t>
            </w:r>
          </w:p>
        </w:tc>
        <w:tc>
          <w:tcPr>
            <w:tcW w:w="3320" w:type="dxa"/>
            <w:gridSpan w:val="4"/>
            <w:tcBorders>
              <w:left w:val="single" w:sz="4" w:space="0" w:color="000000"/>
              <w:bottom w:val="single" w:sz="4" w:space="0" w:color="000000"/>
              <w:right w:val="single" w:sz="4" w:space="0" w:color="000000"/>
            </w:tcBorders>
            <w:shd w:val="clear" w:color="auto" w:fill="auto"/>
            <w:vAlign w:val="bottom"/>
          </w:tcPr>
          <w:p w:rsidR="007E60D0" w:rsidRDefault="007E60D0">
            <w:pPr>
              <w:snapToGrid w:val="0"/>
              <w:jc w:val="center"/>
              <w:rPr>
                <w:rFonts w:eastAsia="Arial Unicode MS"/>
                <w:szCs w:val="24"/>
              </w:rPr>
            </w:pPr>
            <w:r>
              <w:rPr>
                <w:rFonts w:eastAsia="Arial Unicode MS"/>
                <w:szCs w:val="24"/>
              </w:rPr>
              <w:t>402</w:t>
            </w:r>
          </w:p>
        </w:tc>
      </w:tr>
      <w:tr w:rsidR="007E60D0">
        <w:tblPrEx>
          <w:tblCellMar>
            <w:left w:w="0" w:type="dxa"/>
            <w:right w:w="0" w:type="dxa"/>
          </w:tblCellMar>
        </w:tblPrEx>
        <w:trPr>
          <w:trHeight w:val="300"/>
        </w:trPr>
        <w:tc>
          <w:tcPr>
            <w:tcW w:w="8923" w:type="dxa"/>
            <w:gridSpan w:val="6"/>
            <w:tcBorders>
              <w:left w:val="single" w:sz="4" w:space="0" w:color="000000"/>
              <w:bottom w:val="single" w:sz="4" w:space="0" w:color="000000"/>
              <w:right w:val="single" w:sz="4" w:space="0" w:color="000000"/>
            </w:tcBorders>
            <w:shd w:val="clear" w:color="auto" w:fill="auto"/>
            <w:vAlign w:val="bottom"/>
          </w:tcPr>
          <w:p w:rsidR="007E60D0" w:rsidRDefault="007E60D0">
            <w:pPr>
              <w:snapToGrid w:val="0"/>
              <w:jc w:val="center"/>
              <w:rPr>
                <w:b/>
                <w:szCs w:val="24"/>
              </w:rPr>
            </w:pPr>
            <w:r>
              <w:rPr>
                <w:b/>
                <w:szCs w:val="24"/>
              </w:rPr>
              <w:t>COMPORTAMIENTO DE LA DEUDA</w:t>
            </w:r>
          </w:p>
        </w:tc>
      </w:tr>
      <w:tr w:rsidR="007E60D0">
        <w:trPr>
          <w:trHeight w:val="300"/>
        </w:trPr>
        <w:tc>
          <w:tcPr>
            <w:tcW w:w="5603" w:type="dxa"/>
            <w:gridSpan w:val="2"/>
            <w:tcBorders>
              <w:left w:val="single" w:sz="4" w:space="0" w:color="000000"/>
              <w:bottom w:val="single" w:sz="4" w:space="0" w:color="000000"/>
            </w:tcBorders>
            <w:shd w:val="clear" w:color="auto" w:fill="auto"/>
            <w:vAlign w:val="bottom"/>
          </w:tcPr>
          <w:p w:rsidR="007E60D0" w:rsidRDefault="007E60D0">
            <w:pPr>
              <w:snapToGrid w:val="0"/>
              <w:rPr>
                <w:szCs w:val="24"/>
              </w:rPr>
            </w:pPr>
            <w:r>
              <w:rPr>
                <w:szCs w:val="24"/>
              </w:rPr>
              <w:t>SALDO DE LA DEUDA DIC 31 DE 2011</w:t>
            </w:r>
          </w:p>
        </w:tc>
        <w:tc>
          <w:tcPr>
            <w:tcW w:w="3320" w:type="dxa"/>
            <w:gridSpan w:val="4"/>
            <w:tcBorders>
              <w:left w:val="single" w:sz="4" w:space="0" w:color="000000"/>
              <w:bottom w:val="single" w:sz="4" w:space="0" w:color="000000"/>
              <w:right w:val="single" w:sz="4" w:space="0" w:color="000000"/>
            </w:tcBorders>
            <w:shd w:val="clear" w:color="auto" w:fill="auto"/>
            <w:vAlign w:val="bottom"/>
          </w:tcPr>
          <w:p w:rsidR="007E60D0" w:rsidRDefault="007E60D0">
            <w:pPr>
              <w:snapToGrid w:val="0"/>
              <w:jc w:val="center"/>
              <w:rPr>
                <w:rFonts w:eastAsia="Arial Unicode MS"/>
                <w:szCs w:val="24"/>
              </w:rPr>
            </w:pPr>
            <w:r>
              <w:rPr>
                <w:rFonts w:eastAsia="Arial Unicode MS"/>
                <w:szCs w:val="24"/>
              </w:rPr>
              <w:t>3872</w:t>
            </w:r>
          </w:p>
        </w:tc>
      </w:tr>
      <w:tr w:rsidR="007E60D0">
        <w:trPr>
          <w:trHeight w:val="300"/>
        </w:trPr>
        <w:tc>
          <w:tcPr>
            <w:tcW w:w="5603" w:type="dxa"/>
            <w:gridSpan w:val="2"/>
            <w:tcBorders>
              <w:left w:val="single" w:sz="4" w:space="0" w:color="000000"/>
              <w:bottom w:val="single" w:sz="4" w:space="0" w:color="000000"/>
            </w:tcBorders>
            <w:shd w:val="clear" w:color="auto" w:fill="auto"/>
            <w:vAlign w:val="bottom"/>
          </w:tcPr>
          <w:p w:rsidR="007E60D0" w:rsidRDefault="007E60D0">
            <w:pPr>
              <w:snapToGrid w:val="0"/>
              <w:rPr>
                <w:szCs w:val="24"/>
              </w:rPr>
            </w:pPr>
            <w:r>
              <w:rPr>
                <w:szCs w:val="24"/>
              </w:rPr>
              <w:t>(+) ABONOS A CAPITAL</w:t>
            </w:r>
          </w:p>
        </w:tc>
        <w:tc>
          <w:tcPr>
            <w:tcW w:w="3320" w:type="dxa"/>
            <w:gridSpan w:val="4"/>
            <w:tcBorders>
              <w:left w:val="single" w:sz="4" w:space="0" w:color="000000"/>
              <w:bottom w:val="single" w:sz="4" w:space="0" w:color="000000"/>
              <w:right w:val="single" w:sz="4" w:space="0" w:color="000000"/>
            </w:tcBorders>
            <w:shd w:val="clear" w:color="auto" w:fill="auto"/>
            <w:vAlign w:val="bottom"/>
          </w:tcPr>
          <w:p w:rsidR="007E60D0" w:rsidRDefault="007E60D0">
            <w:pPr>
              <w:snapToGrid w:val="0"/>
              <w:jc w:val="center"/>
              <w:rPr>
                <w:rFonts w:eastAsia="Arial Unicode MS"/>
                <w:szCs w:val="24"/>
              </w:rPr>
            </w:pPr>
            <w:r>
              <w:rPr>
                <w:rFonts w:eastAsia="Arial Unicode MS"/>
                <w:szCs w:val="24"/>
              </w:rPr>
              <w:t>600</w:t>
            </w:r>
          </w:p>
        </w:tc>
      </w:tr>
      <w:tr w:rsidR="007E60D0">
        <w:trPr>
          <w:trHeight w:val="300"/>
        </w:trPr>
        <w:tc>
          <w:tcPr>
            <w:tcW w:w="5603" w:type="dxa"/>
            <w:gridSpan w:val="2"/>
            <w:tcBorders>
              <w:left w:val="single" w:sz="4" w:space="0" w:color="000000"/>
              <w:bottom w:val="single" w:sz="4" w:space="0" w:color="000000"/>
            </w:tcBorders>
            <w:shd w:val="clear" w:color="auto" w:fill="auto"/>
            <w:vAlign w:val="bottom"/>
          </w:tcPr>
          <w:p w:rsidR="007E60D0" w:rsidRDefault="007E60D0">
            <w:pPr>
              <w:snapToGrid w:val="0"/>
              <w:rPr>
                <w:szCs w:val="24"/>
              </w:rPr>
            </w:pPr>
            <w:r>
              <w:rPr>
                <w:szCs w:val="24"/>
              </w:rPr>
              <w:t>(+) NUEVOS DESEMBOLSOS</w:t>
            </w:r>
          </w:p>
        </w:tc>
        <w:tc>
          <w:tcPr>
            <w:tcW w:w="3320" w:type="dxa"/>
            <w:gridSpan w:val="4"/>
            <w:tcBorders>
              <w:left w:val="single" w:sz="4" w:space="0" w:color="000000"/>
              <w:bottom w:val="single" w:sz="4" w:space="0" w:color="000000"/>
              <w:right w:val="single" w:sz="4" w:space="0" w:color="000000"/>
            </w:tcBorders>
            <w:shd w:val="clear" w:color="auto" w:fill="auto"/>
            <w:vAlign w:val="bottom"/>
          </w:tcPr>
          <w:p w:rsidR="007E60D0" w:rsidRDefault="007E60D0">
            <w:pPr>
              <w:snapToGrid w:val="0"/>
              <w:jc w:val="center"/>
              <w:rPr>
                <w:rFonts w:eastAsia="Arial Unicode MS"/>
                <w:szCs w:val="24"/>
              </w:rPr>
            </w:pPr>
            <w:r>
              <w:rPr>
                <w:rFonts w:eastAsia="Arial Unicode MS"/>
                <w:szCs w:val="24"/>
              </w:rPr>
              <w:t>0</w:t>
            </w:r>
          </w:p>
        </w:tc>
      </w:tr>
      <w:tr w:rsidR="007E60D0">
        <w:trPr>
          <w:trHeight w:val="300"/>
        </w:trPr>
        <w:tc>
          <w:tcPr>
            <w:tcW w:w="5603" w:type="dxa"/>
            <w:gridSpan w:val="2"/>
            <w:tcBorders>
              <w:left w:val="single" w:sz="4" w:space="0" w:color="000000"/>
              <w:bottom w:val="single" w:sz="4" w:space="0" w:color="000000"/>
            </w:tcBorders>
            <w:shd w:val="clear" w:color="auto" w:fill="auto"/>
            <w:vAlign w:val="bottom"/>
          </w:tcPr>
          <w:p w:rsidR="007E60D0" w:rsidRDefault="007E60D0">
            <w:pPr>
              <w:snapToGrid w:val="0"/>
              <w:rPr>
                <w:szCs w:val="24"/>
              </w:rPr>
            </w:pPr>
            <w:r>
              <w:rPr>
                <w:szCs w:val="24"/>
              </w:rPr>
              <w:t>INTERESES CAUSADOS Y PAGADOS</w:t>
            </w:r>
          </w:p>
        </w:tc>
        <w:tc>
          <w:tcPr>
            <w:tcW w:w="3320" w:type="dxa"/>
            <w:gridSpan w:val="4"/>
            <w:tcBorders>
              <w:left w:val="single" w:sz="4" w:space="0" w:color="000000"/>
              <w:bottom w:val="single" w:sz="4" w:space="0" w:color="000000"/>
              <w:right w:val="single" w:sz="4" w:space="0" w:color="000000"/>
            </w:tcBorders>
            <w:shd w:val="clear" w:color="auto" w:fill="auto"/>
            <w:vAlign w:val="bottom"/>
          </w:tcPr>
          <w:p w:rsidR="007E60D0" w:rsidRDefault="007E60D0">
            <w:pPr>
              <w:snapToGrid w:val="0"/>
              <w:jc w:val="center"/>
              <w:rPr>
                <w:rFonts w:eastAsia="Arial Unicode MS"/>
                <w:szCs w:val="24"/>
              </w:rPr>
            </w:pPr>
            <w:r>
              <w:rPr>
                <w:rFonts w:eastAsia="Arial Unicode MS"/>
                <w:szCs w:val="24"/>
              </w:rPr>
              <w:t>333</w:t>
            </w:r>
          </w:p>
        </w:tc>
      </w:tr>
      <w:tr w:rsidR="007E60D0">
        <w:tblPrEx>
          <w:tblCellMar>
            <w:left w:w="0" w:type="dxa"/>
            <w:right w:w="0" w:type="dxa"/>
          </w:tblCellMar>
        </w:tblPrEx>
        <w:trPr>
          <w:trHeight w:val="300"/>
        </w:trPr>
        <w:tc>
          <w:tcPr>
            <w:tcW w:w="8923" w:type="dxa"/>
            <w:gridSpan w:val="6"/>
            <w:tcBorders>
              <w:top w:val="single" w:sz="4" w:space="0" w:color="000000"/>
              <w:left w:val="single" w:sz="4" w:space="0" w:color="000000"/>
              <w:bottom w:val="single" w:sz="4" w:space="0" w:color="000000"/>
              <w:right w:val="single" w:sz="4" w:space="0" w:color="000000"/>
            </w:tcBorders>
            <w:shd w:val="clear" w:color="auto" w:fill="auto"/>
            <w:vAlign w:val="bottom"/>
          </w:tcPr>
          <w:p w:rsidR="007E60D0" w:rsidRDefault="007E60D0">
            <w:pPr>
              <w:snapToGrid w:val="0"/>
              <w:jc w:val="center"/>
              <w:rPr>
                <w:b/>
                <w:szCs w:val="24"/>
              </w:rPr>
            </w:pPr>
            <w:r>
              <w:rPr>
                <w:b/>
                <w:szCs w:val="24"/>
              </w:rPr>
              <w:t>INSTANCIA DE ENDEUDAMIENTO</w:t>
            </w:r>
          </w:p>
        </w:tc>
      </w:tr>
      <w:tr w:rsidR="007E60D0">
        <w:trPr>
          <w:trHeight w:val="300"/>
        </w:trPr>
        <w:tc>
          <w:tcPr>
            <w:tcW w:w="5603" w:type="dxa"/>
            <w:gridSpan w:val="2"/>
            <w:tcBorders>
              <w:left w:val="single" w:sz="4" w:space="0" w:color="000000"/>
            </w:tcBorders>
            <w:shd w:val="clear" w:color="auto" w:fill="auto"/>
            <w:vAlign w:val="bottom"/>
          </w:tcPr>
          <w:p w:rsidR="007E60D0" w:rsidRDefault="007E60D0">
            <w:pPr>
              <w:snapToGrid w:val="0"/>
              <w:rPr>
                <w:szCs w:val="24"/>
              </w:rPr>
            </w:pPr>
            <w:r>
              <w:rPr>
                <w:szCs w:val="24"/>
              </w:rPr>
              <w:t>INTERESES DEUDA/ AHORRO OPERACIONAL</w:t>
            </w:r>
          </w:p>
        </w:tc>
        <w:tc>
          <w:tcPr>
            <w:tcW w:w="3320" w:type="dxa"/>
            <w:gridSpan w:val="4"/>
            <w:tcBorders>
              <w:left w:val="single" w:sz="4" w:space="0" w:color="000000"/>
              <w:right w:val="single" w:sz="4" w:space="0" w:color="000000"/>
            </w:tcBorders>
            <w:shd w:val="clear" w:color="auto" w:fill="auto"/>
            <w:vAlign w:val="bottom"/>
          </w:tcPr>
          <w:p w:rsidR="007E60D0" w:rsidRDefault="007E60D0">
            <w:pPr>
              <w:snapToGrid w:val="0"/>
              <w:jc w:val="center"/>
              <w:rPr>
                <w:rFonts w:eastAsia="Arial Unicode MS"/>
                <w:szCs w:val="24"/>
              </w:rPr>
            </w:pPr>
            <w:r>
              <w:rPr>
                <w:rFonts w:eastAsia="Arial Unicode MS"/>
                <w:szCs w:val="24"/>
              </w:rPr>
              <w:t>11,06%</w:t>
            </w:r>
          </w:p>
        </w:tc>
      </w:tr>
      <w:tr w:rsidR="007E60D0">
        <w:trPr>
          <w:trHeight w:val="300"/>
        </w:trPr>
        <w:tc>
          <w:tcPr>
            <w:tcW w:w="5603" w:type="dxa"/>
            <w:gridSpan w:val="2"/>
            <w:tcBorders>
              <w:left w:val="single" w:sz="4" w:space="0" w:color="000000"/>
              <w:bottom w:val="single" w:sz="4" w:space="0" w:color="000000"/>
            </w:tcBorders>
            <w:shd w:val="clear" w:color="auto" w:fill="auto"/>
            <w:vAlign w:val="bottom"/>
          </w:tcPr>
          <w:p w:rsidR="007E60D0" w:rsidRDefault="007E60D0">
            <w:pPr>
              <w:snapToGrid w:val="0"/>
              <w:rPr>
                <w:szCs w:val="24"/>
              </w:rPr>
            </w:pPr>
            <w:r>
              <w:rPr>
                <w:szCs w:val="24"/>
              </w:rPr>
              <w:t>SALDO DEUDA / INGRESOS CORRIENTES</w:t>
            </w:r>
          </w:p>
        </w:tc>
        <w:tc>
          <w:tcPr>
            <w:tcW w:w="3320" w:type="dxa"/>
            <w:gridSpan w:val="4"/>
            <w:tcBorders>
              <w:left w:val="single" w:sz="4" w:space="0" w:color="000000"/>
              <w:bottom w:val="single" w:sz="4" w:space="0" w:color="000000"/>
              <w:right w:val="single" w:sz="4" w:space="0" w:color="000000"/>
            </w:tcBorders>
            <w:shd w:val="clear" w:color="auto" w:fill="auto"/>
            <w:vAlign w:val="bottom"/>
          </w:tcPr>
          <w:p w:rsidR="007E60D0" w:rsidRDefault="007E60D0">
            <w:pPr>
              <w:snapToGrid w:val="0"/>
              <w:jc w:val="center"/>
              <w:rPr>
                <w:rFonts w:eastAsia="Arial Unicode MS"/>
                <w:szCs w:val="24"/>
              </w:rPr>
            </w:pPr>
            <w:r>
              <w:rPr>
                <w:rFonts w:eastAsia="Arial Unicode MS"/>
                <w:szCs w:val="24"/>
              </w:rPr>
              <w:t>33,15%</w:t>
            </w:r>
          </w:p>
        </w:tc>
      </w:tr>
      <w:tr w:rsidR="007E60D0">
        <w:trPr>
          <w:trHeight w:val="300"/>
        </w:trPr>
        <w:tc>
          <w:tcPr>
            <w:tcW w:w="5603" w:type="dxa"/>
            <w:gridSpan w:val="2"/>
            <w:tcBorders>
              <w:top w:val="single" w:sz="4" w:space="0" w:color="000000"/>
              <w:left w:val="single" w:sz="4" w:space="0" w:color="000000"/>
              <w:bottom w:val="single" w:sz="4" w:space="0" w:color="000000"/>
            </w:tcBorders>
            <w:shd w:val="clear" w:color="auto" w:fill="auto"/>
            <w:vAlign w:val="bottom"/>
          </w:tcPr>
          <w:p w:rsidR="007E60D0" w:rsidRDefault="007E60D0">
            <w:pPr>
              <w:snapToGrid w:val="0"/>
              <w:rPr>
                <w:szCs w:val="24"/>
              </w:rPr>
            </w:pPr>
            <w:r>
              <w:rPr>
                <w:szCs w:val="24"/>
              </w:rPr>
              <w:t>INTERESES DEUDA/ AHORRO OPERACIONAL</w:t>
            </w:r>
          </w:p>
        </w:tc>
        <w:tc>
          <w:tcPr>
            <w:tcW w:w="3320" w:type="dxa"/>
            <w:gridSpan w:val="4"/>
            <w:tcBorders>
              <w:top w:val="single" w:sz="4" w:space="0" w:color="000000"/>
              <w:left w:val="single" w:sz="4" w:space="0" w:color="000000"/>
              <w:bottom w:val="single" w:sz="4" w:space="0" w:color="000000"/>
              <w:right w:val="single" w:sz="4" w:space="0" w:color="000000"/>
            </w:tcBorders>
            <w:shd w:val="clear" w:color="auto" w:fill="auto"/>
            <w:vAlign w:val="bottom"/>
          </w:tcPr>
          <w:p w:rsidR="007E60D0" w:rsidRDefault="007E60D0">
            <w:pPr>
              <w:snapToGrid w:val="0"/>
              <w:jc w:val="center"/>
              <w:rPr>
                <w:rFonts w:eastAsia="Arial Unicode MS"/>
                <w:szCs w:val="24"/>
              </w:rPr>
            </w:pPr>
            <w:r>
              <w:rPr>
                <w:rFonts w:eastAsia="Arial Unicode MS"/>
                <w:szCs w:val="24"/>
              </w:rPr>
              <w:t>VERDE</w:t>
            </w:r>
          </w:p>
        </w:tc>
      </w:tr>
      <w:tr w:rsidR="007E60D0">
        <w:trPr>
          <w:trHeight w:val="300"/>
        </w:trPr>
        <w:tc>
          <w:tcPr>
            <w:tcW w:w="5603" w:type="dxa"/>
            <w:gridSpan w:val="2"/>
            <w:tcBorders>
              <w:top w:val="single" w:sz="4" w:space="0" w:color="000000"/>
              <w:left w:val="single" w:sz="4" w:space="0" w:color="000000"/>
              <w:bottom w:val="single" w:sz="4" w:space="0" w:color="000000"/>
            </w:tcBorders>
            <w:shd w:val="clear" w:color="auto" w:fill="auto"/>
            <w:vAlign w:val="bottom"/>
          </w:tcPr>
          <w:p w:rsidR="007E60D0" w:rsidRDefault="007E60D0">
            <w:pPr>
              <w:snapToGrid w:val="0"/>
              <w:rPr>
                <w:szCs w:val="24"/>
              </w:rPr>
            </w:pPr>
            <w:r>
              <w:rPr>
                <w:szCs w:val="24"/>
              </w:rPr>
              <w:t>SALDO DEUDA / INGRESOS CORRIENTE</w:t>
            </w:r>
          </w:p>
        </w:tc>
        <w:tc>
          <w:tcPr>
            <w:tcW w:w="3320" w:type="dxa"/>
            <w:gridSpan w:val="4"/>
            <w:tcBorders>
              <w:top w:val="single" w:sz="4" w:space="0" w:color="000000"/>
              <w:left w:val="single" w:sz="4" w:space="0" w:color="000000"/>
              <w:bottom w:val="single" w:sz="4" w:space="0" w:color="000000"/>
              <w:right w:val="single" w:sz="4" w:space="0" w:color="000000"/>
            </w:tcBorders>
            <w:shd w:val="clear" w:color="auto" w:fill="auto"/>
            <w:vAlign w:val="bottom"/>
          </w:tcPr>
          <w:p w:rsidR="007E60D0" w:rsidRDefault="007E60D0">
            <w:pPr>
              <w:snapToGrid w:val="0"/>
              <w:jc w:val="center"/>
              <w:rPr>
                <w:rFonts w:eastAsia="Arial Unicode MS"/>
                <w:szCs w:val="24"/>
              </w:rPr>
            </w:pPr>
            <w:r>
              <w:rPr>
                <w:rFonts w:eastAsia="Arial Unicode MS"/>
                <w:szCs w:val="24"/>
              </w:rPr>
              <w:t>VERDE</w:t>
            </w:r>
          </w:p>
        </w:tc>
      </w:tr>
    </w:tbl>
    <w:p w:rsidR="007E60D0" w:rsidRDefault="007E60D0">
      <w:pPr>
        <w:pStyle w:val="Prrafodelista"/>
        <w:ind w:left="720"/>
        <w:jc w:val="both"/>
        <w:rPr>
          <w:rFonts w:ascii="Times New Roman" w:hAnsi="Times New Roman" w:cs="Times New Roman"/>
          <w:b/>
          <w:sz w:val="24"/>
          <w:szCs w:val="24"/>
          <w:lang w:val="es-ES_tradnl"/>
        </w:rPr>
      </w:pPr>
    </w:p>
    <w:p w:rsidR="007E60D0" w:rsidRDefault="007E60D0">
      <w:pPr>
        <w:pStyle w:val="Prrafodelista"/>
        <w:ind w:left="720"/>
        <w:jc w:val="both"/>
        <w:rPr>
          <w:rFonts w:ascii="Times New Roman" w:hAnsi="Times New Roman" w:cs="Times New Roman"/>
          <w:b/>
          <w:sz w:val="24"/>
          <w:szCs w:val="24"/>
          <w:lang w:val="es-ES_tradnl"/>
        </w:rPr>
      </w:pPr>
    </w:p>
    <w:p w:rsidR="007E60D0" w:rsidRDefault="007E60D0">
      <w:pPr>
        <w:pStyle w:val="Prrafodelista"/>
        <w:numPr>
          <w:ilvl w:val="2"/>
          <w:numId w:val="12"/>
        </w:numPr>
        <w:jc w:val="both"/>
        <w:rPr>
          <w:rFonts w:ascii="Times New Roman" w:hAnsi="Times New Roman" w:cs="Times New Roman"/>
          <w:b/>
          <w:sz w:val="24"/>
          <w:szCs w:val="24"/>
          <w:lang w:val="es-ES_tradnl"/>
        </w:rPr>
      </w:pPr>
      <w:r>
        <w:rPr>
          <w:rFonts w:ascii="Times New Roman" w:hAnsi="Times New Roman" w:cs="Times New Roman"/>
          <w:b/>
          <w:sz w:val="24"/>
          <w:szCs w:val="24"/>
          <w:lang w:val="es-ES_tradnl"/>
        </w:rPr>
        <w:t>Financiamiento del Gasto Corriente</w:t>
      </w:r>
    </w:p>
    <w:p w:rsidR="007E60D0" w:rsidRDefault="007E60D0">
      <w:pPr>
        <w:pStyle w:val="Prrafodelista"/>
        <w:jc w:val="both"/>
        <w:rPr>
          <w:rFonts w:ascii="Times New Roman" w:hAnsi="Times New Roman" w:cs="Times New Roman"/>
          <w:b/>
          <w:sz w:val="24"/>
          <w:szCs w:val="24"/>
          <w:lang w:val="es-ES_tradnl"/>
        </w:rPr>
      </w:pPr>
    </w:p>
    <w:p w:rsidR="007E60D0" w:rsidRDefault="007E60D0">
      <w:pPr>
        <w:pStyle w:val="Prrafodelista"/>
        <w:jc w:val="both"/>
        <w:rPr>
          <w:rFonts w:ascii="Times New Roman" w:hAnsi="Times New Roman" w:cs="Times New Roman"/>
          <w:b/>
          <w:sz w:val="24"/>
          <w:szCs w:val="24"/>
          <w:lang w:val="es-ES_tradnl"/>
        </w:rPr>
      </w:pPr>
    </w:p>
    <w:tbl>
      <w:tblPr>
        <w:tblW w:w="0" w:type="auto"/>
        <w:tblInd w:w="70" w:type="dxa"/>
        <w:tblLayout w:type="fixed"/>
        <w:tblCellMar>
          <w:left w:w="70" w:type="dxa"/>
          <w:right w:w="70" w:type="dxa"/>
        </w:tblCellMar>
        <w:tblLook w:val="0000"/>
      </w:tblPr>
      <w:tblGrid>
        <w:gridCol w:w="3485"/>
        <w:gridCol w:w="1265"/>
        <w:gridCol w:w="1235"/>
      </w:tblGrid>
      <w:tr w:rsidR="007E60D0">
        <w:trPr>
          <w:trHeight w:val="315"/>
        </w:trPr>
        <w:tc>
          <w:tcPr>
            <w:tcW w:w="5985" w:type="dxa"/>
            <w:gridSpan w:val="3"/>
            <w:tcBorders>
              <w:top w:val="single" w:sz="8" w:space="0" w:color="000000"/>
              <w:left w:val="single" w:sz="8" w:space="0" w:color="000000"/>
              <w:right w:val="single" w:sz="8"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CUADRO No. 6</w:t>
            </w:r>
          </w:p>
        </w:tc>
      </w:tr>
      <w:tr w:rsidR="007E60D0">
        <w:trPr>
          <w:trHeight w:val="255"/>
        </w:trPr>
        <w:tc>
          <w:tcPr>
            <w:tcW w:w="3485" w:type="dxa"/>
            <w:tcBorders>
              <w:top w:val="single" w:sz="8" w:space="0" w:color="000000"/>
              <w:left w:val="single" w:sz="8" w:space="0" w:color="000000"/>
              <w:bottom w:val="single" w:sz="4"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BALANCE FINANCIERO</w:t>
            </w:r>
          </w:p>
        </w:tc>
        <w:tc>
          <w:tcPr>
            <w:tcW w:w="1265" w:type="dxa"/>
            <w:tcBorders>
              <w:top w:val="single" w:sz="8" w:space="0" w:color="000000"/>
              <w:left w:val="single" w:sz="4" w:space="0" w:color="000000"/>
              <w:bottom w:val="single" w:sz="4" w:space="0" w:color="000000"/>
            </w:tcBorders>
            <w:shd w:val="clear" w:color="auto" w:fill="auto"/>
            <w:vAlign w:val="center"/>
          </w:tcPr>
          <w:p w:rsidR="007E60D0" w:rsidRDefault="007E60D0">
            <w:pPr>
              <w:snapToGrid w:val="0"/>
              <w:jc w:val="center"/>
              <w:rPr>
                <w:b/>
                <w:bCs/>
                <w:color w:val="000000"/>
                <w:szCs w:val="22"/>
              </w:rPr>
            </w:pPr>
          </w:p>
        </w:tc>
        <w:tc>
          <w:tcPr>
            <w:tcW w:w="1235" w:type="dxa"/>
            <w:tcBorders>
              <w:top w:val="single" w:sz="8" w:space="0" w:color="000000"/>
              <w:left w:val="single" w:sz="4" w:space="0" w:color="000000"/>
              <w:bottom w:val="single" w:sz="4" w:space="0" w:color="000000"/>
              <w:right w:val="single" w:sz="8" w:space="0" w:color="000000"/>
            </w:tcBorders>
            <w:shd w:val="clear" w:color="auto" w:fill="auto"/>
            <w:vAlign w:val="center"/>
          </w:tcPr>
          <w:p w:rsidR="007E60D0" w:rsidRDefault="007E60D0">
            <w:pPr>
              <w:snapToGrid w:val="0"/>
              <w:jc w:val="center"/>
              <w:rPr>
                <w:b/>
                <w:bCs/>
                <w:color w:val="000000"/>
                <w:szCs w:val="22"/>
              </w:rPr>
            </w:pPr>
          </w:p>
        </w:tc>
      </w:tr>
      <w:tr w:rsidR="007E60D0">
        <w:trPr>
          <w:trHeight w:val="330"/>
        </w:trPr>
        <w:tc>
          <w:tcPr>
            <w:tcW w:w="3485" w:type="dxa"/>
            <w:tcBorders>
              <w:left w:val="single" w:sz="8" w:space="0" w:color="000000"/>
              <w:bottom w:val="single" w:sz="4"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AÑOS 2009 - 2010</w:t>
            </w:r>
          </w:p>
        </w:tc>
        <w:tc>
          <w:tcPr>
            <w:tcW w:w="1265" w:type="dxa"/>
            <w:tcBorders>
              <w:left w:val="single" w:sz="4" w:space="0" w:color="000000"/>
              <w:bottom w:val="single" w:sz="4" w:space="0" w:color="000000"/>
            </w:tcBorders>
            <w:shd w:val="clear" w:color="auto" w:fill="auto"/>
            <w:vAlign w:val="center"/>
          </w:tcPr>
          <w:p w:rsidR="007E60D0" w:rsidRDefault="007E60D0">
            <w:pPr>
              <w:snapToGrid w:val="0"/>
              <w:jc w:val="center"/>
              <w:rPr>
                <w:b/>
                <w:bCs/>
                <w:color w:val="000000"/>
                <w:szCs w:val="22"/>
              </w:rPr>
            </w:pPr>
          </w:p>
        </w:tc>
        <w:tc>
          <w:tcPr>
            <w:tcW w:w="1235" w:type="dxa"/>
            <w:tcBorders>
              <w:left w:val="single" w:sz="4" w:space="0" w:color="000000"/>
              <w:bottom w:val="single" w:sz="4" w:space="0" w:color="000000"/>
              <w:right w:val="single" w:sz="8" w:space="0" w:color="000000"/>
            </w:tcBorders>
            <w:shd w:val="clear" w:color="auto" w:fill="auto"/>
            <w:vAlign w:val="center"/>
          </w:tcPr>
          <w:p w:rsidR="007E60D0" w:rsidRDefault="007E60D0">
            <w:pPr>
              <w:snapToGrid w:val="0"/>
              <w:jc w:val="center"/>
              <w:rPr>
                <w:b/>
                <w:bCs/>
                <w:color w:val="000000"/>
                <w:szCs w:val="22"/>
              </w:rPr>
            </w:pPr>
          </w:p>
        </w:tc>
      </w:tr>
      <w:tr w:rsidR="007E60D0">
        <w:trPr>
          <w:trHeight w:val="315"/>
        </w:trPr>
        <w:tc>
          <w:tcPr>
            <w:tcW w:w="3485" w:type="dxa"/>
            <w:tcBorders>
              <w:left w:val="single" w:sz="8" w:space="0" w:color="000000"/>
              <w:bottom w:val="single" w:sz="4"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Miles de pesos</w:t>
            </w:r>
          </w:p>
        </w:tc>
        <w:tc>
          <w:tcPr>
            <w:tcW w:w="1265" w:type="dxa"/>
            <w:tcBorders>
              <w:left w:val="single" w:sz="4" w:space="0" w:color="000000"/>
              <w:bottom w:val="single" w:sz="4" w:space="0" w:color="000000"/>
            </w:tcBorders>
            <w:shd w:val="clear" w:color="auto" w:fill="auto"/>
            <w:vAlign w:val="center"/>
          </w:tcPr>
          <w:p w:rsidR="007E60D0" w:rsidRDefault="007E60D0">
            <w:pPr>
              <w:snapToGrid w:val="0"/>
              <w:jc w:val="center"/>
              <w:rPr>
                <w:b/>
                <w:bCs/>
                <w:color w:val="000000"/>
                <w:szCs w:val="22"/>
              </w:rPr>
            </w:pPr>
          </w:p>
        </w:tc>
        <w:tc>
          <w:tcPr>
            <w:tcW w:w="1235" w:type="dxa"/>
            <w:tcBorders>
              <w:left w:val="single" w:sz="4" w:space="0" w:color="000000"/>
              <w:bottom w:val="single" w:sz="4" w:space="0" w:color="000000"/>
              <w:right w:val="single" w:sz="8" w:space="0" w:color="000000"/>
            </w:tcBorders>
            <w:shd w:val="clear" w:color="auto" w:fill="auto"/>
            <w:vAlign w:val="center"/>
          </w:tcPr>
          <w:p w:rsidR="007E60D0" w:rsidRDefault="007E60D0">
            <w:pPr>
              <w:snapToGrid w:val="0"/>
              <w:jc w:val="center"/>
              <w:rPr>
                <w:b/>
                <w:bCs/>
                <w:color w:val="000000"/>
                <w:szCs w:val="22"/>
              </w:rPr>
            </w:pPr>
          </w:p>
        </w:tc>
      </w:tr>
      <w:tr w:rsidR="007E60D0">
        <w:trPr>
          <w:trHeight w:val="270"/>
        </w:trPr>
        <w:tc>
          <w:tcPr>
            <w:tcW w:w="3485" w:type="dxa"/>
            <w:tcBorders>
              <w:left w:val="single" w:sz="8" w:space="0" w:color="000000"/>
              <w:bottom w:val="single" w:sz="8" w:space="0" w:color="000000"/>
            </w:tcBorders>
            <w:shd w:val="clear" w:color="auto" w:fill="auto"/>
            <w:vAlign w:val="center"/>
          </w:tcPr>
          <w:p w:rsidR="007E60D0" w:rsidRDefault="007E60D0">
            <w:pPr>
              <w:snapToGrid w:val="0"/>
              <w:jc w:val="center"/>
              <w:rPr>
                <w:b/>
                <w:bCs/>
                <w:color w:val="000000"/>
                <w:szCs w:val="22"/>
              </w:rPr>
            </w:pPr>
          </w:p>
        </w:tc>
        <w:tc>
          <w:tcPr>
            <w:tcW w:w="1265" w:type="dxa"/>
            <w:tcBorders>
              <w:left w:val="single" w:sz="4" w:space="0" w:color="000000"/>
              <w:bottom w:val="single" w:sz="8"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2009</w:t>
            </w:r>
          </w:p>
        </w:tc>
        <w:tc>
          <w:tcPr>
            <w:tcW w:w="1235" w:type="dxa"/>
            <w:tcBorders>
              <w:left w:val="single" w:sz="4" w:space="0" w:color="000000"/>
              <w:bottom w:val="single" w:sz="8" w:space="0" w:color="000000"/>
              <w:right w:val="single" w:sz="8"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2010</w:t>
            </w:r>
          </w:p>
        </w:tc>
      </w:tr>
      <w:tr w:rsidR="007E60D0">
        <w:trPr>
          <w:trHeight w:val="270"/>
        </w:trPr>
        <w:tc>
          <w:tcPr>
            <w:tcW w:w="3485" w:type="dxa"/>
            <w:tcBorders>
              <w:left w:val="single" w:sz="8" w:space="0" w:color="000000"/>
              <w:bottom w:val="single" w:sz="4"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INGRESOS TOTALES</w:t>
            </w:r>
          </w:p>
        </w:tc>
        <w:tc>
          <w:tcPr>
            <w:tcW w:w="1265" w:type="dxa"/>
            <w:tcBorders>
              <w:left w:val="single" w:sz="8" w:space="0" w:color="000000"/>
              <w:bottom w:val="single" w:sz="4" w:space="0" w:color="000000"/>
            </w:tcBorders>
            <w:shd w:val="clear" w:color="auto" w:fill="auto"/>
            <w:vAlign w:val="center"/>
          </w:tcPr>
          <w:p w:rsidR="007E60D0" w:rsidRDefault="007E60D0">
            <w:pPr>
              <w:snapToGrid w:val="0"/>
              <w:jc w:val="center"/>
              <w:rPr>
                <w:sz w:val="22"/>
                <w:szCs w:val="22"/>
              </w:rPr>
            </w:pPr>
            <w:r>
              <w:rPr>
                <w:sz w:val="22"/>
                <w:szCs w:val="22"/>
              </w:rPr>
              <w:t>28.103</w:t>
            </w:r>
          </w:p>
        </w:tc>
        <w:tc>
          <w:tcPr>
            <w:tcW w:w="1235" w:type="dxa"/>
            <w:tcBorders>
              <w:left w:val="single" w:sz="4" w:space="0" w:color="000000"/>
              <w:bottom w:val="single" w:sz="4" w:space="0" w:color="000000"/>
              <w:right w:val="single" w:sz="8" w:space="0" w:color="000000"/>
            </w:tcBorders>
            <w:shd w:val="clear" w:color="auto" w:fill="auto"/>
            <w:vAlign w:val="center"/>
          </w:tcPr>
          <w:p w:rsidR="007E60D0" w:rsidRDefault="007E60D0">
            <w:pPr>
              <w:snapToGrid w:val="0"/>
              <w:jc w:val="center"/>
              <w:rPr>
                <w:sz w:val="22"/>
                <w:szCs w:val="22"/>
              </w:rPr>
            </w:pPr>
            <w:r>
              <w:rPr>
                <w:sz w:val="22"/>
                <w:szCs w:val="22"/>
              </w:rPr>
              <w:t>31.839</w:t>
            </w:r>
          </w:p>
        </w:tc>
      </w:tr>
      <w:tr w:rsidR="007E60D0">
        <w:trPr>
          <w:trHeight w:val="270"/>
        </w:trPr>
        <w:tc>
          <w:tcPr>
            <w:tcW w:w="3485" w:type="dxa"/>
            <w:tcBorders>
              <w:left w:val="single" w:sz="8" w:space="0" w:color="000000"/>
              <w:bottom w:val="single" w:sz="4"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INGRESOS CORRIENTES</w:t>
            </w:r>
          </w:p>
        </w:tc>
        <w:tc>
          <w:tcPr>
            <w:tcW w:w="1265" w:type="dxa"/>
            <w:tcBorders>
              <w:left w:val="single" w:sz="8" w:space="0" w:color="000000"/>
              <w:bottom w:val="single" w:sz="4" w:space="0" w:color="000000"/>
            </w:tcBorders>
            <w:shd w:val="clear" w:color="auto" w:fill="auto"/>
            <w:vAlign w:val="center"/>
          </w:tcPr>
          <w:p w:rsidR="007E60D0" w:rsidRDefault="007E60D0">
            <w:pPr>
              <w:snapToGrid w:val="0"/>
              <w:jc w:val="center"/>
              <w:rPr>
                <w:sz w:val="22"/>
                <w:szCs w:val="22"/>
              </w:rPr>
            </w:pPr>
            <w:r>
              <w:rPr>
                <w:sz w:val="22"/>
                <w:szCs w:val="22"/>
              </w:rPr>
              <w:t>28.103</w:t>
            </w:r>
          </w:p>
        </w:tc>
        <w:tc>
          <w:tcPr>
            <w:tcW w:w="1235" w:type="dxa"/>
            <w:tcBorders>
              <w:left w:val="single" w:sz="4" w:space="0" w:color="000000"/>
              <w:bottom w:val="single" w:sz="4" w:space="0" w:color="000000"/>
              <w:right w:val="single" w:sz="8" w:space="0" w:color="000000"/>
            </w:tcBorders>
            <w:shd w:val="clear" w:color="auto" w:fill="auto"/>
            <w:vAlign w:val="center"/>
          </w:tcPr>
          <w:p w:rsidR="007E60D0" w:rsidRDefault="007E60D0">
            <w:pPr>
              <w:snapToGrid w:val="0"/>
              <w:jc w:val="center"/>
              <w:rPr>
                <w:sz w:val="22"/>
                <w:szCs w:val="22"/>
              </w:rPr>
            </w:pPr>
            <w:r>
              <w:rPr>
                <w:sz w:val="22"/>
                <w:szCs w:val="22"/>
              </w:rPr>
              <w:t>31.839</w:t>
            </w:r>
          </w:p>
        </w:tc>
      </w:tr>
      <w:tr w:rsidR="007E60D0">
        <w:trPr>
          <w:trHeight w:val="270"/>
        </w:trPr>
        <w:tc>
          <w:tcPr>
            <w:tcW w:w="3485" w:type="dxa"/>
            <w:tcBorders>
              <w:left w:val="single" w:sz="8" w:space="0" w:color="000000"/>
              <w:bottom w:val="single" w:sz="4"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TRIBUTARIOS</w:t>
            </w:r>
          </w:p>
        </w:tc>
        <w:tc>
          <w:tcPr>
            <w:tcW w:w="1265" w:type="dxa"/>
            <w:tcBorders>
              <w:left w:val="single" w:sz="8" w:space="0" w:color="000000"/>
              <w:bottom w:val="single" w:sz="4" w:space="0" w:color="000000"/>
            </w:tcBorders>
            <w:shd w:val="clear" w:color="auto" w:fill="auto"/>
            <w:vAlign w:val="center"/>
          </w:tcPr>
          <w:p w:rsidR="007E60D0" w:rsidRDefault="007E60D0">
            <w:pPr>
              <w:snapToGrid w:val="0"/>
              <w:jc w:val="center"/>
              <w:rPr>
                <w:sz w:val="22"/>
                <w:szCs w:val="22"/>
              </w:rPr>
            </w:pPr>
            <w:r>
              <w:rPr>
                <w:sz w:val="22"/>
                <w:szCs w:val="22"/>
              </w:rPr>
              <w:t>5.260</w:t>
            </w:r>
          </w:p>
        </w:tc>
        <w:tc>
          <w:tcPr>
            <w:tcW w:w="1235" w:type="dxa"/>
            <w:tcBorders>
              <w:left w:val="single" w:sz="4" w:space="0" w:color="000000"/>
              <w:bottom w:val="single" w:sz="4" w:space="0" w:color="000000"/>
              <w:right w:val="single" w:sz="8" w:space="0" w:color="000000"/>
            </w:tcBorders>
            <w:shd w:val="clear" w:color="auto" w:fill="auto"/>
            <w:vAlign w:val="center"/>
          </w:tcPr>
          <w:p w:rsidR="007E60D0" w:rsidRDefault="007E60D0">
            <w:pPr>
              <w:snapToGrid w:val="0"/>
              <w:jc w:val="center"/>
              <w:rPr>
                <w:sz w:val="22"/>
                <w:szCs w:val="22"/>
              </w:rPr>
            </w:pPr>
            <w:r>
              <w:rPr>
                <w:sz w:val="22"/>
                <w:szCs w:val="22"/>
              </w:rPr>
              <w:t>5.229</w:t>
            </w:r>
          </w:p>
        </w:tc>
      </w:tr>
      <w:tr w:rsidR="007E60D0">
        <w:trPr>
          <w:trHeight w:val="270"/>
        </w:trPr>
        <w:tc>
          <w:tcPr>
            <w:tcW w:w="3485" w:type="dxa"/>
            <w:tcBorders>
              <w:left w:val="single" w:sz="8" w:space="0" w:color="000000"/>
              <w:bottom w:val="single" w:sz="4"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NO TRIBUTARIOS</w:t>
            </w:r>
          </w:p>
        </w:tc>
        <w:tc>
          <w:tcPr>
            <w:tcW w:w="1265" w:type="dxa"/>
            <w:tcBorders>
              <w:left w:val="single" w:sz="8" w:space="0" w:color="000000"/>
              <w:bottom w:val="single" w:sz="4" w:space="0" w:color="000000"/>
            </w:tcBorders>
            <w:shd w:val="clear" w:color="auto" w:fill="auto"/>
            <w:vAlign w:val="center"/>
          </w:tcPr>
          <w:p w:rsidR="007E60D0" w:rsidRDefault="007E60D0">
            <w:pPr>
              <w:snapToGrid w:val="0"/>
              <w:jc w:val="center"/>
              <w:rPr>
                <w:sz w:val="22"/>
                <w:szCs w:val="22"/>
              </w:rPr>
            </w:pPr>
            <w:r>
              <w:rPr>
                <w:sz w:val="22"/>
                <w:szCs w:val="22"/>
              </w:rPr>
              <w:t>756</w:t>
            </w:r>
          </w:p>
        </w:tc>
        <w:tc>
          <w:tcPr>
            <w:tcW w:w="1235" w:type="dxa"/>
            <w:tcBorders>
              <w:left w:val="single" w:sz="4" w:space="0" w:color="000000"/>
              <w:bottom w:val="single" w:sz="4" w:space="0" w:color="000000"/>
              <w:right w:val="single" w:sz="8" w:space="0" w:color="000000"/>
            </w:tcBorders>
            <w:shd w:val="clear" w:color="auto" w:fill="auto"/>
            <w:vAlign w:val="center"/>
          </w:tcPr>
          <w:p w:rsidR="007E60D0" w:rsidRDefault="007E60D0">
            <w:pPr>
              <w:snapToGrid w:val="0"/>
              <w:jc w:val="center"/>
              <w:rPr>
                <w:sz w:val="22"/>
                <w:szCs w:val="22"/>
              </w:rPr>
            </w:pPr>
            <w:r>
              <w:rPr>
                <w:sz w:val="22"/>
                <w:szCs w:val="22"/>
              </w:rPr>
              <w:t>417</w:t>
            </w:r>
          </w:p>
        </w:tc>
      </w:tr>
      <w:tr w:rsidR="007E60D0">
        <w:trPr>
          <w:trHeight w:val="315"/>
        </w:trPr>
        <w:tc>
          <w:tcPr>
            <w:tcW w:w="3485" w:type="dxa"/>
            <w:tcBorders>
              <w:left w:val="single" w:sz="8" w:space="0" w:color="000000"/>
              <w:bottom w:val="single" w:sz="4"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TRANSFERENCIAS</w:t>
            </w:r>
          </w:p>
        </w:tc>
        <w:tc>
          <w:tcPr>
            <w:tcW w:w="1265" w:type="dxa"/>
            <w:tcBorders>
              <w:left w:val="single" w:sz="8" w:space="0" w:color="000000"/>
              <w:bottom w:val="single" w:sz="4" w:space="0" w:color="000000"/>
            </w:tcBorders>
            <w:shd w:val="clear" w:color="auto" w:fill="auto"/>
            <w:vAlign w:val="center"/>
          </w:tcPr>
          <w:p w:rsidR="007E60D0" w:rsidRDefault="007E60D0">
            <w:pPr>
              <w:snapToGrid w:val="0"/>
              <w:jc w:val="center"/>
              <w:rPr>
                <w:color w:val="000000"/>
                <w:sz w:val="22"/>
                <w:szCs w:val="22"/>
              </w:rPr>
            </w:pPr>
            <w:r>
              <w:rPr>
                <w:color w:val="000000"/>
                <w:sz w:val="22"/>
                <w:szCs w:val="22"/>
              </w:rPr>
              <w:t>19.043</w:t>
            </w:r>
          </w:p>
        </w:tc>
        <w:tc>
          <w:tcPr>
            <w:tcW w:w="1235" w:type="dxa"/>
            <w:tcBorders>
              <w:left w:val="single" w:sz="4" w:space="0" w:color="000000"/>
              <w:bottom w:val="single" w:sz="4" w:space="0" w:color="000000"/>
              <w:right w:val="single" w:sz="8" w:space="0" w:color="000000"/>
            </w:tcBorders>
            <w:shd w:val="clear" w:color="auto" w:fill="auto"/>
            <w:vAlign w:val="center"/>
          </w:tcPr>
          <w:p w:rsidR="007E60D0" w:rsidRDefault="007E60D0">
            <w:pPr>
              <w:snapToGrid w:val="0"/>
              <w:jc w:val="center"/>
              <w:rPr>
                <w:color w:val="000000"/>
                <w:sz w:val="22"/>
                <w:szCs w:val="22"/>
              </w:rPr>
            </w:pPr>
            <w:r>
              <w:rPr>
                <w:color w:val="000000"/>
                <w:sz w:val="22"/>
                <w:szCs w:val="22"/>
              </w:rPr>
              <w:t>19.461</w:t>
            </w:r>
          </w:p>
        </w:tc>
      </w:tr>
      <w:tr w:rsidR="007E60D0">
        <w:trPr>
          <w:trHeight w:val="255"/>
        </w:trPr>
        <w:tc>
          <w:tcPr>
            <w:tcW w:w="3485" w:type="dxa"/>
            <w:tcBorders>
              <w:left w:val="single" w:sz="8" w:space="0" w:color="000000"/>
              <w:bottom w:val="single" w:sz="4"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GASTOS  TOTALES</w:t>
            </w:r>
          </w:p>
        </w:tc>
        <w:tc>
          <w:tcPr>
            <w:tcW w:w="1265" w:type="dxa"/>
            <w:tcBorders>
              <w:left w:val="single" w:sz="8" w:space="0" w:color="000000"/>
              <w:bottom w:val="single" w:sz="4" w:space="0" w:color="000000"/>
            </w:tcBorders>
            <w:shd w:val="clear" w:color="auto" w:fill="auto"/>
            <w:vAlign w:val="center"/>
          </w:tcPr>
          <w:p w:rsidR="007E60D0" w:rsidRDefault="007E60D0">
            <w:pPr>
              <w:snapToGrid w:val="0"/>
              <w:jc w:val="center"/>
              <w:rPr>
                <w:sz w:val="22"/>
                <w:szCs w:val="22"/>
              </w:rPr>
            </w:pPr>
            <w:r>
              <w:rPr>
                <w:sz w:val="22"/>
                <w:szCs w:val="22"/>
              </w:rPr>
              <w:t>32.886</w:t>
            </w:r>
          </w:p>
        </w:tc>
        <w:tc>
          <w:tcPr>
            <w:tcW w:w="1235" w:type="dxa"/>
            <w:tcBorders>
              <w:left w:val="single" w:sz="4" w:space="0" w:color="000000"/>
              <w:bottom w:val="single" w:sz="4" w:space="0" w:color="000000"/>
              <w:right w:val="single" w:sz="8" w:space="0" w:color="000000"/>
            </w:tcBorders>
            <w:shd w:val="clear" w:color="auto" w:fill="auto"/>
            <w:vAlign w:val="center"/>
          </w:tcPr>
          <w:p w:rsidR="007E60D0" w:rsidRDefault="007E60D0">
            <w:pPr>
              <w:snapToGrid w:val="0"/>
              <w:jc w:val="center"/>
              <w:rPr>
                <w:sz w:val="22"/>
                <w:szCs w:val="22"/>
              </w:rPr>
            </w:pPr>
            <w:r>
              <w:rPr>
                <w:sz w:val="22"/>
                <w:szCs w:val="22"/>
              </w:rPr>
              <w:t>34.817</w:t>
            </w:r>
          </w:p>
        </w:tc>
      </w:tr>
      <w:tr w:rsidR="007E60D0">
        <w:trPr>
          <w:trHeight w:val="255"/>
        </w:trPr>
        <w:tc>
          <w:tcPr>
            <w:tcW w:w="3485" w:type="dxa"/>
            <w:tcBorders>
              <w:left w:val="single" w:sz="8" w:space="0" w:color="000000"/>
              <w:bottom w:val="single" w:sz="4"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GASTOS DE PERSONAL</w:t>
            </w:r>
          </w:p>
        </w:tc>
        <w:tc>
          <w:tcPr>
            <w:tcW w:w="1265" w:type="dxa"/>
            <w:tcBorders>
              <w:left w:val="single" w:sz="8" w:space="0" w:color="000000"/>
              <w:bottom w:val="single" w:sz="4" w:space="0" w:color="000000"/>
            </w:tcBorders>
            <w:shd w:val="clear" w:color="auto" w:fill="auto"/>
            <w:vAlign w:val="center"/>
          </w:tcPr>
          <w:p w:rsidR="007E60D0" w:rsidRDefault="007E60D0">
            <w:pPr>
              <w:snapToGrid w:val="0"/>
              <w:jc w:val="center"/>
              <w:rPr>
                <w:sz w:val="22"/>
                <w:szCs w:val="22"/>
              </w:rPr>
            </w:pPr>
            <w:r>
              <w:rPr>
                <w:sz w:val="22"/>
                <w:szCs w:val="22"/>
              </w:rPr>
              <w:t>1.231</w:t>
            </w:r>
          </w:p>
        </w:tc>
        <w:tc>
          <w:tcPr>
            <w:tcW w:w="1235" w:type="dxa"/>
            <w:tcBorders>
              <w:left w:val="single" w:sz="4" w:space="0" w:color="000000"/>
              <w:bottom w:val="single" w:sz="4" w:space="0" w:color="000000"/>
              <w:right w:val="single" w:sz="8" w:space="0" w:color="000000"/>
            </w:tcBorders>
            <w:shd w:val="clear" w:color="auto" w:fill="auto"/>
            <w:vAlign w:val="center"/>
          </w:tcPr>
          <w:p w:rsidR="007E60D0" w:rsidRDefault="007E60D0">
            <w:pPr>
              <w:snapToGrid w:val="0"/>
              <w:jc w:val="center"/>
              <w:rPr>
                <w:sz w:val="22"/>
                <w:szCs w:val="22"/>
              </w:rPr>
            </w:pPr>
            <w:r>
              <w:rPr>
                <w:sz w:val="22"/>
                <w:szCs w:val="22"/>
              </w:rPr>
              <w:t>1.371</w:t>
            </w:r>
          </w:p>
        </w:tc>
      </w:tr>
      <w:tr w:rsidR="007E60D0">
        <w:trPr>
          <w:trHeight w:val="255"/>
        </w:trPr>
        <w:tc>
          <w:tcPr>
            <w:tcW w:w="3485" w:type="dxa"/>
            <w:tcBorders>
              <w:left w:val="single" w:sz="8" w:space="0" w:color="000000"/>
              <w:bottom w:val="single" w:sz="4"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FUNCIONAMIENTO</w:t>
            </w:r>
          </w:p>
        </w:tc>
        <w:tc>
          <w:tcPr>
            <w:tcW w:w="1265" w:type="dxa"/>
            <w:tcBorders>
              <w:left w:val="single" w:sz="8" w:space="0" w:color="000000"/>
              <w:bottom w:val="single" w:sz="4" w:space="0" w:color="000000"/>
            </w:tcBorders>
            <w:shd w:val="clear" w:color="auto" w:fill="auto"/>
            <w:vAlign w:val="center"/>
          </w:tcPr>
          <w:p w:rsidR="007E60D0" w:rsidRDefault="007E60D0">
            <w:pPr>
              <w:snapToGrid w:val="0"/>
              <w:jc w:val="center"/>
              <w:rPr>
                <w:sz w:val="22"/>
                <w:szCs w:val="22"/>
              </w:rPr>
            </w:pPr>
            <w:r>
              <w:rPr>
                <w:sz w:val="22"/>
                <w:szCs w:val="22"/>
              </w:rPr>
              <w:t>2.234</w:t>
            </w:r>
          </w:p>
        </w:tc>
        <w:tc>
          <w:tcPr>
            <w:tcW w:w="1235" w:type="dxa"/>
            <w:tcBorders>
              <w:left w:val="single" w:sz="4" w:space="0" w:color="000000"/>
              <w:bottom w:val="single" w:sz="4" w:space="0" w:color="000000"/>
              <w:right w:val="single" w:sz="8" w:space="0" w:color="000000"/>
            </w:tcBorders>
            <w:shd w:val="clear" w:color="auto" w:fill="auto"/>
            <w:vAlign w:val="center"/>
          </w:tcPr>
          <w:p w:rsidR="007E60D0" w:rsidRDefault="007E60D0">
            <w:pPr>
              <w:snapToGrid w:val="0"/>
              <w:jc w:val="center"/>
              <w:rPr>
                <w:sz w:val="22"/>
                <w:szCs w:val="22"/>
              </w:rPr>
            </w:pPr>
            <w:r>
              <w:rPr>
                <w:sz w:val="22"/>
                <w:szCs w:val="22"/>
              </w:rPr>
              <w:t>2.364</w:t>
            </w:r>
          </w:p>
        </w:tc>
      </w:tr>
      <w:tr w:rsidR="007E60D0">
        <w:trPr>
          <w:trHeight w:val="240"/>
        </w:trPr>
        <w:tc>
          <w:tcPr>
            <w:tcW w:w="3485" w:type="dxa"/>
            <w:tcBorders>
              <w:left w:val="single" w:sz="8" w:space="0" w:color="000000"/>
              <w:bottom w:val="single" w:sz="4"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SERVICIO DE LA DEUDA</w:t>
            </w:r>
          </w:p>
        </w:tc>
        <w:tc>
          <w:tcPr>
            <w:tcW w:w="1265" w:type="dxa"/>
            <w:tcBorders>
              <w:left w:val="single" w:sz="8" w:space="0" w:color="000000"/>
              <w:bottom w:val="single" w:sz="4" w:space="0" w:color="000000"/>
            </w:tcBorders>
            <w:shd w:val="clear" w:color="auto" w:fill="auto"/>
            <w:vAlign w:val="center"/>
          </w:tcPr>
          <w:p w:rsidR="007E60D0" w:rsidRDefault="007E60D0">
            <w:pPr>
              <w:snapToGrid w:val="0"/>
              <w:jc w:val="center"/>
              <w:rPr>
                <w:sz w:val="22"/>
                <w:szCs w:val="22"/>
              </w:rPr>
            </w:pPr>
            <w:r>
              <w:rPr>
                <w:sz w:val="22"/>
                <w:szCs w:val="22"/>
              </w:rPr>
              <w:t>2.766</w:t>
            </w:r>
          </w:p>
        </w:tc>
        <w:tc>
          <w:tcPr>
            <w:tcW w:w="1235" w:type="dxa"/>
            <w:tcBorders>
              <w:left w:val="single" w:sz="4" w:space="0" w:color="000000"/>
              <w:bottom w:val="single" w:sz="4" w:space="0" w:color="000000"/>
              <w:right w:val="single" w:sz="8" w:space="0" w:color="000000"/>
            </w:tcBorders>
            <w:shd w:val="clear" w:color="auto" w:fill="auto"/>
            <w:vAlign w:val="center"/>
          </w:tcPr>
          <w:p w:rsidR="007E60D0" w:rsidRDefault="007E60D0">
            <w:pPr>
              <w:snapToGrid w:val="0"/>
              <w:jc w:val="center"/>
              <w:rPr>
                <w:sz w:val="22"/>
                <w:szCs w:val="22"/>
              </w:rPr>
            </w:pPr>
            <w:r>
              <w:rPr>
                <w:sz w:val="22"/>
                <w:szCs w:val="22"/>
              </w:rPr>
              <w:t>4.569</w:t>
            </w:r>
          </w:p>
        </w:tc>
      </w:tr>
      <w:tr w:rsidR="007E60D0">
        <w:trPr>
          <w:trHeight w:val="255"/>
        </w:trPr>
        <w:tc>
          <w:tcPr>
            <w:tcW w:w="3485" w:type="dxa"/>
            <w:tcBorders>
              <w:left w:val="single" w:sz="8" w:space="0" w:color="000000"/>
              <w:bottom w:val="single" w:sz="8"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DÉFICIT O AHORRO CORRIENTE</w:t>
            </w:r>
          </w:p>
        </w:tc>
        <w:tc>
          <w:tcPr>
            <w:tcW w:w="1265" w:type="dxa"/>
            <w:tcBorders>
              <w:left w:val="single" w:sz="8" w:space="0" w:color="000000"/>
              <w:bottom w:val="single" w:sz="8" w:space="0" w:color="000000"/>
            </w:tcBorders>
            <w:shd w:val="clear" w:color="auto" w:fill="auto"/>
            <w:vAlign w:val="center"/>
          </w:tcPr>
          <w:p w:rsidR="007E60D0" w:rsidRDefault="007E60D0">
            <w:pPr>
              <w:snapToGrid w:val="0"/>
              <w:jc w:val="center"/>
              <w:rPr>
                <w:sz w:val="22"/>
                <w:szCs w:val="22"/>
              </w:rPr>
            </w:pPr>
            <w:r>
              <w:rPr>
                <w:sz w:val="22"/>
                <w:szCs w:val="22"/>
              </w:rPr>
              <w:t>2.910</w:t>
            </w:r>
          </w:p>
        </w:tc>
        <w:tc>
          <w:tcPr>
            <w:tcW w:w="1235" w:type="dxa"/>
            <w:tcBorders>
              <w:left w:val="single" w:sz="4" w:space="0" w:color="000000"/>
              <w:bottom w:val="single" w:sz="8" w:space="0" w:color="000000"/>
              <w:right w:val="single" w:sz="8" w:space="0" w:color="000000"/>
            </w:tcBorders>
            <w:shd w:val="clear" w:color="auto" w:fill="auto"/>
            <w:vAlign w:val="center"/>
          </w:tcPr>
          <w:p w:rsidR="007E60D0" w:rsidRDefault="007E60D0">
            <w:pPr>
              <w:snapToGrid w:val="0"/>
              <w:jc w:val="center"/>
              <w:rPr>
                <w:sz w:val="22"/>
                <w:szCs w:val="22"/>
              </w:rPr>
            </w:pPr>
            <w:r>
              <w:rPr>
                <w:sz w:val="22"/>
                <w:szCs w:val="22"/>
              </w:rPr>
              <w:t>1.888</w:t>
            </w:r>
          </w:p>
        </w:tc>
      </w:tr>
    </w:tbl>
    <w:p w:rsidR="007E60D0" w:rsidRDefault="007E60D0">
      <w:pPr>
        <w:jc w:val="both"/>
        <w:rPr>
          <w:b/>
          <w:szCs w:val="24"/>
          <w:lang w:val="es-ES_tradnl"/>
        </w:rPr>
      </w:pPr>
    </w:p>
    <w:p w:rsidR="007E60D0" w:rsidRDefault="007E60D0">
      <w:pPr>
        <w:jc w:val="center"/>
        <w:rPr>
          <w:b/>
          <w:szCs w:val="24"/>
          <w:lang w:val="es-ES_tradnl"/>
        </w:rPr>
      </w:pPr>
    </w:p>
    <w:p w:rsidR="007E60D0" w:rsidRDefault="007E60D0">
      <w:pPr>
        <w:jc w:val="center"/>
        <w:rPr>
          <w:b/>
          <w:szCs w:val="24"/>
          <w:lang w:val="es-ES_tradnl"/>
        </w:rPr>
      </w:pPr>
    </w:p>
    <w:p w:rsidR="007E60D0" w:rsidRDefault="007E60D0">
      <w:pPr>
        <w:jc w:val="center"/>
        <w:rPr>
          <w:b/>
          <w:szCs w:val="24"/>
          <w:lang w:val="es-ES_tradnl"/>
        </w:rPr>
      </w:pPr>
      <w:r>
        <w:rPr>
          <w:b/>
          <w:szCs w:val="24"/>
          <w:lang w:val="es-ES_tradnl"/>
        </w:rPr>
        <w:t>Gráfico No. 6</w:t>
      </w:r>
    </w:p>
    <w:p w:rsidR="007E60D0" w:rsidRDefault="007E60D0">
      <w:pPr>
        <w:jc w:val="center"/>
        <w:rPr>
          <w:b/>
          <w:szCs w:val="24"/>
          <w:lang w:val="es-ES_tradnl"/>
        </w:rPr>
      </w:pPr>
      <w:r>
        <w:rPr>
          <w:b/>
          <w:szCs w:val="24"/>
          <w:lang w:val="es-ES_tradnl"/>
        </w:rPr>
        <w:t>Balance Financiero</w:t>
      </w:r>
    </w:p>
    <w:p w:rsidR="007E60D0" w:rsidRDefault="007E60D0">
      <w:pPr>
        <w:jc w:val="center"/>
        <w:rPr>
          <w:b/>
          <w:szCs w:val="24"/>
          <w:lang w:val="es-CO"/>
        </w:rPr>
      </w:pPr>
    </w:p>
    <w:p w:rsidR="007E60D0" w:rsidRDefault="00944E93">
      <w:pPr>
        <w:jc w:val="center"/>
        <w:rPr>
          <w:b/>
          <w:szCs w:val="24"/>
          <w:lang w:val="es-CO"/>
        </w:rPr>
      </w:pPr>
      <w:r>
        <w:rPr>
          <w:b/>
          <w:noProof/>
          <w:szCs w:val="24"/>
          <w:lang w:val="es-CO" w:eastAsia="es-CO"/>
        </w:rPr>
        <w:drawing>
          <wp:inline distT="0" distB="0" distL="0" distR="0">
            <wp:extent cx="4591050" cy="2752725"/>
            <wp:effectExtent l="1905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srcRect/>
                    <a:stretch>
                      <a:fillRect/>
                    </a:stretch>
                  </pic:blipFill>
                  <pic:spPr bwMode="auto">
                    <a:xfrm>
                      <a:off x="0" y="0"/>
                      <a:ext cx="4591050" cy="2752725"/>
                    </a:xfrm>
                    <a:prstGeom prst="rect">
                      <a:avLst/>
                    </a:prstGeom>
                    <a:solidFill>
                      <a:srgbClr val="FFFFFF"/>
                    </a:solidFill>
                    <a:ln w="9525">
                      <a:noFill/>
                      <a:miter lim="800000"/>
                      <a:headEnd/>
                      <a:tailEnd/>
                    </a:ln>
                  </pic:spPr>
                </pic:pic>
              </a:graphicData>
            </a:graphic>
          </wp:inline>
        </w:drawing>
      </w:r>
    </w:p>
    <w:p w:rsidR="007E60D0" w:rsidRDefault="007E60D0">
      <w:pPr>
        <w:jc w:val="center"/>
        <w:rPr>
          <w:b/>
          <w:szCs w:val="24"/>
          <w:lang w:val="es-CO"/>
        </w:rPr>
      </w:pPr>
    </w:p>
    <w:p w:rsidR="007E60D0" w:rsidRDefault="007E60D0">
      <w:pPr>
        <w:jc w:val="center"/>
        <w:rPr>
          <w:b/>
          <w:szCs w:val="24"/>
          <w:lang w:val="es-CO"/>
        </w:rPr>
      </w:pPr>
    </w:p>
    <w:p w:rsidR="007E60D0" w:rsidRDefault="007E60D0">
      <w:pPr>
        <w:pStyle w:val="Prrafodelista"/>
        <w:numPr>
          <w:ilvl w:val="2"/>
          <w:numId w:val="12"/>
        </w:numPr>
        <w:jc w:val="both"/>
        <w:rPr>
          <w:rFonts w:ascii="Times New Roman" w:hAnsi="Times New Roman" w:cs="Times New Roman"/>
          <w:b/>
          <w:sz w:val="24"/>
          <w:szCs w:val="24"/>
          <w:lang w:val="es-ES_tradnl"/>
        </w:rPr>
      </w:pPr>
      <w:r>
        <w:rPr>
          <w:rFonts w:ascii="Times New Roman" w:hAnsi="Times New Roman" w:cs="Times New Roman"/>
          <w:b/>
          <w:sz w:val="24"/>
          <w:szCs w:val="24"/>
          <w:lang w:val="es-ES_tradnl"/>
        </w:rPr>
        <w:t>Análisis del cumplimiento de la Ley 617 de 2000</w:t>
      </w:r>
    </w:p>
    <w:p w:rsidR="007E60D0" w:rsidRDefault="007E60D0">
      <w:pPr>
        <w:jc w:val="both"/>
        <w:rPr>
          <w:b/>
          <w:szCs w:val="24"/>
          <w:lang w:val="es-ES_tradnl"/>
        </w:rPr>
      </w:pPr>
    </w:p>
    <w:p w:rsidR="007E60D0" w:rsidRDefault="007E60D0">
      <w:pPr>
        <w:jc w:val="both"/>
        <w:rPr>
          <w:szCs w:val="24"/>
          <w:lang w:val="es-ES_tradnl"/>
        </w:rPr>
      </w:pPr>
      <w:r>
        <w:rPr>
          <w:szCs w:val="24"/>
          <w:lang w:val="es-ES_tradnl"/>
        </w:rPr>
        <w:t xml:space="preserve">El cálculo de los indicadores de la ley 617 de 2000, durante las vigencias 2008, 2009 y 2010, están consignado en el siguiente cuadro: </w:t>
      </w:r>
    </w:p>
    <w:p w:rsidR="007E60D0" w:rsidRDefault="007E60D0">
      <w:pPr>
        <w:jc w:val="both"/>
        <w:rPr>
          <w:szCs w:val="24"/>
          <w:lang w:val="es-ES_tradnl"/>
        </w:rPr>
      </w:pPr>
    </w:p>
    <w:p w:rsidR="007E60D0" w:rsidRDefault="007E60D0">
      <w:pPr>
        <w:jc w:val="both"/>
        <w:rPr>
          <w:szCs w:val="24"/>
          <w:lang w:val="es-ES_tradnl"/>
        </w:rPr>
      </w:pPr>
    </w:p>
    <w:tbl>
      <w:tblPr>
        <w:tblW w:w="0" w:type="auto"/>
        <w:tblInd w:w="70" w:type="dxa"/>
        <w:tblLayout w:type="fixed"/>
        <w:tblCellMar>
          <w:left w:w="70" w:type="dxa"/>
          <w:right w:w="70" w:type="dxa"/>
        </w:tblCellMar>
        <w:tblLook w:val="0000"/>
      </w:tblPr>
      <w:tblGrid>
        <w:gridCol w:w="2243"/>
        <w:gridCol w:w="1308"/>
        <w:gridCol w:w="1301"/>
        <w:gridCol w:w="1308"/>
        <w:gridCol w:w="20"/>
      </w:tblGrid>
      <w:tr w:rsidR="007E60D0">
        <w:trPr>
          <w:gridAfter w:val="1"/>
          <w:wAfter w:w="20" w:type="dxa"/>
          <w:trHeight w:val="270"/>
        </w:trPr>
        <w:tc>
          <w:tcPr>
            <w:tcW w:w="6160" w:type="dxa"/>
            <w:gridSpan w:val="4"/>
            <w:shd w:val="clear" w:color="auto" w:fill="auto"/>
            <w:vAlign w:val="center"/>
          </w:tcPr>
          <w:p w:rsidR="007E60D0" w:rsidRDefault="007E60D0">
            <w:pPr>
              <w:snapToGrid w:val="0"/>
              <w:jc w:val="center"/>
              <w:rPr>
                <w:b/>
                <w:bCs/>
                <w:color w:val="000000"/>
                <w:sz w:val="22"/>
                <w:szCs w:val="22"/>
              </w:rPr>
            </w:pPr>
            <w:r>
              <w:rPr>
                <w:b/>
                <w:bCs/>
                <w:color w:val="000000"/>
                <w:sz w:val="22"/>
                <w:szCs w:val="22"/>
              </w:rPr>
              <w:t>CUADRO No. 7</w:t>
            </w:r>
          </w:p>
        </w:tc>
      </w:tr>
      <w:tr w:rsidR="007E60D0">
        <w:trPr>
          <w:gridAfter w:val="1"/>
          <w:wAfter w:w="20" w:type="dxa"/>
          <w:trHeight w:val="270"/>
        </w:trPr>
        <w:tc>
          <w:tcPr>
            <w:tcW w:w="6160" w:type="dxa"/>
            <w:gridSpan w:val="4"/>
            <w:shd w:val="clear" w:color="auto" w:fill="auto"/>
            <w:vAlign w:val="center"/>
          </w:tcPr>
          <w:p w:rsidR="007E60D0" w:rsidRDefault="007E60D0">
            <w:pPr>
              <w:snapToGrid w:val="0"/>
              <w:jc w:val="center"/>
              <w:rPr>
                <w:b/>
                <w:bCs/>
                <w:color w:val="000000"/>
                <w:sz w:val="22"/>
                <w:szCs w:val="22"/>
              </w:rPr>
            </w:pPr>
            <w:r>
              <w:rPr>
                <w:b/>
                <w:bCs/>
                <w:color w:val="000000"/>
                <w:sz w:val="22"/>
                <w:szCs w:val="22"/>
              </w:rPr>
              <w:t>COMPARATIVO INDICADORES LEY 617 DE 2000</w:t>
            </w:r>
          </w:p>
        </w:tc>
      </w:tr>
      <w:tr w:rsidR="007E60D0">
        <w:trPr>
          <w:gridAfter w:val="1"/>
          <w:wAfter w:w="20" w:type="dxa"/>
          <w:trHeight w:val="270"/>
        </w:trPr>
        <w:tc>
          <w:tcPr>
            <w:tcW w:w="6160" w:type="dxa"/>
            <w:gridSpan w:val="4"/>
            <w:tcBorders>
              <w:bottom w:val="single" w:sz="8" w:space="0" w:color="000000"/>
            </w:tcBorders>
            <w:shd w:val="clear" w:color="auto" w:fill="auto"/>
            <w:vAlign w:val="center"/>
          </w:tcPr>
          <w:p w:rsidR="007E60D0" w:rsidRDefault="007E60D0">
            <w:pPr>
              <w:snapToGrid w:val="0"/>
              <w:jc w:val="center"/>
              <w:rPr>
                <w:color w:val="000000"/>
                <w:sz w:val="22"/>
                <w:szCs w:val="22"/>
              </w:rPr>
            </w:pPr>
            <w:r>
              <w:rPr>
                <w:color w:val="000000"/>
                <w:sz w:val="22"/>
                <w:szCs w:val="22"/>
              </w:rPr>
              <w:t>(en miles de millones)</w:t>
            </w:r>
          </w:p>
        </w:tc>
      </w:tr>
      <w:tr w:rsidR="007E60D0">
        <w:trPr>
          <w:trHeight w:val="270"/>
        </w:trPr>
        <w:tc>
          <w:tcPr>
            <w:tcW w:w="2243" w:type="dxa"/>
            <w:tcBorders>
              <w:left w:val="single" w:sz="8" w:space="0" w:color="000000"/>
              <w:bottom w:val="single" w:sz="8" w:space="0" w:color="000000"/>
            </w:tcBorders>
            <w:shd w:val="clear" w:color="auto" w:fill="auto"/>
            <w:vAlign w:val="center"/>
          </w:tcPr>
          <w:p w:rsidR="007E60D0" w:rsidRDefault="007E60D0">
            <w:pPr>
              <w:snapToGrid w:val="0"/>
              <w:jc w:val="center"/>
              <w:rPr>
                <w:b/>
                <w:bCs/>
                <w:color w:val="000000"/>
                <w:szCs w:val="22"/>
              </w:rPr>
            </w:pPr>
          </w:p>
        </w:tc>
        <w:tc>
          <w:tcPr>
            <w:tcW w:w="1308" w:type="dxa"/>
            <w:tcBorders>
              <w:left w:val="single" w:sz="8" w:space="0" w:color="000000"/>
              <w:bottom w:val="single" w:sz="8"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2008</w:t>
            </w:r>
          </w:p>
        </w:tc>
        <w:tc>
          <w:tcPr>
            <w:tcW w:w="1301" w:type="dxa"/>
            <w:tcBorders>
              <w:left w:val="single" w:sz="8" w:space="0" w:color="000000"/>
              <w:bottom w:val="single" w:sz="8"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2009</w:t>
            </w:r>
          </w:p>
        </w:tc>
        <w:tc>
          <w:tcPr>
            <w:tcW w:w="1328" w:type="dxa"/>
            <w:gridSpan w:val="2"/>
            <w:tcBorders>
              <w:left w:val="single" w:sz="8" w:space="0" w:color="000000"/>
              <w:bottom w:val="single" w:sz="8" w:space="0" w:color="000000"/>
              <w:right w:val="single" w:sz="8"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2010</w:t>
            </w:r>
          </w:p>
        </w:tc>
      </w:tr>
      <w:tr w:rsidR="007E60D0">
        <w:trPr>
          <w:trHeight w:val="276"/>
        </w:trPr>
        <w:tc>
          <w:tcPr>
            <w:tcW w:w="2243" w:type="dxa"/>
            <w:vMerge w:val="restart"/>
            <w:tcBorders>
              <w:left w:val="single" w:sz="8" w:space="0" w:color="000000"/>
              <w:bottom w:val="single" w:sz="8"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TOTAL INGRESOS</w:t>
            </w:r>
          </w:p>
        </w:tc>
        <w:tc>
          <w:tcPr>
            <w:tcW w:w="1308" w:type="dxa"/>
            <w:vMerge w:val="restart"/>
            <w:tcBorders>
              <w:left w:val="single" w:sz="8" w:space="0" w:color="000000"/>
              <w:bottom w:val="single" w:sz="8" w:space="0" w:color="000000"/>
            </w:tcBorders>
            <w:shd w:val="clear" w:color="auto" w:fill="auto"/>
            <w:vAlign w:val="center"/>
          </w:tcPr>
          <w:p w:rsidR="007E60D0" w:rsidRDefault="007E60D0">
            <w:pPr>
              <w:snapToGrid w:val="0"/>
              <w:jc w:val="center"/>
              <w:rPr>
                <w:sz w:val="22"/>
                <w:szCs w:val="22"/>
              </w:rPr>
            </w:pPr>
            <w:r>
              <w:rPr>
                <w:sz w:val="22"/>
                <w:szCs w:val="22"/>
              </w:rPr>
              <w:t>33.965</w:t>
            </w:r>
          </w:p>
        </w:tc>
        <w:tc>
          <w:tcPr>
            <w:tcW w:w="1301" w:type="dxa"/>
            <w:vMerge w:val="restart"/>
            <w:tcBorders>
              <w:left w:val="single" w:sz="4" w:space="0" w:color="000000"/>
              <w:bottom w:val="single" w:sz="8" w:space="0" w:color="000000"/>
            </w:tcBorders>
            <w:shd w:val="clear" w:color="auto" w:fill="auto"/>
            <w:vAlign w:val="center"/>
          </w:tcPr>
          <w:p w:rsidR="007E60D0" w:rsidRDefault="007E60D0">
            <w:pPr>
              <w:snapToGrid w:val="0"/>
              <w:jc w:val="center"/>
              <w:rPr>
                <w:sz w:val="22"/>
                <w:szCs w:val="22"/>
              </w:rPr>
            </w:pPr>
            <w:r>
              <w:rPr>
                <w:sz w:val="22"/>
                <w:szCs w:val="22"/>
              </w:rPr>
              <w:t>28.103</w:t>
            </w:r>
          </w:p>
        </w:tc>
        <w:tc>
          <w:tcPr>
            <w:tcW w:w="1328" w:type="dxa"/>
            <w:gridSpan w:val="2"/>
            <w:vMerge w:val="restart"/>
            <w:tcBorders>
              <w:left w:val="single" w:sz="4" w:space="0" w:color="000000"/>
              <w:bottom w:val="single" w:sz="8" w:space="0" w:color="000000"/>
              <w:right w:val="single" w:sz="8" w:space="0" w:color="000000"/>
            </w:tcBorders>
            <w:shd w:val="clear" w:color="auto" w:fill="auto"/>
            <w:vAlign w:val="center"/>
          </w:tcPr>
          <w:p w:rsidR="007E60D0" w:rsidRDefault="007E60D0">
            <w:pPr>
              <w:snapToGrid w:val="0"/>
              <w:jc w:val="center"/>
              <w:rPr>
                <w:sz w:val="22"/>
                <w:szCs w:val="22"/>
              </w:rPr>
            </w:pPr>
            <w:r>
              <w:rPr>
                <w:sz w:val="22"/>
                <w:szCs w:val="22"/>
              </w:rPr>
              <w:t>31.839</w:t>
            </w:r>
          </w:p>
        </w:tc>
      </w:tr>
      <w:tr w:rsidR="007E60D0">
        <w:trPr>
          <w:trHeight w:val="315"/>
        </w:trPr>
        <w:tc>
          <w:tcPr>
            <w:tcW w:w="2243" w:type="dxa"/>
            <w:vMerge/>
            <w:tcBorders>
              <w:left w:val="single" w:sz="8" w:space="0" w:color="000000"/>
              <w:bottom w:val="single" w:sz="8" w:space="0" w:color="000000"/>
            </w:tcBorders>
            <w:shd w:val="clear" w:color="auto" w:fill="auto"/>
            <w:vAlign w:val="center"/>
          </w:tcPr>
          <w:p w:rsidR="007E60D0" w:rsidRDefault="007E60D0">
            <w:pPr>
              <w:snapToGrid w:val="0"/>
              <w:jc w:val="center"/>
              <w:rPr>
                <w:b/>
                <w:bCs/>
                <w:color w:val="000000"/>
                <w:szCs w:val="22"/>
              </w:rPr>
            </w:pPr>
          </w:p>
        </w:tc>
        <w:tc>
          <w:tcPr>
            <w:tcW w:w="1308" w:type="dxa"/>
            <w:vMerge/>
            <w:tcBorders>
              <w:left w:val="single" w:sz="8" w:space="0" w:color="000000"/>
              <w:bottom w:val="single" w:sz="8" w:space="0" w:color="000000"/>
            </w:tcBorders>
            <w:shd w:val="clear" w:color="auto" w:fill="auto"/>
            <w:vAlign w:val="center"/>
          </w:tcPr>
          <w:p w:rsidR="007E60D0" w:rsidRDefault="007E60D0">
            <w:pPr>
              <w:snapToGrid w:val="0"/>
              <w:jc w:val="center"/>
              <w:rPr>
                <w:szCs w:val="22"/>
              </w:rPr>
            </w:pPr>
          </w:p>
        </w:tc>
        <w:tc>
          <w:tcPr>
            <w:tcW w:w="1301" w:type="dxa"/>
            <w:vMerge/>
            <w:tcBorders>
              <w:left w:val="single" w:sz="4" w:space="0" w:color="000000"/>
              <w:bottom w:val="single" w:sz="8" w:space="0" w:color="000000"/>
            </w:tcBorders>
            <w:shd w:val="clear" w:color="auto" w:fill="auto"/>
            <w:vAlign w:val="center"/>
          </w:tcPr>
          <w:p w:rsidR="007E60D0" w:rsidRDefault="007E60D0">
            <w:pPr>
              <w:snapToGrid w:val="0"/>
              <w:jc w:val="center"/>
              <w:rPr>
                <w:szCs w:val="22"/>
              </w:rPr>
            </w:pPr>
          </w:p>
        </w:tc>
        <w:tc>
          <w:tcPr>
            <w:tcW w:w="1328" w:type="dxa"/>
            <w:gridSpan w:val="2"/>
            <w:vMerge/>
            <w:tcBorders>
              <w:left w:val="single" w:sz="4" w:space="0" w:color="000000"/>
              <w:bottom w:val="single" w:sz="8" w:space="0" w:color="000000"/>
              <w:right w:val="single" w:sz="8" w:space="0" w:color="000000"/>
            </w:tcBorders>
            <w:shd w:val="clear" w:color="auto" w:fill="auto"/>
            <w:vAlign w:val="center"/>
          </w:tcPr>
          <w:p w:rsidR="007E60D0" w:rsidRDefault="007E60D0">
            <w:pPr>
              <w:snapToGrid w:val="0"/>
              <w:jc w:val="center"/>
              <w:rPr>
                <w:szCs w:val="22"/>
              </w:rPr>
            </w:pPr>
          </w:p>
        </w:tc>
      </w:tr>
      <w:tr w:rsidR="007E60D0">
        <w:trPr>
          <w:trHeight w:val="255"/>
        </w:trPr>
        <w:tc>
          <w:tcPr>
            <w:tcW w:w="2243" w:type="dxa"/>
            <w:tcBorders>
              <w:left w:val="single" w:sz="8" w:space="0" w:color="000000"/>
              <w:bottom w:val="single" w:sz="8"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INGRESOS CORRIENTES</w:t>
            </w:r>
          </w:p>
        </w:tc>
        <w:tc>
          <w:tcPr>
            <w:tcW w:w="1308" w:type="dxa"/>
            <w:tcBorders>
              <w:left w:val="single" w:sz="8" w:space="0" w:color="000000"/>
              <w:bottom w:val="single" w:sz="8" w:space="0" w:color="000000"/>
            </w:tcBorders>
            <w:shd w:val="clear" w:color="auto" w:fill="auto"/>
            <w:vAlign w:val="center"/>
          </w:tcPr>
          <w:p w:rsidR="007E60D0" w:rsidRDefault="007E60D0">
            <w:pPr>
              <w:snapToGrid w:val="0"/>
              <w:jc w:val="center"/>
              <w:rPr>
                <w:bCs/>
                <w:color w:val="000000"/>
                <w:sz w:val="22"/>
                <w:szCs w:val="22"/>
              </w:rPr>
            </w:pPr>
            <w:r>
              <w:rPr>
                <w:bCs/>
                <w:color w:val="000000"/>
                <w:sz w:val="22"/>
                <w:szCs w:val="22"/>
              </w:rPr>
              <w:t>4.627</w:t>
            </w:r>
          </w:p>
        </w:tc>
        <w:tc>
          <w:tcPr>
            <w:tcW w:w="1301" w:type="dxa"/>
            <w:tcBorders>
              <w:left w:val="single" w:sz="8" w:space="0" w:color="000000"/>
              <w:bottom w:val="single" w:sz="8" w:space="0" w:color="000000"/>
            </w:tcBorders>
            <w:shd w:val="clear" w:color="auto" w:fill="auto"/>
            <w:vAlign w:val="center"/>
          </w:tcPr>
          <w:p w:rsidR="007E60D0" w:rsidRDefault="007E60D0">
            <w:pPr>
              <w:snapToGrid w:val="0"/>
              <w:jc w:val="center"/>
              <w:rPr>
                <w:bCs/>
                <w:color w:val="000000"/>
                <w:sz w:val="22"/>
                <w:szCs w:val="22"/>
              </w:rPr>
            </w:pPr>
            <w:r>
              <w:rPr>
                <w:bCs/>
                <w:color w:val="000000"/>
                <w:sz w:val="22"/>
                <w:szCs w:val="22"/>
              </w:rPr>
              <w:t>5.260</w:t>
            </w:r>
          </w:p>
        </w:tc>
        <w:tc>
          <w:tcPr>
            <w:tcW w:w="1328" w:type="dxa"/>
            <w:gridSpan w:val="2"/>
            <w:tcBorders>
              <w:left w:val="single" w:sz="8" w:space="0" w:color="000000"/>
              <w:bottom w:val="single" w:sz="8" w:space="0" w:color="000000"/>
              <w:right w:val="single" w:sz="8" w:space="0" w:color="000000"/>
            </w:tcBorders>
            <w:shd w:val="clear" w:color="auto" w:fill="auto"/>
            <w:vAlign w:val="center"/>
          </w:tcPr>
          <w:p w:rsidR="007E60D0" w:rsidRDefault="007E60D0">
            <w:pPr>
              <w:snapToGrid w:val="0"/>
              <w:jc w:val="center"/>
              <w:rPr>
                <w:bCs/>
                <w:color w:val="000000"/>
                <w:sz w:val="22"/>
                <w:szCs w:val="22"/>
              </w:rPr>
            </w:pPr>
            <w:r>
              <w:rPr>
                <w:bCs/>
                <w:color w:val="000000"/>
                <w:sz w:val="22"/>
                <w:szCs w:val="22"/>
              </w:rPr>
              <w:t>5.229</w:t>
            </w:r>
          </w:p>
        </w:tc>
      </w:tr>
      <w:tr w:rsidR="007E60D0">
        <w:trPr>
          <w:trHeight w:val="276"/>
        </w:trPr>
        <w:tc>
          <w:tcPr>
            <w:tcW w:w="2243" w:type="dxa"/>
            <w:vMerge w:val="restart"/>
            <w:tcBorders>
              <w:left w:val="single" w:sz="8" w:space="0" w:color="000000"/>
              <w:bottom w:val="single" w:sz="8"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GASTOS DE FUNCIONAMIENTO</w:t>
            </w:r>
          </w:p>
        </w:tc>
        <w:tc>
          <w:tcPr>
            <w:tcW w:w="1308" w:type="dxa"/>
            <w:vMerge w:val="restart"/>
            <w:tcBorders>
              <w:left w:val="single" w:sz="8" w:space="0" w:color="000000"/>
              <w:bottom w:val="single" w:sz="8" w:space="0" w:color="000000"/>
            </w:tcBorders>
            <w:shd w:val="clear" w:color="auto" w:fill="auto"/>
            <w:vAlign w:val="center"/>
          </w:tcPr>
          <w:p w:rsidR="007E60D0" w:rsidRDefault="007E60D0">
            <w:pPr>
              <w:snapToGrid w:val="0"/>
              <w:jc w:val="center"/>
              <w:rPr>
                <w:sz w:val="22"/>
                <w:szCs w:val="22"/>
              </w:rPr>
            </w:pPr>
            <w:r>
              <w:rPr>
                <w:sz w:val="22"/>
                <w:szCs w:val="22"/>
              </w:rPr>
              <w:t>1.938</w:t>
            </w:r>
          </w:p>
        </w:tc>
        <w:tc>
          <w:tcPr>
            <w:tcW w:w="1301" w:type="dxa"/>
            <w:vMerge w:val="restart"/>
            <w:tcBorders>
              <w:left w:val="single" w:sz="4" w:space="0" w:color="000000"/>
              <w:bottom w:val="single" w:sz="8" w:space="0" w:color="000000"/>
            </w:tcBorders>
            <w:shd w:val="clear" w:color="auto" w:fill="auto"/>
            <w:vAlign w:val="center"/>
          </w:tcPr>
          <w:p w:rsidR="007E60D0" w:rsidRDefault="007E60D0">
            <w:pPr>
              <w:snapToGrid w:val="0"/>
              <w:jc w:val="center"/>
              <w:rPr>
                <w:sz w:val="22"/>
                <w:szCs w:val="22"/>
              </w:rPr>
            </w:pPr>
            <w:r>
              <w:rPr>
                <w:sz w:val="22"/>
                <w:szCs w:val="22"/>
              </w:rPr>
              <w:t>2.234</w:t>
            </w:r>
          </w:p>
        </w:tc>
        <w:tc>
          <w:tcPr>
            <w:tcW w:w="1328" w:type="dxa"/>
            <w:gridSpan w:val="2"/>
            <w:vMerge w:val="restart"/>
            <w:tcBorders>
              <w:left w:val="single" w:sz="4" w:space="0" w:color="000000"/>
              <w:bottom w:val="single" w:sz="8" w:space="0" w:color="000000"/>
              <w:right w:val="single" w:sz="8" w:space="0" w:color="000000"/>
            </w:tcBorders>
            <w:shd w:val="clear" w:color="auto" w:fill="auto"/>
            <w:vAlign w:val="center"/>
          </w:tcPr>
          <w:p w:rsidR="007E60D0" w:rsidRDefault="007E60D0">
            <w:pPr>
              <w:snapToGrid w:val="0"/>
              <w:jc w:val="center"/>
              <w:rPr>
                <w:sz w:val="22"/>
                <w:szCs w:val="22"/>
              </w:rPr>
            </w:pPr>
            <w:r>
              <w:rPr>
                <w:sz w:val="22"/>
                <w:szCs w:val="22"/>
              </w:rPr>
              <w:t>2.364</w:t>
            </w:r>
          </w:p>
        </w:tc>
      </w:tr>
      <w:tr w:rsidR="007E60D0">
        <w:trPr>
          <w:trHeight w:val="276"/>
        </w:trPr>
        <w:tc>
          <w:tcPr>
            <w:tcW w:w="2243" w:type="dxa"/>
            <w:vMerge/>
            <w:tcBorders>
              <w:left w:val="single" w:sz="8" w:space="0" w:color="000000"/>
              <w:bottom w:val="single" w:sz="8" w:space="0" w:color="000000"/>
            </w:tcBorders>
            <w:shd w:val="clear" w:color="auto" w:fill="auto"/>
            <w:vAlign w:val="center"/>
          </w:tcPr>
          <w:p w:rsidR="007E60D0" w:rsidRDefault="007E60D0">
            <w:pPr>
              <w:snapToGrid w:val="0"/>
              <w:jc w:val="center"/>
              <w:rPr>
                <w:b/>
                <w:bCs/>
                <w:color w:val="000000"/>
                <w:szCs w:val="22"/>
              </w:rPr>
            </w:pPr>
          </w:p>
        </w:tc>
        <w:tc>
          <w:tcPr>
            <w:tcW w:w="1308" w:type="dxa"/>
            <w:vMerge/>
            <w:tcBorders>
              <w:left w:val="single" w:sz="8" w:space="0" w:color="000000"/>
              <w:bottom w:val="single" w:sz="8" w:space="0" w:color="000000"/>
            </w:tcBorders>
            <w:shd w:val="clear" w:color="auto" w:fill="auto"/>
            <w:vAlign w:val="center"/>
          </w:tcPr>
          <w:p w:rsidR="007E60D0" w:rsidRDefault="007E60D0">
            <w:pPr>
              <w:snapToGrid w:val="0"/>
              <w:jc w:val="center"/>
              <w:rPr>
                <w:szCs w:val="22"/>
              </w:rPr>
            </w:pPr>
          </w:p>
        </w:tc>
        <w:tc>
          <w:tcPr>
            <w:tcW w:w="1301" w:type="dxa"/>
            <w:vMerge/>
            <w:tcBorders>
              <w:left w:val="single" w:sz="4" w:space="0" w:color="000000"/>
              <w:bottom w:val="single" w:sz="8" w:space="0" w:color="000000"/>
            </w:tcBorders>
            <w:shd w:val="clear" w:color="auto" w:fill="auto"/>
            <w:vAlign w:val="center"/>
          </w:tcPr>
          <w:p w:rsidR="007E60D0" w:rsidRDefault="007E60D0">
            <w:pPr>
              <w:snapToGrid w:val="0"/>
              <w:jc w:val="center"/>
              <w:rPr>
                <w:szCs w:val="22"/>
              </w:rPr>
            </w:pPr>
          </w:p>
        </w:tc>
        <w:tc>
          <w:tcPr>
            <w:tcW w:w="1328" w:type="dxa"/>
            <w:gridSpan w:val="2"/>
            <w:vMerge/>
            <w:tcBorders>
              <w:left w:val="single" w:sz="4" w:space="0" w:color="000000"/>
              <w:bottom w:val="single" w:sz="8" w:space="0" w:color="000000"/>
              <w:right w:val="single" w:sz="8" w:space="0" w:color="000000"/>
            </w:tcBorders>
            <w:shd w:val="clear" w:color="auto" w:fill="auto"/>
            <w:vAlign w:val="center"/>
          </w:tcPr>
          <w:p w:rsidR="007E60D0" w:rsidRDefault="007E60D0">
            <w:pPr>
              <w:snapToGrid w:val="0"/>
              <w:jc w:val="center"/>
              <w:rPr>
                <w:szCs w:val="22"/>
              </w:rPr>
            </w:pPr>
          </w:p>
        </w:tc>
      </w:tr>
    </w:tbl>
    <w:p w:rsidR="007E60D0" w:rsidRDefault="007E60D0">
      <w:pPr>
        <w:tabs>
          <w:tab w:val="left" w:pos="2160"/>
        </w:tabs>
        <w:jc w:val="center"/>
        <w:rPr>
          <w:b/>
          <w:szCs w:val="24"/>
          <w:lang w:val="es-ES_tradnl"/>
        </w:rPr>
      </w:pPr>
    </w:p>
    <w:p w:rsidR="007E60D0" w:rsidRDefault="007E60D0">
      <w:pPr>
        <w:tabs>
          <w:tab w:val="left" w:pos="2160"/>
        </w:tabs>
        <w:jc w:val="center"/>
        <w:rPr>
          <w:b/>
          <w:szCs w:val="24"/>
          <w:lang w:val="es-ES_tradnl"/>
        </w:rPr>
      </w:pPr>
    </w:p>
    <w:p w:rsidR="007E60D0" w:rsidRDefault="007E60D0">
      <w:pPr>
        <w:tabs>
          <w:tab w:val="left" w:pos="2160"/>
        </w:tabs>
        <w:jc w:val="center"/>
        <w:rPr>
          <w:b/>
          <w:szCs w:val="24"/>
          <w:lang w:val="es-ES_tradnl"/>
        </w:rPr>
      </w:pPr>
    </w:p>
    <w:p w:rsidR="007E60D0" w:rsidRDefault="007E60D0">
      <w:pPr>
        <w:tabs>
          <w:tab w:val="left" w:pos="2160"/>
        </w:tabs>
        <w:jc w:val="center"/>
        <w:rPr>
          <w:b/>
          <w:szCs w:val="24"/>
          <w:lang w:val="es-ES_tradnl"/>
        </w:rPr>
      </w:pPr>
    </w:p>
    <w:p w:rsidR="007E60D0" w:rsidRDefault="007E60D0">
      <w:pPr>
        <w:tabs>
          <w:tab w:val="left" w:pos="2160"/>
        </w:tabs>
        <w:jc w:val="center"/>
        <w:rPr>
          <w:b/>
          <w:szCs w:val="24"/>
          <w:lang w:val="es-ES_tradnl"/>
        </w:rPr>
      </w:pPr>
    </w:p>
    <w:p w:rsidR="007E60D0" w:rsidRDefault="007E60D0">
      <w:pPr>
        <w:tabs>
          <w:tab w:val="left" w:pos="2160"/>
        </w:tabs>
        <w:jc w:val="center"/>
        <w:rPr>
          <w:b/>
          <w:szCs w:val="24"/>
          <w:lang w:val="es-ES_tradnl"/>
        </w:rPr>
      </w:pPr>
    </w:p>
    <w:p w:rsidR="007E60D0" w:rsidRDefault="007E60D0">
      <w:pPr>
        <w:tabs>
          <w:tab w:val="left" w:pos="2160"/>
        </w:tabs>
        <w:jc w:val="center"/>
        <w:rPr>
          <w:b/>
          <w:szCs w:val="24"/>
          <w:lang w:val="es-ES_tradnl"/>
        </w:rPr>
      </w:pPr>
      <w:r>
        <w:rPr>
          <w:b/>
          <w:szCs w:val="24"/>
          <w:lang w:val="es-ES_tradnl"/>
        </w:rPr>
        <w:t>Gráfica No. 7</w:t>
      </w:r>
    </w:p>
    <w:p w:rsidR="007E60D0" w:rsidRDefault="007E60D0">
      <w:pPr>
        <w:tabs>
          <w:tab w:val="left" w:pos="2160"/>
        </w:tabs>
        <w:jc w:val="center"/>
        <w:rPr>
          <w:b/>
          <w:szCs w:val="24"/>
          <w:lang w:val="es-ES_tradnl"/>
        </w:rPr>
      </w:pPr>
      <w:r>
        <w:rPr>
          <w:b/>
          <w:szCs w:val="24"/>
          <w:lang w:val="es-ES_tradnl"/>
        </w:rPr>
        <w:t>Comparativo Indicadores Ley 617 de 2000</w:t>
      </w:r>
    </w:p>
    <w:p w:rsidR="007E60D0" w:rsidRDefault="007E60D0">
      <w:pPr>
        <w:tabs>
          <w:tab w:val="left" w:pos="2160"/>
        </w:tabs>
        <w:jc w:val="center"/>
        <w:rPr>
          <w:szCs w:val="24"/>
          <w:lang w:val="es-CO"/>
        </w:rPr>
      </w:pPr>
    </w:p>
    <w:p w:rsidR="007E60D0" w:rsidRDefault="00944E93">
      <w:pPr>
        <w:tabs>
          <w:tab w:val="left" w:pos="2160"/>
        </w:tabs>
        <w:jc w:val="center"/>
        <w:rPr>
          <w:szCs w:val="24"/>
          <w:lang w:val="es-ES_tradnl"/>
        </w:rPr>
      </w:pPr>
      <w:r>
        <w:rPr>
          <w:noProof/>
          <w:szCs w:val="24"/>
          <w:lang w:val="es-CO" w:eastAsia="es-CO"/>
        </w:rPr>
        <w:drawing>
          <wp:inline distT="0" distB="0" distL="0" distR="0">
            <wp:extent cx="4591050" cy="2752725"/>
            <wp:effectExtent l="1905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srcRect/>
                    <a:stretch>
                      <a:fillRect/>
                    </a:stretch>
                  </pic:blipFill>
                  <pic:spPr bwMode="auto">
                    <a:xfrm>
                      <a:off x="0" y="0"/>
                      <a:ext cx="4591050" cy="2752725"/>
                    </a:xfrm>
                    <a:prstGeom prst="rect">
                      <a:avLst/>
                    </a:prstGeom>
                    <a:solidFill>
                      <a:srgbClr val="FFFFFF"/>
                    </a:solidFill>
                    <a:ln w="9525">
                      <a:noFill/>
                      <a:miter lim="800000"/>
                      <a:headEnd/>
                      <a:tailEnd/>
                    </a:ln>
                  </pic:spPr>
                </pic:pic>
              </a:graphicData>
            </a:graphic>
          </wp:inline>
        </w:drawing>
      </w:r>
    </w:p>
    <w:p w:rsidR="007E60D0" w:rsidRDefault="007E60D0">
      <w:pPr>
        <w:tabs>
          <w:tab w:val="left" w:pos="2160"/>
        </w:tabs>
        <w:jc w:val="center"/>
        <w:rPr>
          <w:szCs w:val="24"/>
          <w:lang w:val="es-ES_tradnl"/>
        </w:rPr>
      </w:pPr>
    </w:p>
    <w:p w:rsidR="007E60D0" w:rsidRDefault="007E60D0">
      <w:pPr>
        <w:tabs>
          <w:tab w:val="left" w:pos="2160"/>
        </w:tabs>
        <w:jc w:val="center"/>
        <w:rPr>
          <w:szCs w:val="24"/>
          <w:lang w:val="es-ES_tradnl"/>
        </w:rPr>
      </w:pPr>
    </w:p>
    <w:p w:rsidR="007E60D0" w:rsidRDefault="007E60D0">
      <w:pPr>
        <w:pStyle w:val="Prrafodelista"/>
        <w:numPr>
          <w:ilvl w:val="1"/>
          <w:numId w:val="12"/>
        </w:numPr>
        <w:jc w:val="both"/>
        <w:rPr>
          <w:rFonts w:ascii="Times New Roman" w:hAnsi="Times New Roman" w:cs="Times New Roman"/>
          <w:b/>
          <w:sz w:val="24"/>
          <w:szCs w:val="24"/>
          <w:lang w:val="es-ES_tradnl"/>
        </w:rPr>
      </w:pPr>
      <w:r>
        <w:rPr>
          <w:rFonts w:ascii="Times New Roman" w:hAnsi="Times New Roman" w:cs="Times New Roman"/>
          <w:b/>
          <w:sz w:val="24"/>
          <w:szCs w:val="24"/>
          <w:lang w:val="es-ES_tradnl"/>
        </w:rPr>
        <w:t>Composición de la deuda pública actual</w:t>
      </w:r>
    </w:p>
    <w:p w:rsidR="007E60D0" w:rsidRDefault="007E60D0">
      <w:pPr>
        <w:jc w:val="both"/>
        <w:rPr>
          <w:b/>
          <w:szCs w:val="24"/>
          <w:lang w:val="es-ES_tradnl"/>
        </w:rPr>
      </w:pPr>
    </w:p>
    <w:p w:rsidR="007E60D0" w:rsidRDefault="007E60D0">
      <w:pPr>
        <w:jc w:val="both"/>
        <w:rPr>
          <w:szCs w:val="24"/>
          <w:lang w:val="es-ES_tradnl"/>
        </w:rPr>
      </w:pPr>
      <w:r>
        <w:rPr>
          <w:szCs w:val="24"/>
          <w:lang w:val="es-ES_tradnl"/>
        </w:rPr>
        <w:t>En la actualidad la deuda pública del municipio corresponde a la siguiente descripción:</w:t>
      </w:r>
    </w:p>
    <w:p w:rsidR="007E60D0" w:rsidRDefault="007E60D0">
      <w:pPr>
        <w:jc w:val="both"/>
        <w:rPr>
          <w:szCs w:val="24"/>
          <w:lang w:val="es-ES_tradnl"/>
        </w:rPr>
      </w:pPr>
      <w:r>
        <w:rPr>
          <w:szCs w:val="24"/>
          <w:lang w:val="es-ES_tradnl"/>
        </w:rPr>
        <w:tab/>
      </w:r>
    </w:p>
    <w:p w:rsidR="007E60D0" w:rsidRDefault="007E60D0">
      <w:pPr>
        <w:jc w:val="both"/>
        <w:rPr>
          <w:szCs w:val="24"/>
          <w:lang w:val="es-ES_tradnl"/>
        </w:rPr>
      </w:pPr>
    </w:p>
    <w:tbl>
      <w:tblPr>
        <w:tblW w:w="0" w:type="auto"/>
        <w:tblInd w:w="-678" w:type="dxa"/>
        <w:tblLayout w:type="fixed"/>
        <w:tblCellMar>
          <w:left w:w="70" w:type="dxa"/>
          <w:right w:w="70" w:type="dxa"/>
        </w:tblCellMar>
        <w:tblLook w:val="0000"/>
      </w:tblPr>
      <w:tblGrid>
        <w:gridCol w:w="2156"/>
        <w:gridCol w:w="1701"/>
        <w:gridCol w:w="1914"/>
        <w:gridCol w:w="2338"/>
        <w:gridCol w:w="2095"/>
        <w:gridCol w:w="20"/>
      </w:tblGrid>
      <w:tr w:rsidR="007E60D0">
        <w:trPr>
          <w:gridAfter w:val="1"/>
          <w:wAfter w:w="20" w:type="dxa"/>
          <w:trHeight w:val="274"/>
        </w:trPr>
        <w:tc>
          <w:tcPr>
            <w:tcW w:w="10204" w:type="dxa"/>
            <w:gridSpan w:val="5"/>
            <w:shd w:val="clear" w:color="auto" w:fill="auto"/>
            <w:vAlign w:val="center"/>
          </w:tcPr>
          <w:p w:rsidR="007E60D0" w:rsidRDefault="007E60D0">
            <w:pPr>
              <w:snapToGrid w:val="0"/>
              <w:jc w:val="center"/>
              <w:rPr>
                <w:b/>
                <w:bCs/>
                <w:color w:val="000000"/>
                <w:sz w:val="22"/>
                <w:szCs w:val="22"/>
                <w:lang w:val="es-CO"/>
              </w:rPr>
            </w:pPr>
            <w:r>
              <w:rPr>
                <w:b/>
                <w:bCs/>
                <w:color w:val="000000"/>
                <w:sz w:val="22"/>
                <w:szCs w:val="22"/>
                <w:lang w:val="es-CO"/>
              </w:rPr>
              <w:t>CUADRO No. 8</w:t>
            </w:r>
          </w:p>
        </w:tc>
      </w:tr>
      <w:tr w:rsidR="007E60D0">
        <w:trPr>
          <w:gridAfter w:val="1"/>
          <w:wAfter w:w="20" w:type="dxa"/>
          <w:trHeight w:val="274"/>
        </w:trPr>
        <w:tc>
          <w:tcPr>
            <w:tcW w:w="10204" w:type="dxa"/>
            <w:gridSpan w:val="5"/>
            <w:shd w:val="clear" w:color="auto" w:fill="auto"/>
            <w:vAlign w:val="center"/>
          </w:tcPr>
          <w:p w:rsidR="007E60D0" w:rsidRDefault="007E60D0">
            <w:pPr>
              <w:snapToGrid w:val="0"/>
              <w:jc w:val="center"/>
              <w:rPr>
                <w:b/>
                <w:bCs/>
                <w:color w:val="000000"/>
                <w:sz w:val="22"/>
                <w:szCs w:val="22"/>
                <w:lang w:val="es-CO"/>
              </w:rPr>
            </w:pPr>
            <w:r>
              <w:rPr>
                <w:b/>
                <w:bCs/>
                <w:color w:val="000000"/>
                <w:sz w:val="22"/>
                <w:szCs w:val="22"/>
                <w:lang w:val="es-CO"/>
              </w:rPr>
              <w:t>COMPOSICIÓN DE LA DUEDA PUBLICA</w:t>
            </w:r>
          </w:p>
        </w:tc>
      </w:tr>
      <w:tr w:rsidR="007E60D0">
        <w:trPr>
          <w:gridAfter w:val="1"/>
          <w:wAfter w:w="20" w:type="dxa"/>
          <w:trHeight w:val="274"/>
        </w:trPr>
        <w:tc>
          <w:tcPr>
            <w:tcW w:w="10204" w:type="dxa"/>
            <w:gridSpan w:val="5"/>
            <w:tcBorders>
              <w:bottom w:val="single" w:sz="8" w:space="0" w:color="000000"/>
            </w:tcBorders>
            <w:shd w:val="clear" w:color="auto" w:fill="auto"/>
            <w:vAlign w:val="center"/>
          </w:tcPr>
          <w:p w:rsidR="007E60D0" w:rsidRDefault="007E60D0">
            <w:pPr>
              <w:snapToGrid w:val="0"/>
              <w:jc w:val="center"/>
              <w:rPr>
                <w:b/>
                <w:bCs/>
                <w:color w:val="000000"/>
                <w:sz w:val="22"/>
                <w:szCs w:val="22"/>
                <w:lang w:val="es-CO"/>
              </w:rPr>
            </w:pPr>
            <w:r>
              <w:rPr>
                <w:b/>
                <w:bCs/>
                <w:color w:val="000000"/>
                <w:sz w:val="22"/>
                <w:szCs w:val="22"/>
                <w:lang w:val="es-CO"/>
              </w:rPr>
              <w:t>CORTE DICIEMBRE 2011</w:t>
            </w:r>
          </w:p>
        </w:tc>
      </w:tr>
      <w:tr w:rsidR="007E60D0">
        <w:trPr>
          <w:trHeight w:val="288"/>
        </w:trPr>
        <w:tc>
          <w:tcPr>
            <w:tcW w:w="2156" w:type="dxa"/>
            <w:vMerge w:val="restart"/>
            <w:tcBorders>
              <w:left w:val="single" w:sz="8" w:space="0" w:color="000000"/>
              <w:bottom w:val="single" w:sz="8" w:space="0" w:color="000000"/>
            </w:tcBorders>
            <w:shd w:val="clear" w:color="auto" w:fill="auto"/>
            <w:vAlign w:val="center"/>
          </w:tcPr>
          <w:p w:rsidR="007E60D0" w:rsidRDefault="007E60D0">
            <w:pPr>
              <w:snapToGrid w:val="0"/>
              <w:jc w:val="center"/>
              <w:rPr>
                <w:b/>
                <w:bCs/>
                <w:color w:val="000000"/>
                <w:sz w:val="22"/>
                <w:szCs w:val="22"/>
                <w:lang w:val="es-CO"/>
              </w:rPr>
            </w:pPr>
            <w:r>
              <w:rPr>
                <w:b/>
                <w:bCs/>
                <w:color w:val="000000"/>
                <w:sz w:val="22"/>
                <w:szCs w:val="22"/>
                <w:lang w:val="es-CO"/>
              </w:rPr>
              <w:t>ENTIDAD CREDITICA</w:t>
            </w:r>
          </w:p>
        </w:tc>
        <w:tc>
          <w:tcPr>
            <w:tcW w:w="1701" w:type="dxa"/>
            <w:vMerge w:val="restart"/>
            <w:tcBorders>
              <w:left w:val="single" w:sz="8" w:space="0" w:color="000000"/>
              <w:bottom w:val="single" w:sz="8" w:space="0" w:color="000000"/>
            </w:tcBorders>
            <w:shd w:val="clear" w:color="auto" w:fill="auto"/>
            <w:vAlign w:val="center"/>
          </w:tcPr>
          <w:p w:rsidR="007E60D0" w:rsidRDefault="007E60D0">
            <w:pPr>
              <w:snapToGrid w:val="0"/>
              <w:jc w:val="center"/>
              <w:rPr>
                <w:b/>
                <w:bCs/>
                <w:color w:val="000000"/>
                <w:sz w:val="22"/>
                <w:szCs w:val="22"/>
                <w:lang w:val="es-CO"/>
              </w:rPr>
            </w:pPr>
            <w:r>
              <w:rPr>
                <w:b/>
                <w:bCs/>
                <w:color w:val="000000"/>
                <w:sz w:val="22"/>
                <w:szCs w:val="22"/>
                <w:lang w:val="es-CO"/>
              </w:rPr>
              <w:t>FECHA DE OPERACIÓN</w:t>
            </w:r>
          </w:p>
        </w:tc>
        <w:tc>
          <w:tcPr>
            <w:tcW w:w="1914" w:type="dxa"/>
            <w:vMerge w:val="restart"/>
            <w:tcBorders>
              <w:left w:val="single" w:sz="8" w:space="0" w:color="000000"/>
              <w:bottom w:val="single" w:sz="8" w:space="0" w:color="000000"/>
            </w:tcBorders>
            <w:shd w:val="clear" w:color="auto" w:fill="auto"/>
            <w:vAlign w:val="center"/>
          </w:tcPr>
          <w:p w:rsidR="007E60D0" w:rsidRDefault="007E60D0">
            <w:pPr>
              <w:snapToGrid w:val="0"/>
              <w:jc w:val="center"/>
              <w:rPr>
                <w:b/>
                <w:bCs/>
                <w:color w:val="000000"/>
                <w:sz w:val="22"/>
                <w:szCs w:val="22"/>
                <w:lang w:val="es-CO"/>
              </w:rPr>
            </w:pPr>
            <w:r>
              <w:rPr>
                <w:b/>
                <w:bCs/>
                <w:color w:val="000000"/>
                <w:sz w:val="22"/>
                <w:szCs w:val="22"/>
                <w:lang w:val="es-CO"/>
              </w:rPr>
              <w:t xml:space="preserve">FECHA DE VENCIMIENTO </w:t>
            </w:r>
          </w:p>
        </w:tc>
        <w:tc>
          <w:tcPr>
            <w:tcW w:w="2338" w:type="dxa"/>
            <w:vMerge w:val="restart"/>
            <w:tcBorders>
              <w:left w:val="single" w:sz="8" w:space="0" w:color="000000"/>
              <w:bottom w:val="single" w:sz="8" w:space="0" w:color="000000"/>
            </w:tcBorders>
            <w:shd w:val="clear" w:color="auto" w:fill="auto"/>
            <w:vAlign w:val="center"/>
          </w:tcPr>
          <w:p w:rsidR="007E60D0" w:rsidRDefault="007E60D0">
            <w:pPr>
              <w:snapToGrid w:val="0"/>
              <w:jc w:val="center"/>
              <w:rPr>
                <w:b/>
                <w:bCs/>
                <w:color w:val="000000"/>
                <w:sz w:val="22"/>
                <w:szCs w:val="22"/>
                <w:lang w:val="es-CO"/>
              </w:rPr>
            </w:pPr>
            <w:r>
              <w:rPr>
                <w:b/>
                <w:bCs/>
                <w:color w:val="000000"/>
                <w:sz w:val="22"/>
                <w:szCs w:val="22"/>
                <w:lang w:val="es-CO"/>
              </w:rPr>
              <w:t>MONTO DEL CREDITO</w:t>
            </w:r>
          </w:p>
        </w:tc>
        <w:tc>
          <w:tcPr>
            <w:tcW w:w="2115" w:type="dxa"/>
            <w:gridSpan w:val="2"/>
            <w:vMerge w:val="restart"/>
            <w:tcBorders>
              <w:left w:val="single" w:sz="8" w:space="0" w:color="000000"/>
              <w:bottom w:val="single" w:sz="8" w:space="0" w:color="000000"/>
              <w:right w:val="single" w:sz="8" w:space="0" w:color="000000"/>
            </w:tcBorders>
            <w:shd w:val="clear" w:color="auto" w:fill="auto"/>
            <w:vAlign w:val="center"/>
          </w:tcPr>
          <w:p w:rsidR="007E60D0" w:rsidRDefault="007E60D0">
            <w:pPr>
              <w:snapToGrid w:val="0"/>
              <w:jc w:val="center"/>
              <w:rPr>
                <w:b/>
                <w:bCs/>
                <w:color w:val="000000"/>
                <w:sz w:val="22"/>
                <w:szCs w:val="22"/>
                <w:lang w:val="es-CO"/>
              </w:rPr>
            </w:pPr>
            <w:r>
              <w:rPr>
                <w:b/>
                <w:bCs/>
                <w:color w:val="000000"/>
                <w:sz w:val="22"/>
                <w:szCs w:val="22"/>
                <w:lang w:val="es-CO"/>
              </w:rPr>
              <w:t>SALDO FINAL DEUDA</w:t>
            </w:r>
          </w:p>
        </w:tc>
      </w:tr>
      <w:tr w:rsidR="007E60D0">
        <w:trPr>
          <w:trHeight w:val="288"/>
        </w:trPr>
        <w:tc>
          <w:tcPr>
            <w:tcW w:w="2156" w:type="dxa"/>
            <w:vMerge/>
            <w:tcBorders>
              <w:left w:val="single" w:sz="8" w:space="0" w:color="000000"/>
              <w:bottom w:val="single" w:sz="8" w:space="0" w:color="000000"/>
            </w:tcBorders>
            <w:shd w:val="clear" w:color="auto" w:fill="auto"/>
            <w:vAlign w:val="center"/>
          </w:tcPr>
          <w:p w:rsidR="007E60D0" w:rsidRDefault="007E60D0">
            <w:pPr>
              <w:snapToGrid w:val="0"/>
              <w:rPr>
                <w:b/>
                <w:bCs/>
                <w:color w:val="000000"/>
                <w:szCs w:val="22"/>
                <w:lang w:val="es-CO"/>
              </w:rPr>
            </w:pPr>
          </w:p>
        </w:tc>
        <w:tc>
          <w:tcPr>
            <w:tcW w:w="1701" w:type="dxa"/>
            <w:vMerge/>
            <w:tcBorders>
              <w:left w:val="single" w:sz="8" w:space="0" w:color="000000"/>
              <w:bottom w:val="single" w:sz="8" w:space="0" w:color="000000"/>
            </w:tcBorders>
            <w:shd w:val="clear" w:color="auto" w:fill="auto"/>
            <w:vAlign w:val="center"/>
          </w:tcPr>
          <w:p w:rsidR="007E60D0" w:rsidRDefault="007E60D0">
            <w:pPr>
              <w:snapToGrid w:val="0"/>
              <w:rPr>
                <w:b/>
                <w:bCs/>
                <w:color w:val="000000"/>
                <w:szCs w:val="22"/>
                <w:lang w:val="es-CO"/>
              </w:rPr>
            </w:pPr>
          </w:p>
        </w:tc>
        <w:tc>
          <w:tcPr>
            <w:tcW w:w="1914" w:type="dxa"/>
            <w:vMerge/>
            <w:tcBorders>
              <w:left w:val="single" w:sz="8" w:space="0" w:color="000000"/>
              <w:bottom w:val="single" w:sz="8" w:space="0" w:color="000000"/>
            </w:tcBorders>
            <w:shd w:val="clear" w:color="auto" w:fill="auto"/>
            <w:vAlign w:val="center"/>
          </w:tcPr>
          <w:p w:rsidR="007E60D0" w:rsidRDefault="007E60D0">
            <w:pPr>
              <w:snapToGrid w:val="0"/>
              <w:rPr>
                <w:b/>
                <w:bCs/>
                <w:color w:val="000000"/>
                <w:szCs w:val="22"/>
                <w:lang w:val="es-CO"/>
              </w:rPr>
            </w:pPr>
          </w:p>
        </w:tc>
        <w:tc>
          <w:tcPr>
            <w:tcW w:w="2338" w:type="dxa"/>
            <w:vMerge/>
            <w:tcBorders>
              <w:left w:val="single" w:sz="8" w:space="0" w:color="000000"/>
              <w:bottom w:val="single" w:sz="8" w:space="0" w:color="000000"/>
            </w:tcBorders>
            <w:shd w:val="clear" w:color="auto" w:fill="auto"/>
            <w:vAlign w:val="center"/>
          </w:tcPr>
          <w:p w:rsidR="007E60D0" w:rsidRDefault="007E60D0">
            <w:pPr>
              <w:snapToGrid w:val="0"/>
              <w:rPr>
                <w:b/>
                <w:bCs/>
                <w:color w:val="000000"/>
                <w:szCs w:val="22"/>
                <w:lang w:val="es-CO"/>
              </w:rPr>
            </w:pPr>
          </w:p>
        </w:tc>
        <w:tc>
          <w:tcPr>
            <w:tcW w:w="2115" w:type="dxa"/>
            <w:gridSpan w:val="2"/>
            <w:vMerge/>
            <w:tcBorders>
              <w:left w:val="single" w:sz="8" w:space="0" w:color="000000"/>
              <w:bottom w:val="single" w:sz="8" w:space="0" w:color="000000"/>
              <w:right w:val="single" w:sz="8" w:space="0" w:color="000000"/>
            </w:tcBorders>
            <w:shd w:val="clear" w:color="auto" w:fill="auto"/>
            <w:vAlign w:val="center"/>
          </w:tcPr>
          <w:p w:rsidR="007E60D0" w:rsidRDefault="007E60D0">
            <w:pPr>
              <w:snapToGrid w:val="0"/>
              <w:rPr>
                <w:b/>
                <w:bCs/>
                <w:color w:val="000000"/>
                <w:szCs w:val="22"/>
                <w:lang w:val="es-CO"/>
              </w:rPr>
            </w:pPr>
          </w:p>
        </w:tc>
      </w:tr>
      <w:tr w:rsidR="007E60D0">
        <w:trPr>
          <w:trHeight w:val="288"/>
        </w:trPr>
        <w:tc>
          <w:tcPr>
            <w:tcW w:w="2156" w:type="dxa"/>
            <w:vMerge w:val="restart"/>
            <w:tcBorders>
              <w:left w:val="single" w:sz="8" w:space="0" w:color="000000"/>
              <w:bottom w:val="single" w:sz="8" w:space="0" w:color="000000"/>
            </w:tcBorders>
            <w:shd w:val="clear" w:color="auto" w:fill="auto"/>
            <w:vAlign w:val="center"/>
          </w:tcPr>
          <w:p w:rsidR="007E60D0" w:rsidRDefault="007E60D0">
            <w:pPr>
              <w:snapToGrid w:val="0"/>
              <w:jc w:val="center"/>
              <w:rPr>
                <w:b/>
                <w:bCs/>
                <w:color w:val="000000"/>
                <w:sz w:val="22"/>
                <w:szCs w:val="22"/>
                <w:lang w:val="es-CO"/>
              </w:rPr>
            </w:pPr>
            <w:r>
              <w:rPr>
                <w:b/>
                <w:bCs/>
                <w:color w:val="000000"/>
                <w:sz w:val="22"/>
                <w:szCs w:val="22"/>
                <w:lang w:val="es-CO"/>
              </w:rPr>
              <w:t>DAVIVIENDA</w:t>
            </w:r>
          </w:p>
        </w:tc>
        <w:tc>
          <w:tcPr>
            <w:tcW w:w="1701" w:type="dxa"/>
            <w:vMerge w:val="restart"/>
            <w:tcBorders>
              <w:left w:val="single" w:sz="8" w:space="0" w:color="000000"/>
              <w:bottom w:val="single" w:sz="8" w:space="0" w:color="000000"/>
            </w:tcBorders>
            <w:shd w:val="clear" w:color="auto" w:fill="auto"/>
            <w:vAlign w:val="center"/>
          </w:tcPr>
          <w:p w:rsidR="007E60D0" w:rsidRDefault="007E60D0">
            <w:pPr>
              <w:snapToGrid w:val="0"/>
              <w:jc w:val="center"/>
              <w:rPr>
                <w:color w:val="000000"/>
                <w:sz w:val="22"/>
                <w:szCs w:val="22"/>
                <w:lang w:val="es-CO"/>
              </w:rPr>
            </w:pPr>
            <w:r>
              <w:rPr>
                <w:color w:val="000000"/>
                <w:sz w:val="22"/>
                <w:szCs w:val="22"/>
                <w:lang w:val="es-CO"/>
              </w:rPr>
              <w:t>2007-12-21</w:t>
            </w:r>
          </w:p>
        </w:tc>
        <w:tc>
          <w:tcPr>
            <w:tcW w:w="1914" w:type="dxa"/>
            <w:vMerge w:val="restart"/>
            <w:tcBorders>
              <w:left w:val="single" w:sz="8" w:space="0" w:color="000000"/>
              <w:bottom w:val="single" w:sz="8" w:space="0" w:color="000000"/>
            </w:tcBorders>
            <w:shd w:val="clear" w:color="auto" w:fill="auto"/>
            <w:vAlign w:val="center"/>
          </w:tcPr>
          <w:p w:rsidR="007E60D0" w:rsidRDefault="007E60D0">
            <w:pPr>
              <w:snapToGrid w:val="0"/>
              <w:jc w:val="center"/>
              <w:rPr>
                <w:color w:val="000000"/>
                <w:sz w:val="22"/>
                <w:szCs w:val="22"/>
                <w:lang w:val="es-CO"/>
              </w:rPr>
            </w:pPr>
            <w:r>
              <w:rPr>
                <w:color w:val="000000"/>
                <w:sz w:val="22"/>
                <w:szCs w:val="22"/>
                <w:lang w:val="es-CO"/>
              </w:rPr>
              <w:t>2013-12-28</w:t>
            </w:r>
          </w:p>
        </w:tc>
        <w:tc>
          <w:tcPr>
            <w:tcW w:w="2338" w:type="dxa"/>
            <w:vMerge w:val="restart"/>
            <w:tcBorders>
              <w:left w:val="single" w:sz="8" w:space="0" w:color="000000"/>
              <w:bottom w:val="single" w:sz="8" w:space="0" w:color="000000"/>
            </w:tcBorders>
            <w:shd w:val="clear" w:color="auto" w:fill="auto"/>
            <w:vAlign w:val="center"/>
          </w:tcPr>
          <w:p w:rsidR="007E60D0" w:rsidRDefault="007E60D0">
            <w:pPr>
              <w:snapToGrid w:val="0"/>
              <w:jc w:val="center"/>
              <w:rPr>
                <w:color w:val="000000"/>
                <w:sz w:val="22"/>
                <w:szCs w:val="22"/>
                <w:lang w:val="es-CO"/>
              </w:rPr>
            </w:pPr>
            <w:r>
              <w:rPr>
                <w:color w:val="000000"/>
                <w:sz w:val="22"/>
                <w:szCs w:val="22"/>
                <w:lang w:val="es-CO"/>
              </w:rPr>
              <w:t xml:space="preserve"> $           1.000.000.000 </w:t>
            </w:r>
          </w:p>
        </w:tc>
        <w:tc>
          <w:tcPr>
            <w:tcW w:w="2115" w:type="dxa"/>
            <w:gridSpan w:val="2"/>
            <w:vMerge w:val="restart"/>
            <w:tcBorders>
              <w:left w:val="single" w:sz="8" w:space="0" w:color="000000"/>
              <w:bottom w:val="single" w:sz="8" w:space="0" w:color="000000"/>
              <w:right w:val="single" w:sz="8" w:space="0" w:color="000000"/>
            </w:tcBorders>
            <w:shd w:val="clear" w:color="auto" w:fill="auto"/>
            <w:vAlign w:val="center"/>
          </w:tcPr>
          <w:p w:rsidR="007E60D0" w:rsidRDefault="007E60D0">
            <w:pPr>
              <w:snapToGrid w:val="0"/>
              <w:jc w:val="center"/>
              <w:rPr>
                <w:color w:val="000000"/>
                <w:sz w:val="22"/>
                <w:szCs w:val="22"/>
                <w:lang w:val="es-CO"/>
              </w:rPr>
            </w:pPr>
            <w:r>
              <w:rPr>
                <w:color w:val="000000"/>
                <w:sz w:val="22"/>
                <w:szCs w:val="22"/>
                <w:lang w:val="es-CO"/>
              </w:rPr>
              <w:t xml:space="preserve"> $            382.500.000 </w:t>
            </w:r>
          </w:p>
        </w:tc>
      </w:tr>
      <w:tr w:rsidR="007E60D0">
        <w:trPr>
          <w:trHeight w:val="288"/>
        </w:trPr>
        <w:tc>
          <w:tcPr>
            <w:tcW w:w="2156" w:type="dxa"/>
            <w:vMerge/>
            <w:tcBorders>
              <w:left w:val="single" w:sz="8" w:space="0" w:color="000000"/>
              <w:bottom w:val="single" w:sz="8" w:space="0" w:color="000000"/>
            </w:tcBorders>
            <w:shd w:val="clear" w:color="auto" w:fill="auto"/>
            <w:vAlign w:val="center"/>
          </w:tcPr>
          <w:p w:rsidR="007E60D0" w:rsidRDefault="007E60D0">
            <w:pPr>
              <w:snapToGrid w:val="0"/>
              <w:jc w:val="center"/>
              <w:rPr>
                <w:b/>
                <w:bCs/>
                <w:color w:val="000000"/>
                <w:szCs w:val="22"/>
                <w:lang w:val="es-CO"/>
              </w:rPr>
            </w:pPr>
          </w:p>
        </w:tc>
        <w:tc>
          <w:tcPr>
            <w:tcW w:w="1701" w:type="dxa"/>
            <w:vMerge/>
            <w:tcBorders>
              <w:left w:val="single" w:sz="8" w:space="0" w:color="000000"/>
              <w:bottom w:val="single" w:sz="8" w:space="0" w:color="000000"/>
            </w:tcBorders>
            <w:shd w:val="clear" w:color="auto" w:fill="auto"/>
            <w:vAlign w:val="center"/>
          </w:tcPr>
          <w:p w:rsidR="007E60D0" w:rsidRDefault="007E60D0">
            <w:pPr>
              <w:snapToGrid w:val="0"/>
              <w:rPr>
                <w:color w:val="000000"/>
                <w:szCs w:val="22"/>
                <w:lang w:val="es-CO"/>
              </w:rPr>
            </w:pPr>
          </w:p>
        </w:tc>
        <w:tc>
          <w:tcPr>
            <w:tcW w:w="1914" w:type="dxa"/>
            <w:vMerge/>
            <w:tcBorders>
              <w:left w:val="single" w:sz="8" w:space="0" w:color="000000"/>
              <w:bottom w:val="single" w:sz="8" w:space="0" w:color="000000"/>
            </w:tcBorders>
            <w:shd w:val="clear" w:color="auto" w:fill="auto"/>
            <w:vAlign w:val="center"/>
          </w:tcPr>
          <w:p w:rsidR="007E60D0" w:rsidRDefault="007E60D0">
            <w:pPr>
              <w:snapToGrid w:val="0"/>
              <w:rPr>
                <w:color w:val="000000"/>
                <w:szCs w:val="22"/>
                <w:lang w:val="es-CO"/>
              </w:rPr>
            </w:pPr>
          </w:p>
        </w:tc>
        <w:tc>
          <w:tcPr>
            <w:tcW w:w="2338" w:type="dxa"/>
            <w:vMerge/>
            <w:tcBorders>
              <w:left w:val="single" w:sz="8" w:space="0" w:color="000000"/>
              <w:bottom w:val="single" w:sz="8" w:space="0" w:color="000000"/>
            </w:tcBorders>
            <w:shd w:val="clear" w:color="auto" w:fill="auto"/>
            <w:vAlign w:val="center"/>
          </w:tcPr>
          <w:p w:rsidR="007E60D0" w:rsidRDefault="007E60D0">
            <w:pPr>
              <w:snapToGrid w:val="0"/>
              <w:rPr>
                <w:color w:val="000000"/>
                <w:szCs w:val="22"/>
                <w:lang w:val="es-CO"/>
              </w:rPr>
            </w:pPr>
          </w:p>
        </w:tc>
        <w:tc>
          <w:tcPr>
            <w:tcW w:w="2115" w:type="dxa"/>
            <w:gridSpan w:val="2"/>
            <w:vMerge/>
            <w:tcBorders>
              <w:left w:val="single" w:sz="8" w:space="0" w:color="000000"/>
              <w:bottom w:val="single" w:sz="8" w:space="0" w:color="000000"/>
              <w:right w:val="single" w:sz="8" w:space="0" w:color="000000"/>
            </w:tcBorders>
            <w:shd w:val="clear" w:color="auto" w:fill="auto"/>
            <w:vAlign w:val="center"/>
          </w:tcPr>
          <w:p w:rsidR="007E60D0" w:rsidRDefault="007E60D0">
            <w:pPr>
              <w:snapToGrid w:val="0"/>
              <w:rPr>
                <w:color w:val="000000"/>
                <w:szCs w:val="22"/>
                <w:lang w:val="es-CO"/>
              </w:rPr>
            </w:pPr>
          </w:p>
        </w:tc>
      </w:tr>
      <w:tr w:rsidR="007E60D0">
        <w:trPr>
          <w:trHeight w:val="288"/>
        </w:trPr>
        <w:tc>
          <w:tcPr>
            <w:tcW w:w="2156" w:type="dxa"/>
            <w:vMerge w:val="restart"/>
            <w:tcBorders>
              <w:left w:val="single" w:sz="8" w:space="0" w:color="000000"/>
              <w:bottom w:val="single" w:sz="8" w:space="0" w:color="000000"/>
            </w:tcBorders>
            <w:shd w:val="clear" w:color="auto" w:fill="auto"/>
            <w:vAlign w:val="center"/>
          </w:tcPr>
          <w:p w:rsidR="007E60D0" w:rsidRDefault="007E60D0">
            <w:pPr>
              <w:snapToGrid w:val="0"/>
              <w:jc w:val="center"/>
              <w:rPr>
                <w:b/>
                <w:bCs/>
                <w:color w:val="000000"/>
                <w:sz w:val="22"/>
                <w:szCs w:val="22"/>
                <w:lang w:val="es-CO"/>
              </w:rPr>
            </w:pPr>
            <w:r>
              <w:rPr>
                <w:b/>
                <w:bCs/>
                <w:color w:val="000000"/>
                <w:sz w:val="22"/>
                <w:szCs w:val="22"/>
                <w:lang w:val="es-CO"/>
              </w:rPr>
              <w:t>DAVIVIENDA</w:t>
            </w:r>
          </w:p>
        </w:tc>
        <w:tc>
          <w:tcPr>
            <w:tcW w:w="1701" w:type="dxa"/>
            <w:vMerge w:val="restart"/>
            <w:tcBorders>
              <w:left w:val="single" w:sz="8" w:space="0" w:color="000000"/>
              <w:bottom w:val="single" w:sz="8" w:space="0" w:color="000000"/>
            </w:tcBorders>
            <w:shd w:val="clear" w:color="auto" w:fill="auto"/>
            <w:vAlign w:val="center"/>
          </w:tcPr>
          <w:p w:rsidR="007E60D0" w:rsidRDefault="007E60D0">
            <w:pPr>
              <w:snapToGrid w:val="0"/>
              <w:jc w:val="center"/>
              <w:rPr>
                <w:color w:val="000000"/>
                <w:sz w:val="22"/>
                <w:szCs w:val="22"/>
                <w:lang w:val="es-CO"/>
              </w:rPr>
            </w:pPr>
            <w:r>
              <w:rPr>
                <w:color w:val="000000"/>
                <w:sz w:val="22"/>
                <w:szCs w:val="22"/>
                <w:lang w:val="es-CO"/>
              </w:rPr>
              <w:t>2009-12-23</w:t>
            </w:r>
          </w:p>
        </w:tc>
        <w:tc>
          <w:tcPr>
            <w:tcW w:w="1914" w:type="dxa"/>
            <w:vMerge w:val="restart"/>
            <w:tcBorders>
              <w:left w:val="single" w:sz="8" w:space="0" w:color="000000"/>
              <w:bottom w:val="single" w:sz="8" w:space="0" w:color="000000"/>
            </w:tcBorders>
            <w:shd w:val="clear" w:color="auto" w:fill="auto"/>
            <w:vAlign w:val="center"/>
          </w:tcPr>
          <w:p w:rsidR="007E60D0" w:rsidRDefault="007E60D0">
            <w:pPr>
              <w:snapToGrid w:val="0"/>
              <w:jc w:val="center"/>
              <w:rPr>
                <w:color w:val="000000"/>
                <w:sz w:val="22"/>
                <w:szCs w:val="22"/>
                <w:lang w:val="es-CO"/>
              </w:rPr>
            </w:pPr>
            <w:r>
              <w:rPr>
                <w:color w:val="000000"/>
                <w:sz w:val="22"/>
                <w:szCs w:val="22"/>
                <w:lang w:val="es-CO"/>
              </w:rPr>
              <w:t>2015-12-24</w:t>
            </w:r>
          </w:p>
        </w:tc>
        <w:tc>
          <w:tcPr>
            <w:tcW w:w="2338" w:type="dxa"/>
            <w:vMerge w:val="restart"/>
            <w:tcBorders>
              <w:left w:val="single" w:sz="8" w:space="0" w:color="000000"/>
              <w:bottom w:val="single" w:sz="8" w:space="0" w:color="000000"/>
            </w:tcBorders>
            <w:shd w:val="clear" w:color="auto" w:fill="auto"/>
            <w:vAlign w:val="center"/>
          </w:tcPr>
          <w:p w:rsidR="007E60D0" w:rsidRDefault="007E60D0">
            <w:pPr>
              <w:snapToGrid w:val="0"/>
              <w:jc w:val="center"/>
              <w:rPr>
                <w:color w:val="000000"/>
                <w:sz w:val="22"/>
                <w:szCs w:val="22"/>
                <w:lang w:val="es-CO"/>
              </w:rPr>
            </w:pPr>
            <w:r>
              <w:rPr>
                <w:color w:val="000000"/>
                <w:sz w:val="22"/>
                <w:szCs w:val="22"/>
                <w:lang w:val="es-CO"/>
              </w:rPr>
              <w:t xml:space="preserve"> $            4.000.000.000 </w:t>
            </w:r>
          </w:p>
        </w:tc>
        <w:tc>
          <w:tcPr>
            <w:tcW w:w="2115" w:type="dxa"/>
            <w:gridSpan w:val="2"/>
            <w:vMerge w:val="restart"/>
            <w:tcBorders>
              <w:left w:val="single" w:sz="8" w:space="0" w:color="000000"/>
              <w:bottom w:val="single" w:sz="8" w:space="0" w:color="000000"/>
              <w:right w:val="single" w:sz="8" w:space="0" w:color="000000"/>
            </w:tcBorders>
            <w:shd w:val="clear" w:color="auto" w:fill="auto"/>
            <w:vAlign w:val="center"/>
          </w:tcPr>
          <w:p w:rsidR="007E60D0" w:rsidRDefault="007E60D0">
            <w:pPr>
              <w:snapToGrid w:val="0"/>
              <w:jc w:val="center"/>
              <w:rPr>
                <w:color w:val="000000"/>
                <w:sz w:val="20"/>
                <w:lang w:val="es-CO"/>
              </w:rPr>
            </w:pPr>
            <w:r>
              <w:rPr>
                <w:color w:val="000000"/>
                <w:sz w:val="20"/>
                <w:lang w:val="es-CO"/>
              </w:rPr>
              <w:t xml:space="preserve"> $          3.490.000.000</w:t>
            </w:r>
          </w:p>
        </w:tc>
      </w:tr>
      <w:tr w:rsidR="007E60D0">
        <w:trPr>
          <w:trHeight w:val="276"/>
        </w:trPr>
        <w:tc>
          <w:tcPr>
            <w:tcW w:w="2156" w:type="dxa"/>
            <w:vMerge/>
            <w:tcBorders>
              <w:left w:val="single" w:sz="8" w:space="0" w:color="000000"/>
              <w:bottom w:val="single" w:sz="8" w:space="0" w:color="000000"/>
            </w:tcBorders>
            <w:shd w:val="clear" w:color="auto" w:fill="auto"/>
            <w:vAlign w:val="center"/>
          </w:tcPr>
          <w:p w:rsidR="007E60D0" w:rsidRDefault="007E60D0">
            <w:pPr>
              <w:snapToGrid w:val="0"/>
              <w:jc w:val="center"/>
              <w:rPr>
                <w:b/>
                <w:bCs/>
                <w:color w:val="000000"/>
                <w:szCs w:val="22"/>
                <w:lang w:val="es-CO"/>
              </w:rPr>
            </w:pPr>
          </w:p>
        </w:tc>
        <w:tc>
          <w:tcPr>
            <w:tcW w:w="1701" w:type="dxa"/>
            <w:vMerge/>
            <w:tcBorders>
              <w:left w:val="single" w:sz="8" w:space="0" w:color="000000"/>
              <w:bottom w:val="single" w:sz="8" w:space="0" w:color="000000"/>
            </w:tcBorders>
            <w:shd w:val="clear" w:color="auto" w:fill="auto"/>
            <w:vAlign w:val="center"/>
          </w:tcPr>
          <w:p w:rsidR="007E60D0" w:rsidRDefault="007E60D0">
            <w:pPr>
              <w:snapToGrid w:val="0"/>
              <w:rPr>
                <w:color w:val="000000"/>
                <w:szCs w:val="22"/>
                <w:lang w:val="es-CO"/>
              </w:rPr>
            </w:pPr>
          </w:p>
        </w:tc>
        <w:tc>
          <w:tcPr>
            <w:tcW w:w="1914" w:type="dxa"/>
            <w:vMerge/>
            <w:tcBorders>
              <w:left w:val="single" w:sz="8" w:space="0" w:color="000000"/>
              <w:bottom w:val="single" w:sz="8" w:space="0" w:color="000000"/>
            </w:tcBorders>
            <w:shd w:val="clear" w:color="auto" w:fill="auto"/>
            <w:vAlign w:val="center"/>
          </w:tcPr>
          <w:p w:rsidR="007E60D0" w:rsidRDefault="007E60D0">
            <w:pPr>
              <w:snapToGrid w:val="0"/>
              <w:rPr>
                <w:color w:val="000000"/>
                <w:szCs w:val="22"/>
                <w:lang w:val="es-CO"/>
              </w:rPr>
            </w:pPr>
          </w:p>
        </w:tc>
        <w:tc>
          <w:tcPr>
            <w:tcW w:w="2338" w:type="dxa"/>
            <w:vMerge/>
            <w:tcBorders>
              <w:left w:val="single" w:sz="8" w:space="0" w:color="000000"/>
              <w:bottom w:val="single" w:sz="8" w:space="0" w:color="000000"/>
            </w:tcBorders>
            <w:shd w:val="clear" w:color="auto" w:fill="auto"/>
            <w:vAlign w:val="center"/>
          </w:tcPr>
          <w:p w:rsidR="007E60D0" w:rsidRDefault="007E60D0">
            <w:pPr>
              <w:snapToGrid w:val="0"/>
              <w:rPr>
                <w:color w:val="000000"/>
                <w:szCs w:val="22"/>
                <w:lang w:val="es-CO"/>
              </w:rPr>
            </w:pPr>
          </w:p>
        </w:tc>
        <w:tc>
          <w:tcPr>
            <w:tcW w:w="2115" w:type="dxa"/>
            <w:gridSpan w:val="2"/>
            <w:vMerge/>
            <w:tcBorders>
              <w:left w:val="single" w:sz="8" w:space="0" w:color="000000"/>
              <w:bottom w:val="single" w:sz="8" w:space="0" w:color="000000"/>
              <w:right w:val="single" w:sz="8" w:space="0" w:color="000000"/>
            </w:tcBorders>
            <w:shd w:val="clear" w:color="auto" w:fill="auto"/>
            <w:vAlign w:val="center"/>
          </w:tcPr>
          <w:p w:rsidR="007E60D0" w:rsidRDefault="007E60D0">
            <w:pPr>
              <w:snapToGrid w:val="0"/>
              <w:rPr>
                <w:color w:val="000000"/>
                <w:szCs w:val="22"/>
                <w:lang w:val="es-CO"/>
              </w:rPr>
            </w:pPr>
          </w:p>
        </w:tc>
      </w:tr>
      <w:tr w:rsidR="007E60D0">
        <w:trPr>
          <w:trHeight w:val="276"/>
        </w:trPr>
        <w:tc>
          <w:tcPr>
            <w:tcW w:w="8109" w:type="dxa"/>
            <w:gridSpan w:val="4"/>
            <w:vMerge w:val="restart"/>
            <w:tcBorders>
              <w:top w:val="single" w:sz="8" w:space="0" w:color="000000"/>
              <w:left w:val="single" w:sz="8" w:space="0" w:color="000000"/>
              <w:bottom w:val="single" w:sz="8" w:space="0" w:color="000000"/>
            </w:tcBorders>
            <w:shd w:val="clear" w:color="auto" w:fill="auto"/>
            <w:vAlign w:val="center"/>
          </w:tcPr>
          <w:p w:rsidR="007E60D0" w:rsidRDefault="007E60D0">
            <w:pPr>
              <w:snapToGrid w:val="0"/>
              <w:jc w:val="center"/>
              <w:rPr>
                <w:b/>
                <w:bCs/>
                <w:color w:val="000000"/>
                <w:sz w:val="22"/>
                <w:szCs w:val="22"/>
                <w:lang w:val="es-CO"/>
              </w:rPr>
            </w:pPr>
            <w:r>
              <w:rPr>
                <w:b/>
                <w:bCs/>
                <w:color w:val="000000"/>
                <w:sz w:val="22"/>
                <w:szCs w:val="22"/>
                <w:lang w:val="es-CO"/>
              </w:rPr>
              <w:t xml:space="preserve">TOTAL </w:t>
            </w:r>
          </w:p>
        </w:tc>
        <w:tc>
          <w:tcPr>
            <w:tcW w:w="2115" w:type="dxa"/>
            <w:gridSpan w:val="2"/>
            <w:vMerge w:val="restart"/>
            <w:tcBorders>
              <w:left w:val="single" w:sz="8" w:space="0" w:color="000000"/>
              <w:bottom w:val="single" w:sz="8" w:space="0" w:color="000000"/>
              <w:right w:val="single" w:sz="8" w:space="0" w:color="000000"/>
            </w:tcBorders>
            <w:shd w:val="clear" w:color="auto" w:fill="auto"/>
            <w:vAlign w:val="center"/>
          </w:tcPr>
          <w:p w:rsidR="007E60D0" w:rsidRDefault="007E60D0">
            <w:pPr>
              <w:snapToGrid w:val="0"/>
              <w:jc w:val="center"/>
              <w:rPr>
                <w:b/>
                <w:bCs/>
                <w:color w:val="000000"/>
                <w:sz w:val="22"/>
                <w:szCs w:val="22"/>
                <w:lang w:val="es-CO"/>
              </w:rPr>
            </w:pPr>
            <w:r>
              <w:rPr>
                <w:b/>
                <w:bCs/>
                <w:color w:val="000000"/>
                <w:sz w:val="22"/>
                <w:szCs w:val="22"/>
                <w:lang w:val="es-CO"/>
              </w:rPr>
              <w:t xml:space="preserve"> $       3.872.500.000</w:t>
            </w:r>
          </w:p>
        </w:tc>
      </w:tr>
      <w:tr w:rsidR="007E60D0">
        <w:trPr>
          <w:trHeight w:val="276"/>
        </w:trPr>
        <w:tc>
          <w:tcPr>
            <w:tcW w:w="8109" w:type="dxa"/>
            <w:gridSpan w:val="4"/>
            <w:vMerge/>
            <w:tcBorders>
              <w:top w:val="single" w:sz="8" w:space="0" w:color="000000"/>
              <w:left w:val="single" w:sz="8" w:space="0" w:color="000000"/>
              <w:bottom w:val="single" w:sz="8" w:space="0" w:color="000000"/>
            </w:tcBorders>
            <w:shd w:val="clear" w:color="auto" w:fill="auto"/>
            <w:vAlign w:val="center"/>
          </w:tcPr>
          <w:p w:rsidR="007E60D0" w:rsidRDefault="007E60D0">
            <w:pPr>
              <w:snapToGrid w:val="0"/>
              <w:rPr>
                <w:b/>
                <w:bCs/>
                <w:color w:val="000000"/>
                <w:szCs w:val="22"/>
                <w:lang w:val="es-CO"/>
              </w:rPr>
            </w:pPr>
          </w:p>
        </w:tc>
        <w:tc>
          <w:tcPr>
            <w:tcW w:w="2115" w:type="dxa"/>
            <w:gridSpan w:val="2"/>
            <w:vMerge/>
            <w:tcBorders>
              <w:left w:val="single" w:sz="8" w:space="0" w:color="000000"/>
              <w:bottom w:val="single" w:sz="8" w:space="0" w:color="000000"/>
              <w:right w:val="single" w:sz="8" w:space="0" w:color="000000"/>
            </w:tcBorders>
            <w:shd w:val="clear" w:color="auto" w:fill="auto"/>
            <w:vAlign w:val="center"/>
          </w:tcPr>
          <w:p w:rsidR="007E60D0" w:rsidRDefault="007E60D0">
            <w:pPr>
              <w:snapToGrid w:val="0"/>
              <w:rPr>
                <w:b/>
                <w:bCs/>
                <w:color w:val="000000"/>
                <w:szCs w:val="22"/>
                <w:lang w:val="es-CO"/>
              </w:rPr>
            </w:pPr>
          </w:p>
        </w:tc>
      </w:tr>
    </w:tbl>
    <w:p w:rsidR="007E60D0" w:rsidRDefault="007E60D0">
      <w:pPr>
        <w:jc w:val="both"/>
        <w:rPr>
          <w:szCs w:val="24"/>
          <w:lang w:val="es-ES_tradnl"/>
        </w:rPr>
      </w:pPr>
    </w:p>
    <w:p w:rsidR="007E60D0" w:rsidRDefault="007E60D0">
      <w:pPr>
        <w:jc w:val="center"/>
        <w:rPr>
          <w:b/>
          <w:szCs w:val="24"/>
          <w:lang w:val="es-ES_tradnl"/>
        </w:rPr>
      </w:pPr>
    </w:p>
    <w:p w:rsidR="007E60D0" w:rsidRDefault="007E60D0">
      <w:pPr>
        <w:jc w:val="center"/>
        <w:rPr>
          <w:b/>
          <w:szCs w:val="24"/>
          <w:lang w:val="es-ES_tradnl"/>
        </w:rPr>
      </w:pPr>
    </w:p>
    <w:p w:rsidR="007E60D0" w:rsidRDefault="007E60D0">
      <w:pPr>
        <w:jc w:val="center"/>
        <w:rPr>
          <w:b/>
          <w:szCs w:val="24"/>
          <w:lang w:val="es-ES_tradnl"/>
        </w:rPr>
      </w:pPr>
    </w:p>
    <w:p w:rsidR="007E60D0" w:rsidRDefault="007E60D0">
      <w:pPr>
        <w:jc w:val="center"/>
        <w:rPr>
          <w:b/>
          <w:szCs w:val="24"/>
          <w:lang w:val="es-ES_tradnl"/>
        </w:rPr>
      </w:pPr>
    </w:p>
    <w:p w:rsidR="007E60D0" w:rsidRDefault="007E60D0">
      <w:pPr>
        <w:jc w:val="center"/>
        <w:rPr>
          <w:b/>
          <w:szCs w:val="24"/>
          <w:lang w:val="es-ES_tradnl"/>
        </w:rPr>
      </w:pPr>
    </w:p>
    <w:p w:rsidR="007E60D0" w:rsidRDefault="007E60D0">
      <w:pPr>
        <w:jc w:val="center"/>
        <w:rPr>
          <w:b/>
          <w:szCs w:val="24"/>
          <w:lang w:val="es-ES_tradnl"/>
        </w:rPr>
      </w:pPr>
    </w:p>
    <w:p w:rsidR="007E60D0" w:rsidRDefault="007E60D0">
      <w:pPr>
        <w:jc w:val="center"/>
        <w:rPr>
          <w:b/>
          <w:szCs w:val="24"/>
          <w:lang w:val="es-ES_tradnl"/>
        </w:rPr>
      </w:pPr>
      <w:r>
        <w:rPr>
          <w:b/>
          <w:szCs w:val="24"/>
          <w:lang w:val="es-ES_tradnl"/>
        </w:rPr>
        <w:t>Composición de la Deuda Pública 2008 - 2010</w:t>
      </w:r>
    </w:p>
    <w:p w:rsidR="007E60D0" w:rsidRDefault="007E60D0">
      <w:pPr>
        <w:jc w:val="both"/>
        <w:rPr>
          <w:szCs w:val="24"/>
          <w:lang w:val="es-ES_tradnl"/>
        </w:rPr>
      </w:pPr>
    </w:p>
    <w:tbl>
      <w:tblPr>
        <w:tblW w:w="0" w:type="auto"/>
        <w:tblInd w:w="70" w:type="dxa"/>
        <w:tblLayout w:type="fixed"/>
        <w:tblCellMar>
          <w:left w:w="70" w:type="dxa"/>
          <w:right w:w="70" w:type="dxa"/>
        </w:tblCellMar>
        <w:tblLook w:val="0000"/>
      </w:tblPr>
      <w:tblGrid>
        <w:gridCol w:w="2080"/>
        <w:gridCol w:w="1200"/>
        <w:gridCol w:w="1200"/>
        <w:gridCol w:w="1220"/>
      </w:tblGrid>
      <w:tr w:rsidR="007E60D0">
        <w:trPr>
          <w:trHeight w:val="315"/>
        </w:trPr>
        <w:tc>
          <w:tcPr>
            <w:tcW w:w="2080" w:type="dxa"/>
            <w:tcBorders>
              <w:top w:val="single" w:sz="8" w:space="0" w:color="000000"/>
              <w:left w:val="single" w:sz="8" w:space="0" w:color="000000"/>
              <w:bottom w:val="single" w:sz="4" w:space="0" w:color="000000"/>
            </w:tcBorders>
            <w:shd w:val="clear" w:color="auto" w:fill="auto"/>
            <w:vAlign w:val="center"/>
          </w:tcPr>
          <w:p w:rsidR="007E60D0" w:rsidRDefault="007E60D0">
            <w:pPr>
              <w:snapToGrid w:val="0"/>
              <w:jc w:val="center"/>
              <w:rPr>
                <w:color w:val="000000"/>
                <w:szCs w:val="22"/>
              </w:rPr>
            </w:pPr>
          </w:p>
        </w:tc>
        <w:tc>
          <w:tcPr>
            <w:tcW w:w="1200" w:type="dxa"/>
            <w:tcBorders>
              <w:top w:val="single" w:sz="8" w:space="0" w:color="000000"/>
              <w:left w:val="single" w:sz="4" w:space="0" w:color="000000"/>
              <w:bottom w:val="single" w:sz="4"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2008</w:t>
            </w:r>
          </w:p>
        </w:tc>
        <w:tc>
          <w:tcPr>
            <w:tcW w:w="1200" w:type="dxa"/>
            <w:tcBorders>
              <w:top w:val="single" w:sz="8" w:space="0" w:color="000000"/>
              <w:left w:val="single" w:sz="4" w:space="0" w:color="000000"/>
              <w:bottom w:val="single" w:sz="4"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2009</w:t>
            </w:r>
          </w:p>
        </w:tc>
        <w:tc>
          <w:tcPr>
            <w:tcW w:w="1220" w:type="dxa"/>
            <w:tcBorders>
              <w:top w:val="single" w:sz="8" w:space="0" w:color="000000"/>
              <w:left w:val="single" w:sz="4" w:space="0" w:color="000000"/>
              <w:bottom w:val="single" w:sz="4" w:space="0" w:color="000000"/>
              <w:right w:val="single" w:sz="8"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2010</w:t>
            </w:r>
          </w:p>
        </w:tc>
      </w:tr>
      <w:tr w:rsidR="007E60D0">
        <w:trPr>
          <w:trHeight w:val="315"/>
        </w:trPr>
        <w:tc>
          <w:tcPr>
            <w:tcW w:w="2080" w:type="dxa"/>
            <w:tcBorders>
              <w:left w:val="single" w:sz="8" w:space="0" w:color="000000"/>
              <w:bottom w:val="single" w:sz="4" w:space="0" w:color="000000"/>
            </w:tcBorders>
            <w:shd w:val="clear" w:color="auto" w:fill="auto"/>
            <w:vAlign w:val="center"/>
          </w:tcPr>
          <w:p w:rsidR="007E60D0" w:rsidRDefault="007E60D0">
            <w:pPr>
              <w:snapToGrid w:val="0"/>
              <w:jc w:val="center"/>
              <w:rPr>
                <w:b/>
                <w:bCs/>
                <w:sz w:val="22"/>
                <w:szCs w:val="22"/>
              </w:rPr>
            </w:pPr>
            <w:r>
              <w:rPr>
                <w:b/>
                <w:bCs/>
                <w:sz w:val="22"/>
                <w:szCs w:val="22"/>
              </w:rPr>
              <w:t>SERVICIO DE LA DEUDA</w:t>
            </w:r>
          </w:p>
        </w:tc>
        <w:tc>
          <w:tcPr>
            <w:tcW w:w="1200" w:type="dxa"/>
            <w:tcBorders>
              <w:left w:val="single" w:sz="4" w:space="0" w:color="000000"/>
              <w:bottom w:val="single" w:sz="4" w:space="0" w:color="000000"/>
            </w:tcBorders>
            <w:shd w:val="clear" w:color="auto" w:fill="auto"/>
            <w:vAlign w:val="center"/>
          </w:tcPr>
          <w:p w:rsidR="007E60D0" w:rsidRDefault="007E60D0">
            <w:pPr>
              <w:snapToGrid w:val="0"/>
              <w:jc w:val="center"/>
              <w:rPr>
                <w:sz w:val="22"/>
                <w:szCs w:val="22"/>
              </w:rPr>
            </w:pPr>
            <w:r>
              <w:rPr>
                <w:sz w:val="22"/>
                <w:szCs w:val="22"/>
              </w:rPr>
              <w:t>966</w:t>
            </w:r>
          </w:p>
        </w:tc>
        <w:tc>
          <w:tcPr>
            <w:tcW w:w="1200" w:type="dxa"/>
            <w:tcBorders>
              <w:left w:val="single" w:sz="4" w:space="0" w:color="000000"/>
              <w:bottom w:val="single" w:sz="4" w:space="0" w:color="000000"/>
            </w:tcBorders>
            <w:shd w:val="clear" w:color="auto" w:fill="auto"/>
            <w:vAlign w:val="center"/>
          </w:tcPr>
          <w:p w:rsidR="007E60D0" w:rsidRDefault="007E60D0">
            <w:pPr>
              <w:snapToGrid w:val="0"/>
              <w:jc w:val="center"/>
              <w:rPr>
                <w:sz w:val="22"/>
                <w:szCs w:val="22"/>
              </w:rPr>
            </w:pPr>
            <w:r>
              <w:rPr>
                <w:sz w:val="22"/>
                <w:szCs w:val="22"/>
              </w:rPr>
              <w:t>2.766</w:t>
            </w:r>
          </w:p>
        </w:tc>
        <w:tc>
          <w:tcPr>
            <w:tcW w:w="1220" w:type="dxa"/>
            <w:tcBorders>
              <w:left w:val="single" w:sz="4" w:space="0" w:color="000000"/>
              <w:bottom w:val="single" w:sz="4" w:space="0" w:color="000000"/>
              <w:right w:val="single" w:sz="8" w:space="0" w:color="000000"/>
            </w:tcBorders>
            <w:shd w:val="clear" w:color="auto" w:fill="auto"/>
            <w:vAlign w:val="center"/>
          </w:tcPr>
          <w:p w:rsidR="007E60D0" w:rsidRDefault="007E60D0">
            <w:pPr>
              <w:snapToGrid w:val="0"/>
              <w:jc w:val="center"/>
              <w:rPr>
                <w:sz w:val="22"/>
                <w:szCs w:val="22"/>
              </w:rPr>
            </w:pPr>
            <w:r>
              <w:rPr>
                <w:sz w:val="22"/>
                <w:szCs w:val="22"/>
              </w:rPr>
              <w:t>4.569</w:t>
            </w:r>
          </w:p>
        </w:tc>
      </w:tr>
      <w:tr w:rsidR="007E60D0">
        <w:trPr>
          <w:trHeight w:val="315"/>
        </w:trPr>
        <w:tc>
          <w:tcPr>
            <w:tcW w:w="2080" w:type="dxa"/>
            <w:tcBorders>
              <w:left w:val="single" w:sz="8" w:space="0" w:color="000000"/>
              <w:bottom w:val="single" w:sz="4" w:space="0" w:color="000000"/>
            </w:tcBorders>
            <w:shd w:val="clear" w:color="auto" w:fill="auto"/>
            <w:vAlign w:val="center"/>
          </w:tcPr>
          <w:p w:rsidR="007E60D0" w:rsidRDefault="007E60D0">
            <w:pPr>
              <w:snapToGrid w:val="0"/>
              <w:jc w:val="center"/>
              <w:rPr>
                <w:sz w:val="22"/>
                <w:szCs w:val="22"/>
              </w:rPr>
            </w:pPr>
            <w:r>
              <w:rPr>
                <w:sz w:val="22"/>
                <w:szCs w:val="22"/>
              </w:rPr>
              <w:t>Amortización</w:t>
            </w:r>
          </w:p>
        </w:tc>
        <w:tc>
          <w:tcPr>
            <w:tcW w:w="1200" w:type="dxa"/>
            <w:tcBorders>
              <w:left w:val="single" w:sz="4" w:space="0" w:color="000000"/>
              <w:bottom w:val="single" w:sz="4" w:space="0" w:color="000000"/>
            </w:tcBorders>
            <w:shd w:val="clear" w:color="auto" w:fill="auto"/>
            <w:vAlign w:val="center"/>
          </w:tcPr>
          <w:p w:rsidR="007E60D0" w:rsidRDefault="007E60D0">
            <w:pPr>
              <w:snapToGrid w:val="0"/>
              <w:jc w:val="center"/>
              <w:rPr>
                <w:sz w:val="22"/>
                <w:szCs w:val="22"/>
              </w:rPr>
            </w:pPr>
            <w:r>
              <w:rPr>
                <w:sz w:val="22"/>
                <w:szCs w:val="22"/>
              </w:rPr>
              <w:t>34</w:t>
            </w:r>
          </w:p>
        </w:tc>
        <w:tc>
          <w:tcPr>
            <w:tcW w:w="1200" w:type="dxa"/>
            <w:tcBorders>
              <w:left w:val="single" w:sz="4" w:space="0" w:color="000000"/>
              <w:bottom w:val="single" w:sz="4" w:space="0" w:color="000000"/>
            </w:tcBorders>
            <w:shd w:val="clear" w:color="auto" w:fill="auto"/>
            <w:vAlign w:val="center"/>
          </w:tcPr>
          <w:p w:rsidR="007E60D0" w:rsidRDefault="007E60D0">
            <w:pPr>
              <w:snapToGrid w:val="0"/>
              <w:jc w:val="center"/>
              <w:rPr>
                <w:sz w:val="22"/>
                <w:szCs w:val="22"/>
              </w:rPr>
            </w:pPr>
            <w:r>
              <w:rPr>
                <w:sz w:val="22"/>
                <w:szCs w:val="22"/>
              </w:rPr>
              <w:t>200</w:t>
            </w:r>
          </w:p>
        </w:tc>
        <w:tc>
          <w:tcPr>
            <w:tcW w:w="1220" w:type="dxa"/>
            <w:tcBorders>
              <w:left w:val="single" w:sz="4" w:space="0" w:color="000000"/>
              <w:bottom w:val="single" w:sz="4" w:space="0" w:color="000000"/>
              <w:right w:val="single" w:sz="8" w:space="0" w:color="000000"/>
            </w:tcBorders>
            <w:shd w:val="clear" w:color="auto" w:fill="auto"/>
            <w:vAlign w:val="center"/>
          </w:tcPr>
          <w:p w:rsidR="007E60D0" w:rsidRDefault="007E60D0">
            <w:pPr>
              <w:snapToGrid w:val="0"/>
              <w:jc w:val="center"/>
              <w:rPr>
                <w:sz w:val="22"/>
                <w:szCs w:val="22"/>
              </w:rPr>
            </w:pPr>
            <w:r>
              <w:rPr>
                <w:sz w:val="22"/>
                <w:szCs w:val="22"/>
              </w:rPr>
              <w:t>192</w:t>
            </w:r>
          </w:p>
        </w:tc>
      </w:tr>
      <w:tr w:rsidR="007E60D0">
        <w:trPr>
          <w:trHeight w:val="330"/>
        </w:trPr>
        <w:tc>
          <w:tcPr>
            <w:tcW w:w="2080" w:type="dxa"/>
            <w:tcBorders>
              <w:left w:val="single" w:sz="8" w:space="0" w:color="000000"/>
              <w:bottom w:val="single" w:sz="8" w:space="0" w:color="000000"/>
            </w:tcBorders>
            <w:shd w:val="clear" w:color="auto" w:fill="auto"/>
            <w:vAlign w:val="center"/>
          </w:tcPr>
          <w:p w:rsidR="007E60D0" w:rsidRDefault="007E60D0">
            <w:pPr>
              <w:snapToGrid w:val="0"/>
              <w:jc w:val="center"/>
              <w:rPr>
                <w:sz w:val="22"/>
                <w:szCs w:val="22"/>
              </w:rPr>
            </w:pPr>
            <w:r>
              <w:rPr>
                <w:sz w:val="22"/>
                <w:szCs w:val="22"/>
              </w:rPr>
              <w:t>Intereses</w:t>
            </w:r>
          </w:p>
        </w:tc>
        <w:tc>
          <w:tcPr>
            <w:tcW w:w="1200" w:type="dxa"/>
            <w:tcBorders>
              <w:left w:val="single" w:sz="4" w:space="0" w:color="000000"/>
              <w:bottom w:val="single" w:sz="8" w:space="0" w:color="000000"/>
            </w:tcBorders>
            <w:shd w:val="clear" w:color="auto" w:fill="auto"/>
            <w:vAlign w:val="center"/>
          </w:tcPr>
          <w:p w:rsidR="007E60D0" w:rsidRDefault="007E60D0">
            <w:pPr>
              <w:snapToGrid w:val="0"/>
              <w:jc w:val="center"/>
              <w:rPr>
                <w:sz w:val="22"/>
                <w:szCs w:val="22"/>
              </w:rPr>
            </w:pPr>
            <w:r>
              <w:rPr>
                <w:sz w:val="22"/>
                <w:szCs w:val="22"/>
              </w:rPr>
              <w:t>160</w:t>
            </w:r>
          </w:p>
        </w:tc>
        <w:tc>
          <w:tcPr>
            <w:tcW w:w="1200" w:type="dxa"/>
            <w:tcBorders>
              <w:left w:val="single" w:sz="4" w:space="0" w:color="000000"/>
              <w:bottom w:val="single" w:sz="8" w:space="0" w:color="000000"/>
            </w:tcBorders>
            <w:shd w:val="clear" w:color="auto" w:fill="auto"/>
            <w:vAlign w:val="center"/>
          </w:tcPr>
          <w:p w:rsidR="007E60D0" w:rsidRDefault="007E60D0">
            <w:pPr>
              <w:snapToGrid w:val="0"/>
              <w:jc w:val="center"/>
              <w:rPr>
                <w:sz w:val="22"/>
                <w:szCs w:val="22"/>
              </w:rPr>
            </w:pPr>
            <w:r>
              <w:rPr>
                <w:sz w:val="22"/>
                <w:szCs w:val="22"/>
              </w:rPr>
              <w:t>116</w:t>
            </w:r>
          </w:p>
        </w:tc>
        <w:tc>
          <w:tcPr>
            <w:tcW w:w="1220" w:type="dxa"/>
            <w:tcBorders>
              <w:left w:val="single" w:sz="4" w:space="0" w:color="000000"/>
              <w:bottom w:val="single" w:sz="8" w:space="0" w:color="000000"/>
              <w:right w:val="single" w:sz="8" w:space="0" w:color="000000"/>
            </w:tcBorders>
            <w:shd w:val="clear" w:color="auto" w:fill="auto"/>
            <w:vAlign w:val="center"/>
          </w:tcPr>
          <w:p w:rsidR="007E60D0" w:rsidRDefault="007E60D0">
            <w:pPr>
              <w:snapToGrid w:val="0"/>
              <w:jc w:val="center"/>
              <w:rPr>
                <w:sz w:val="22"/>
                <w:szCs w:val="22"/>
              </w:rPr>
            </w:pPr>
            <w:r>
              <w:rPr>
                <w:sz w:val="22"/>
                <w:szCs w:val="22"/>
              </w:rPr>
              <w:t>977</w:t>
            </w:r>
          </w:p>
        </w:tc>
      </w:tr>
    </w:tbl>
    <w:p w:rsidR="007E60D0" w:rsidRDefault="007E60D0">
      <w:pPr>
        <w:jc w:val="both"/>
        <w:rPr>
          <w:szCs w:val="24"/>
          <w:lang w:val="es-ES_tradnl"/>
        </w:rPr>
      </w:pPr>
    </w:p>
    <w:p w:rsidR="007E60D0" w:rsidRDefault="007E60D0">
      <w:pPr>
        <w:jc w:val="both"/>
        <w:rPr>
          <w:szCs w:val="24"/>
          <w:lang w:val="es-ES_tradnl"/>
        </w:rPr>
      </w:pPr>
    </w:p>
    <w:p w:rsidR="007E60D0" w:rsidRDefault="007E60D0">
      <w:pPr>
        <w:jc w:val="center"/>
        <w:rPr>
          <w:b/>
          <w:szCs w:val="24"/>
          <w:lang w:val="es-ES_tradnl"/>
        </w:rPr>
      </w:pPr>
      <w:r>
        <w:rPr>
          <w:b/>
          <w:szCs w:val="24"/>
          <w:lang w:val="es-ES_tradnl"/>
        </w:rPr>
        <w:t>Gráfica No. 8</w:t>
      </w:r>
    </w:p>
    <w:p w:rsidR="007E60D0" w:rsidRDefault="007E60D0">
      <w:pPr>
        <w:jc w:val="center"/>
        <w:rPr>
          <w:b/>
          <w:szCs w:val="24"/>
          <w:lang w:val="es-ES_tradnl"/>
        </w:rPr>
      </w:pPr>
      <w:r>
        <w:rPr>
          <w:b/>
          <w:szCs w:val="24"/>
          <w:lang w:val="es-ES_tradnl"/>
        </w:rPr>
        <w:t>Composición de la Deuda Pública 2008 – 2010</w:t>
      </w:r>
    </w:p>
    <w:p w:rsidR="007E60D0" w:rsidRDefault="007E60D0">
      <w:pPr>
        <w:jc w:val="center"/>
        <w:rPr>
          <w:b/>
          <w:szCs w:val="24"/>
          <w:lang w:val="es-ES_tradnl"/>
        </w:rPr>
      </w:pPr>
    </w:p>
    <w:p w:rsidR="007E60D0" w:rsidRDefault="00944E93">
      <w:pPr>
        <w:jc w:val="center"/>
        <w:rPr>
          <w:szCs w:val="24"/>
          <w:lang w:val="es-CO"/>
        </w:rPr>
      </w:pPr>
      <w:r>
        <w:rPr>
          <w:noProof/>
          <w:szCs w:val="24"/>
          <w:lang w:val="es-CO" w:eastAsia="es-CO"/>
        </w:rPr>
        <w:drawing>
          <wp:inline distT="0" distB="0" distL="0" distR="0">
            <wp:extent cx="4048125" cy="2543175"/>
            <wp:effectExtent l="19050" t="0" r="9525"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srcRect/>
                    <a:stretch>
                      <a:fillRect/>
                    </a:stretch>
                  </pic:blipFill>
                  <pic:spPr bwMode="auto">
                    <a:xfrm>
                      <a:off x="0" y="0"/>
                      <a:ext cx="4048125" cy="2543175"/>
                    </a:xfrm>
                    <a:prstGeom prst="rect">
                      <a:avLst/>
                    </a:prstGeom>
                    <a:solidFill>
                      <a:srgbClr val="FFFFFF"/>
                    </a:solidFill>
                    <a:ln w="9525">
                      <a:noFill/>
                      <a:miter lim="800000"/>
                      <a:headEnd/>
                      <a:tailEnd/>
                    </a:ln>
                  </pic:spPr>
                </pic:pic>
              </a:graphicData>
            </a:graphic>
          </wp:inline>
        </w:drawing>
      </w:r>
    </w:p>
    <w:p w:rsidR="007E60D0" w:rsidRDefault="007E60D0">
      <w:pPr>
        <w:jc w:val="center"/>
        <w:rPr>
          <w:szCs w:val="24"/>
          <w:lang w:val="es-CO"/>
        </w:rPr>
      </w:pPr>
    </w:p>
    <w:p w:rsidR="007E60D0" w:rsidRDefault="007E60D0">
      <w:pPr>
        <w:jc w:val="both"/>
        <w:rPr>
          <w:b/>
          <w:szCs w:val="24"/>
          <w:lang w:val="es-ES_tradnl"/>
        </w:rPr>
      </w:pPr>
    </w:p>
    <w:p w:rsidR="007E60D0" w:rsidRDefault="007E60D0">
      <w:pPr>
        <w:jc w:val="both"/>
        <w:rPr>
          <w:b/>
          <w:szCs w:val="24"/>
          <w:lang w:val="es-ES_tradnl"/>
        </w:rPr>
      </w:pPr>
      <w:r>
        <w:rPr>
          <w:b/>
          <w:szCs w:val="24"/>
          <w:lang w:val="es-ES_tradnl"/>
        </w:rPr>
        <w:t>1.5</w:t>
      </w:r>
      <w:r>
        <w:rPr>
          <w:b/>
          <w:szCs w:val="24"/>
          <w:lang w:val="es-ES_tradnl"/>
        </w:rPr>
        <w:tab/>
        <w:t>Resultados o conclusiones del Plan Financiero</w:t>
      </w:r>
    </w:p>
    <w:p w:rsidR="007E60D0" w:rsidRDefault="007E60D0">
      <w:pPr>
        <w:tabs>
          <w:tab w:val="left" w:pos="2160"/>
        </w:tabs>
        <w:jc w:val="both"/>
        <w:rPr>
          <w:b/>
          <w:szCs w:val="24"/>
          <w:lang w:val="es-ES_tradnl"/>
        </w:rPr>
      </w:pPr>
    </w:p>
    <w:p w:rsidR="007E60D0" w:rsidRDefault="007E60D0">
      <w:pPr>
        <w:tabs>
          <w:tab w:val="left" w:pos="2160"/>
        </w:tabs>
        <w:jc w:val="both"/>
        <w:rPr>
          <w:szCs w:val="24"/>
          <w:lang w:val="es-ES_tradnl"/>
        </w:rPr>
      </w:pPr>
      <w:r>
        <w:rPr>
          <w:szCs w:val="24"/>
          <w:lang w:val="es-ES_tradnl"/>
        </w:rPr>
        <w:t>Los resultados del Plan Financiero se enmarcan en el hecho que el municipio debe aumentar el recaudo de los recursos propios para financiar sus gastos de funcionamiento, deuda pública y gastos de inversión, situación que se describe en la Matriz DOFA.</w:t>
      </w:r>
    </w:p>
    <w:p w:rsidR="007E60D0" w:rsidRDefault="007E60D0">
      <w:pPr>
        <w:tabs>
          <w:tab w:val="left" w:pos="2160"/>
        </w:tabs>
        <w:jc w:val="both"/>
        <w:rPr>
          <w:szCs w:val="24"/>
          <w:lang w:val="es-ES_tradnl"/>
        </w:rPr>
      </w:pPr>
    </w:p>
    <w:p w:rsidR="007E60D0" w:rsidRDefault="007E60D0">
      <w:pPr>
        <w:tabs>
          <w:tab w:val="left" w:pos="2160"/>
        </w:tabs>
        <w:jc w:val="both"/>
        <w:rPr>
          <w:szCs w:val="24"/>
          <w:lang w:val="es-ES_tradnl"/>
        </w:rPr>
      </w:pPr>
    </w:p>
    <w:p w:rsidR="007E60D0" w:rsidRDefault="007E60D0">
      <w:pPr>
        <w:pStyle w:val="Prrafodelista"/>
        <w:numPr>
          <w:ilvl w:val="2"/>
          <w:numId w:val="8"/>
        </w:numPr>
        <w:tabs>
          <w:tab w:val="left" w:pos="2160"/>
        </w:tabs>
        <w:jc w:val="both"/>
        <w:rPr>
          <w:rFonts w:ascii="Times New Roman" w:hAnsi="Times New Roman" w:cs="Times New Roman"/>
          <w:b/>
          <w:sz w:val="24"/>
          <w:szCs w:val="24"/>
          <w:lang w:val="es-ES_tradnl"/>
        </w:rPr>
      </w:pPr>
      <w:r>
        <w:rPr>
          <w:rFonts w:ascii="Times New Roman" w:hAnsi="Times New Roman" w:cs="Times New Roman"/>
          <w:b/>
          <w:sz w:val="24"/>
          <w:szCs w:val="24"/>
          <w:lang w:val="es-ES_tradnl"/>
        </w:rPr>
        <w:t>Matriz  DOFA</w:t>
      </w:r>
    </w:p>
    <w:p w:rsidR="007E60D0" w:rsidRDefault="007E60D0">
      <w:pPr>
        <w:pStyle w:val="Prrafodelista"/>
        <w:tabs>
          <w:tab w:val="left" w:pos="2160"/>
        </w:tabs>
        <w:ind w:left="2595"/>
        <w:jc w:val="both"/>
        <w:rPr>
          <w:rFonts w:ascii="Times New Roman" w:hAnsi="Times New Roman" w:cs="Times New Roman"/>
          <w:b/>
          <w:sz w:val="24"/>
          <w:szCs w:val="24"/>
          <w:lang w:val="es-ES_tradnl"/>
        </w:rPr>
      </w:pPr>
    </w:p>
    <w:p w:rsidR="007E60D0" w:rsidRDefault="007E60D0">
      <w:pPr>
        <w:tabs>
          <w:tab w:val="left" w:pos="2160"/>
        </w:tabs>
        <w:jc w:val="both"/>
        <w:rPr>
          <w:szCs w:val="24"/>
          <w:lang w:val="es-ES_tradnl"/>
        </w:rPr>
      </w:pPr>
      <w:r>
        <w:rPr>
          <w:szCs w:val="24"/>
          <w:lang w:val="es-ES_tradnl"/>
        </w:rPr>
        <w:t>Mediante esta herramienta de identificación de debilidades, fortalezas, amenazas y oportunidades, es posible visualizar la problemática del municipio, encontrada en el diagnóstico.</w:t>
      </w:r>
    </w:p>
    <w:p w:rsidR="007E60D0" w:rsidRDefault="007E60D0">
      <w:pPr>
        <w:tabs>
          <w:tab w:val="left" w:pos="2160"/>
        </w:tabs>
        <w:jc w:val="both"/>
        <w:rPr>
          <w:szCs w:val="24"/>
          <w:lang w:val="es-ES_tradnl"/>
        </w:rPr>
      </w:pPr>
    </w:p>
    <w:tbl>
      <w:tblPr>
        <w:tblW w:w="0" w:type="auto"/>
        <w:tblInd w:w="70" w:type="dxa"/>
        <w:tblLayout w:type="fixed"/>
        <w:tblCellMar>
          <w:left w:w="70" w:type="dxa"/>
          <w:right w:w="70" w:type="dxa"/>
        </w:tblCellMar>
        <w:tblLook w:val="0000"/>
      </w:tblPr>
      <w:tblGrid>
        <w:gridCol w:w="4500"/>
        <w:gridCol w:w="4289"/>
        <w:gridCol w:w="20"/>
      </w:tblGrid>
      <w:tr w:rsidR="007E60D0">
        <w:trPr>
          <w:gridAfter w:val="1"/>
          <w:wAfter w:w="20" w:type="dxa"/>
          <w:trHeight w:val="315"/>
        </w:trPr>
        <w:tc>
          <w:tcPr>
            <w:tcW w:w="8789" w:type="dxa"/>
            <w:gridSpan w:val="2"/>
            <w:shd w:val="clear" w:color="auto" w:fill="auto"/>
            <w:vAlign w:val="bottom"/>
          </w:tcPr>
          <w:p w:rsidR="007E60D0" w:rsidRDefault="007E60D0">
            <w:pPr>
              <w:snapToGrid w:val="0"/>
              <w:jc w:val="center"/>
              <w:rPr>
                <w:b/>
                <w:bCs/>
                <w:szCs w:val="24"/>
                <w:lang w:val="es-ES_tradnl"/>
              </w:rPr>
            </w:pPr>
          </w:p>
          <w:p w:rsidR="007E60D0" w:rsidRDefault="007E60D0">
            <w:pPr>
              <w:jc w:val="center"/>
              <w:rPr>
                <w:b/>
                <w:bCs/>
                <w:szCs w:val="24"/>
                <w:lang w:val="es-ES_tradnl"/>
              </w:rPr>
            </w:pPr>
          </w:p>
          <w:p w:rsidR="007E60D0" w:rsidRDefault="007E60D0">
            <w:pPr>
              <w:jc w:val="center"/>
              <w:rPr>
                <w:b/>
                <w:bCs/>
                <w:szCs w:val="24"/>
                <w:lang w:val="es-ES_tradnl"/>
              </w:rPr>
            </w:pPr>
            <w:r>
              <w:rPr>
                <w:b/>
                <w:bCs/>
                <w:szCs w:val="24"/>
                <w:lang w:val="es-ES_tradnl"/>
              </w:rPr>
              <w:t>CUADRO No. 9</w:t>
            </w:r>
          </w:p>
        </w:tc>
      </w:tr>
      <w:tr w:rsidR="007E60D0">
        <w:trPr>
          <w:gridAfter w:val="1"/>
          <w:wAfter w:w="20" w:type="dxa"/>
          <w:trHeight w:val="330"/>
        </w:trPr>
        <w:tc>
          <w:tcPr>
            <w:tcW w:w="8789" w:type="dxa"/>
            <w:gridSpan w:val="2"/>
            <w:tcBorders>
              <w:bottom w:val="single" w:sz="8" w:space="0" w:color="000000"/>
            </w:tcBorders>
            <w:shd w:val="clear" w:color="auto" w:fill="auto"/>
            <w:vAlign w:val="bottom"/>
          </w:tcPr>
          <w:p w:rsidR="007E60D0" w:rsidRDefault="007E60D0">
            <w:pPr>
              <w:snapToGrid w:val="0"/>
              <w:jc w:val="center"/>
              <w:rPr>
                <w:b/>
                <w:bCs/>
                <w:szCs w:val="24"/>
                <w:lang w:val="fr-FR"/>
              </w:rPr>
            </w:pPr>
            <w:r>
              <w:rPr>
                <w:b/>
                <w:bCs/>
                <w:szCs w:val="24"/>
                <w:lang w:val="fr-FR"/>
              </w:rPr>
              <w:t>MATRIZ DOFA</w:t>
            </w:r>
          </w:p>
          <w:p w:rsidR="007E60D0" w:rsidRDefault="007E60D0">
            <w:pPr>
              <w:jc w:val="center"/>
              <w:rPr>
                <w:b/>
                <w:bCs/>
                <w:szCs w:val="24"/>
                <w:lang w:val="fr-FR"/>
              </w:rPr>
            </w:pPr>
          </w:p>
        </w:tc>
      </w:tr>
      <w:tr w:rsidR="007E60D0">
        <w:trPr>
          <w:trHeight w:val="330"/>
        </w:trPr>
        <w:tc>
          <w:tcPr>
            <w:tcW w:w="4500" w:type="dxa"/>
            <w:tcBorders>
              <w:left w:val="single" w:sz="8" w:space="0" w:color="000000"/>
              <w:bottom w:val="single" w:sz="8" w:space="0" w:color="000000"/>
            </w:tcBorders>
            <w:shd w:val="clear" w:color="auto" w:fill="auto"/>
            <w:vAlign w:val="bottom"/>
          </w:tcPr>
          <w:p w:rsidR="007E60D0" w:rsidRDefault="007E60D0">
            <w:pPr>
              <w:snapToGrid w:val="0"/>
              <w:jc w:val="center"/>
              <w:rPr>
                <w:b/>
                <w:bCs/>
                <w:szCs w:val="24"/>
              </w:rPr>
            </w:pPr>
            <w:r>
              <w:rPr>
                <w:b/>
                <w:bCs/>
                <w:szCs w:val="24"/>
              </w:rPr>
              <w:t>DEBILIDADES</w:t>
            </w:r>
          </w:p>
        </w:tc>
        <w:tc>
          <w:tcPr>
            <w:tcW w:w="4309" w:type="dxa"/>
            <w:gridSpan w:val="2"/>
            <w:tcBorders>
              <w:left w:val="single" w:sz="8" w:space="0" w:color="000000"/>
              <w:bottom w:val="single" w:sz="4" w:space="0" w:color="000000"/>
              <w:right w:val="single" w:sz="8" w:space="0" w:color="000000"/>
            </w:tcBorders>
            <w:shd w:val="clear" w:color="auto" w:fill="auto"/>
            <w:vAlign w:val="bottom"/>
          </w:tcPr>
          <w:p w:rsidR="007E60D0" w:rsidRDefault="007E60D0">
            <w:pPr>
              <w:snapToGrid w:val="0"/>
              <w:jc w:val="center"/>
              <w:rPr>
                <w:b/>
                <w:bCs/>
                <w:szCs w:val="24"/>
              </w:rPr>
            </w:pPr>
            <w:r>
              <w:rPr>
                <w:b/>
                <w:bCs/>
                <w:szCs w:val="24"/>
              </w:rPr>
              <w:t>FORTALEZAS</w:t>
            </w:r>
          </w:p>
        </w:tc>
      </w:tr>
      <w:tr w:rsidR="007E60D0">
        <w:trPr>
          <w:cantSplit/>
          <w:trHeight w:val="600"/>
        </w:trPr>
        <w:tc>
          <w:tcPr>
            <w:tcW w:w="4500" w:type="dxa"/>
            <w:tcBorders>
              <w:top w:val="single" w:sz="8" w:space="0" w:color="000000"/>
              <w:left w:val="single" w:sz="8" w:space="0" w:color="000000"/>
            </w:tcBorders>
            <w:shd w:val="clear" w:color="auto" w:fill="auto"/>
            <w:vAlign w:val="bottom"/>
          </w:tcPr>
          <w:p w:rsidR="007E60D0" w:rsidRDefault="007E60D0">
            <w:pPr>
              <w:snapToGrid w:val="0"/>
              <w:jc w:val="both"/>
              <w:rPr>
                <w:szCs w:val="24"/>
              </w:rPr>
            </w:pPr>
            <w:r>
              <w:rPr>
                <w:szCs w:val="24"/>
              </w:rPr>
              <w:t>* El recaudo históricamente no han sido suficientes para cubrir sus propios gastos de funcionamiento.</w:t>
            </w:r>
          </w:p>
        </w:tc>
        <w:tc>
          <w:tcPr>
            <w:tcW w:w="4309" w:type="dxa"/>
            <w:gridSpan w:val="2"/>
            <w:vMerge w:val="restart"/>
            <w:tcBorders>
              <w:top w:val="single" w:sz="8" w:space="0" w:color="000000"/>
              <w:left w:val="single" w:sz="8" w:space="0" w:color="000000"/>
              <w:bottom w:val="single" w:sz="4" w:space="0" w:color="000000"/>
              <w:right w:val="single" w:sz="8" w:space="0" w:color="000000"/>
            </w:tcBorders>
            <w:shd w:val="clear" w:color="auto" w:fill="auto"/>
            <w:vAlign w:val="center"/>
          </w:tcPr>
          <w:p w:rsidR="007E60D0" w:rsidRDefault="007E60D0">
            <w:pPr>
              <w:snapToGrid w:val="0"/>
              <w:jc w:val="both"/>
              <w:rPr>
                <w:szCs w:val="24"/>
              </w:rPr>
            </w:pPr>
            <w:r>
              <w:rPr>
                <w:szCs w:val="24"/>
              </w:rPr>
              <w:t>* La reestructuración administrativa generará ahorro operacional en los próximos años.</w:t>
            </w:r>
          </w:p>
          <w:p w:rsidR="007E60D0" w:rsidRDefault="007E60D0">
            <w:pPr>
              <w:jc w:val="both"/>
              <w:rPr>
                <w:szCs w:val="24"/>
              </w:rPr>
            </w:pPr>
          </w:p>
          <w:p w:rsidR="007E60D0" w:rsidRDefault="007E60D0">
            <w:pPr>
              <w:jc w:val="both"/>
              <w:rPr>
                <w:szCs w:val="24"/>
              </w:rPr>
            </w:pPr>
            <w:r>
              <w:rPr>
                <w:szCs w:val="24"/>
              </w:rPr>
              <w:t>* La planta de personal es reducida, un empleado por cada mil habitantes y comprometida.</w:t>
            </w:r>
          </w:p>
        </w:tc>
      </w:tr>
      <w:tr w:rsidR="007E60D0">
        <w:trPr>
          <w:cantSplit/>
          <w:trHeight w:val="900"/>
        </w:trPr>
        <w:tc>
          <w:tcPr>
            <w:tcW w:w="4500" w:type="dxa"/>
            <w:tcBorders>
              <w:left w:val="single" w:sz="8" w:space="0" w:color="000000"/>
            </w:tcBorders>
            <w:shd w:val="clear" w:color="auto" w:fill="auto"/>
            <w:vAlign w:val="bottom"/>
          </w:tcPr>
          <w:p w:rsidR="007E60D0" w:rsidRDefault="007E60D0">
            <w:pPr>
              <w:snapToGrid w:val="0"/>
              <w:jc w:val="both"/>
              <w:rPr>
                <w:szCs w:val="24"/>
              </w:rPr>
            </w:pPr>
            <w:r>
              <w:rPr>
                <w:szCs w:val="24"/>
              </w:rPr>
              <w:t>* La Infraestructura Administrativa es deficiente para el proceso de recaudo, al igual que la de Planeación.</w:t>
            </w:r>
          </w:p>
        </w:tc>
        <w:tc>
          <w:tcPr>
            <w:tcW w:w="4309" w:type="dxa"/>
            <w:gridSpan w:val="2"/>
            <w:vMerge/>
            <w:tcBorders>
              <w:top w:val="single" w:sz="8" w:space="0" w:color="000000"/>
              <w:left w:val="single" w:sz="8" w:space="0" w:color="000000"/>
              <w:bottom w:val="single" w:sz="4" w:space="0" w:color="000000"/>
              <w:right w:val="single" w:sz="8" w:space="0" w:color="000000"/>
            </w:tcBorders>
            <w:shd w:val="clear" w:color="auto" w:fill="auto"/>
            <w:vAlign w:val="center"/>
          </w:tcPr>
          <w:p w:rsidR="007E60D0" w:rsidRDefault="007E60D0">
            <w:pPr>
              <w:snapToGrid w:val="0"/>
              <w:jc w:val="both"/>
              <w:rPr>
                <w:szCs w:val="24"/>
              </w:rPr>
            </w:pPr>
          </w:p>
        </w:tc>
      </w:tr>
      <w:tr w:rsidR="007E60D0">
        <w:trPr>
          <w:cantSplit/>
          <w:trHeight w:val="600"/>
        </w:trPr>
        <w:tc>
          <w:tcPr>
            <w:tcW w:w="4500" w:type="dxa"/>
            <w:tcBorders>
              <w:left w:val="single" w:sz="8" w:space="0" w:color="000000"/>
            </w:tcBorders>
            <w:shd w:val="clear" w:color="auto" w:fill="auto"/>
            <w:vAlign w:val="bottom"/>
          </w:tcPr>
          <w:p w:rsidR="007E60D0" w:rsidRDefault="007E60D0">
            <w:pPr>
              <w:snapToGrid w:val="0"/>
              <w:jc w:val="both"/>
              <w:rPr>
                <w:szCs w:val="24"/>
              </w:rPr>
            </w:pPr>
            <w:r>
              <w:rPr>
                <w:szCs w:val="24"/>
              </w:rPr>
              <w:t>* Falta sensibilización en la comunidad, sobre un estado participativo y no paternalista.</w:t>
            </w:r>
          </w:p>
        </w:tc>
        <w:tc>
          <w:tcPr>
            <w:tcW w:w="4309" w:type="dxa"/>
            <w:gridSpan w:val="2"/>
            <w:vMerge/>
            <w:tcBorders>
              <w:top w:val="single" w:sz="8" w:space="0" w:color="000000"/>
              <w:left w:val="single" w:sz="8" w:space="0" w:color="000000"/>
              <w:bottom w:val="single" w:sz="4" w:space="0" w:color="000000"/>
              <w:right w:val="single" w:sz="8" w:space="0" w:color="000000"/>
            </w:tcBorders>
            <w:shd w:val="clear" w:color="auto" w:fill="auto"/>
            <w:vAlign w:val="center"/>
          </w:tcPr>
          <w:p w:rsidR="007E60D0" w:rsidRDefault="007E60D0">
            <w:pPr>
              <w:snapToGrid w:val="0"/>
              <w:jc w:val="both"/>
              <w:rPr>
                <w:szCs w:val="24"/>
              </w:rPr>
            </w:pPr>
          </w:p>
        </w:tc>
      </w:tr>
      <w:tr w:rsidR="007E60D0">
        <w:trPr>
          <w:cantSplit/>
          <w:trHeight w:val="300"/>
        </w:trPr>
        <w:tc>
          <w:tcPr>
            <w:tcW w:w="4500" w:type="dxa"/>
            <w:tcBorders>
              <w:left w:val="single" w:sz="8" w:space="0" w:color="000000"/>
            </w:tcBorders>
            <w:shd w:val="clear" w:color="auto" w:fill="auto"/>
            <w:vAlign w:val="bottom"/>
          </w:tcPr>
          <w:p w:rsidR="007E60D0" w:rsidRDefault="007E60D0">
            <w:pPr>
              <w:snapToGrid w:val="0"/>
              <w:jc w:val="both"/>
              <w:rPr>
                <w:szCs w:val="24"/>
              </w:rPr>
            </w:pPr>
            <w:r>
              <w:rPr>
                <w:szCs w:val="24"/>
              </w:rPr>
              <w:t>* Las metas de recaudo no se cumplen en un 100%.</w:t>
            </w:r>
          </w:p>
        </w:tc>
        <w:tc>
          <w:tcPr>
            <w:tcW w:w="4309" w:type="dxa"/>
            <w:gridSpan w:val="2"/>
            <w:vMerge/>
            <w:tcBorders>
              <w:top w:val="single" w:sz="8" w:space="0" w:color="000000"/>
              <w:left w:val="single" w:sz="8" w:space="0" w:color="000000"/>
              <w:bottom w:val="single" w:sz="4" w:space="0" w:color="000000"/>
              <w:right w:val="single" w:sz="8" w:space="0" w:color="000000"/>
            </w:tcBorders>
            <w:shd w:val="clear" w:color="auto" w:fill="auto"/>
            <w:vAlign w:val="center"/>
          </w:tcPr>
          <w:p w:rsidR="007E60D0" w:rsidRDefault="007E60D0">
            <w:pPr>
              <w:snapToGrid w:val="0"/>
              <w:jc w:val="both"/>
              <w:rPr>
                <w:szCs w:val="24"/>
              </w:rPr>
            </w:pPr>
          </w:p>
        </w:tc>
      </w:tr>
      <w:tr w:rsidR="007E60D0">
        <w:trPr>
          <w:cantSplit/>
          <w:trHeight w:val="600"/>
        </w:trPr>
        <w:tc>
          <w:tcPr>
            <w:tcW w:w="4500" w:type="dxa"/>
            <w:tcBorders>
              <w:left w:val="single" w:sz="8" w:space="0" w:color="000000"/>
            </w:tcBorders>
            <w:shd w:val="clear" w:color="auto" w:fill="auto"/>
            <w:vAlign w:val="bottom"/>
          </w:tcPr>
          <w:p w:rsidR="007E60D0" w:rsidRDefault="007E60D0">
            <w:pPr>
              <w:snapToGrid w:val="0"/>
              <w:jc w:val="both"/>
              <w:rPr>
                <w:szCs w:val="24"/>
              </w:rPr>
            </w:pPr>
            <w:r>
              <w:rPr>
                <w:szCs w:val="24"/>
              </w:rPr>
              <w:t>* Los gastos generales, aun continúan siendo elevados.</w:t>
            </w:r>
          </w:p>
        </w:tc>
        <w:tc>
          <w:tcPr>
            <w:tcW w:w="4309" w:type="dxa"/>
            <w:gridSpan w:val="2"/>
            <w:vMerge/>
            <w:tcBorders>
              <w:top w:val="single" w:sz="8" w:space="0" w:color="000000"/>
              <w:left w:val="single" w:sz="8" w:space="0" w:color="000000"/>
              <w:bottom w:val="single" w:sz="4" w:space="0" w:color="000000"/>
              <w:right w:val="single" w:sz="8" w:space="0" w:color="000000"/>
            </w:tcBorders>
            <w:shd w:val="clear" w:color="auto" w:fill="auto"/>
            <w:vAlign w:val="bottom"/>
          </w:tcPr>
          <w:p w:rsidR="007E60D0" w:rsidRDefault="007E60D0">
            <w:pPr>
              <w:snapToGrid w:val="0"/>
              <w:jc w:val="both"/>
              <w:rPr>
                <w:szCs w:val="24"/>
              </w:rPr>
            </w:pPr>
          </w:p>
        </w:tc>
      </w:tr>
      <w:tr w:rsidR="007E60D0">
        <w:trPr>
          <w:cantSplit/>
          <w:trHeight w:val="900"/>
        </w:trPr>
        <w:tc>
          <w:tcPr>
            <w:tcW w:w="4500" w:type="dxa"/>
            <w:tcBorders>
              <w:left w:val="single" w:sz="8" w:space="0" w:color="000000"/>
            </w:tcBorders>
            <w:shd w:val="clear" w:color="auto" w:fill="auto"/>
            <w:vAlign w:val="bottom"/>
          </w:tcPr>
          <w:p w:rsidR="007E60D0" w:rsidRDefault="007E60D0">
            <w:pPr>
              <w:snapToGrid w:val="0"/>
              <w:jc w:val="both"/>
              <w:rPr>
                <w:szCs w:val="24"/>
              </w:rPr>
            </w:pPr>
            <w:r>
              <w:rPr>
                <w:szCs w:val="24"/>
              </w:rPr>
              <w:t>* El sentido de pertenencia, no está debidamente fundamentado en los diferentes estamentos del municipio.</w:t>
            </w:r>
          </w:p>
        </w:tc>
        <w:tc>
          <w:tcPr>
            <w:tcW w:w="4309" w:type="dxa"/>
            <w:gridSpan w:val="2"/>
            <w:vMerge/>
            <w:tcBorders>
              <w:top w:val="single" w:sz="8" w:space="0" w:color="000000"/>
              <w:left w:val="single" w:sz="8" w:space="0" w:color="000000"/>
              <w:bottom w:val="single" w:sz="4" w:space="0" w:color="000000"/>
              <w:right w:val="single" w:sz="8" w:space="0" w:color="000000"/>
            </w:tcBorders>
            <w:shd w:val="clear" w:color="auto" w:fill="auto"/>
            <w:vAlign w:val="center"/>
          </w:tcPr>
          <w:p w:rsidR="007E60D0" w:rsidRDefault="007E60D0">
            <w:pPr>
              <w:snapToGrid w:val="0"/>
              <w:rPr>
                <w:szCs w:val="24"/>
              </w:rPr>
            </w:pPr>
          </w:p>
        </w:tc>
      </w:tr>
      <w:tr w:rsidR="007E60D0">
        <w:trPr>
          <w:cantSplit/>
          <w:trHeight w:val="600"/>
        </w:trPr>
        <w:tc>
          <w:tcPr>
            <w:tcW w:w="4500" w:type="dxa"/>
            <w:tcBorders>
              <w:left w:val="single" w:sz="8" w:space="0" w:color="000000"/>
            </w:tcBorders>
            <w:shd w:val="clear" w:color="auto" w:fill="auto"/>
            <w:vAlign w:val="bottom"/>
          </w:tcPr>
          <w:p w:rsidR="007E60D0" w:rsidRDefault="007E60D0">
            <w:pPr>
              <w:snapToGrid w:val="0"/>
              <w:jc w:val="both"/>
              <w:rPr>
                <w:szCs w:val="24"/>
              </w:rPr>
            </w:pPr>
            <w:r>
              <w:rPr>
                <w:szCs w:val="24"/>
              </w:rPr>
              <w:t>* No existe un plan de estímulos para los empleados.</w:t>
            </w:r>
          </w:p>
        </w:tc>
        <w:tc>
          <w:tcPr>
            <w:tcW w:w="4309" w:type="dxa"/>
            <w:gridSpan w:val="2"/>
            <w:vMerge/>
            <w:tcBorders>
              <w:top w:val="single" w:sz="8" w:space="0" w:color="000000"/>
              <w:left w:val="single" w:sz="8" w:space="0" w:color="000000"/>
              <w:bottom w:val="single" w:sz="4" w:space="0" w:color="000000"/>
              <w:right w:val="single" w:sz="8" w:space="0" w:color="000000"/>
            </w:tcBorders>
            <w:shd w:val="clear" w:color="auto" w:fill="auto"/>
            <w:vAlign w:val="center"/>
          </w:tcPr>
          <w:p w:rsidR="007E60D0" w:rsidRDefault="007E60D0">
            <w:pPr>
              <w:snapToGrid w:val="0"/>
              <w:rPr>
                <w:szCs w:val="24"/>
              </w:rPr>
            </w:pPr>
          </w:p>
        </w:tc>
      </w:tr>
      <w:tr w:rsidR="007E60D0">
        <w:trPr>
          <w:cantSplit/>
          <w:trHeight w:val="600"/>
        </w:trPr>
        <w:tc>
          <w:tcPr>
            <w:tcW w:w="4500" w:type="dxa"/>
            <w:tcBorders>
              <w:left w:val="single" w:sz="8" w:space="0" w:color="000000"/>
              <w:bottom w:val="single" w:sz="4" w:space="0" w:color="000000"/>
            </w:tcBorders>
            <w:shd w:val="clear" w:color="auto" w:fill="auto"/>
            <w:vAlign w:val="bottom"/>
          </w:tcPr>
          <w:p w:rsidR="007E60D0" w:rsidRDefault="007E60D0">
            <w:pPr>
              <w:snapToGrid w:val="0"/>
              <w:jc w:val="both"/>
              <w:rPr>
                <w:szCs w:val="24"/>
              </w:rPr>
            </w:pPr>
            <w:r>
              <w:rPr>
                <w:szCs w:val="24"/>
              </w:rPr>
              <w:t>* El mecanismo de control interno, no funciona como tal.</w:t>
            </w:r>
          </w:p>
        </w:tc>
        <w:tc>
          <w:tcPr>
            <w:tcW w:w="4309" w:type="dxa"/>
            <w:gridSpan w:val="2"/>
            <w:vMerge/>
            <w:tcBorders>
              <w:top w:val="single" w:sz="8" w:space="0" w:color="000000"/>
              <w:left w:val="single" w:sz="8" w:space="0" w:color="000000"/>
              <w:bottom w:val="single" w:sz="4" w:space="0" w:color="000000"/>
              <w:right w:val="single" w:sz="8" w:space="0" w:color="000000"/>
            </w:tcBorders>
            <w:shd w:val="clear" w:color="auto" w:fill="auto"/>
            <w:vAlign w:val="center"/>
          </w:tcPr>
          <w:p w:rsidR="007E60D0" w:rsidRDefault="007E60D0">
            <w:pPr>
              <w:snapToGrid w:val="0"/>
              <w:rPr>
                <w:szCs w:val="24"/>
              </w:rPr>
            </w:pPr>
          </w:p>
        </w:tc>
      </w:tr>
      <w:tr w:rsidR="007E60D0">
        <w:trPr>
          <w:trHeight w:val="330"/>
        </w:trPr>
        <w:tc>
          <w:tcPr>
            <w:tcW w:w="4500" w:type="dxa"/>
            <w:tcBorders>
              <w:top w:val="single" w:sz="4" w:space="0" w:color="000000"/>
              <w:left w:val="single" w:sz="8" w:space="0" w:color="000000"/>
              <w:bottom w:val="single" w:sz="8" w:space="0" w:color="000000"/>
            </w:tcBorders>
            <w:shd w:val="clear" w:color="auto" w:fill="auto"/>
            <w:vAlign w:val="bottom"/>
          </w:tcPr>
          <w:p w:rsidR="007E60D0" w:rsidRDefault="007E60D0">
            <w:pPr>
              <w:snapToGrid w:val="0"/>
              <w:jc w:val="center"/>
              <w:rPr>
                <w:b/>
                <w:bCs/>
                <w:szCs w:val="24"/>
              </w:rPr>
            </w:pPr>
            <w:r>
              <w:rPr>
                <w:b/>
                <w:bCs/>
                <w:szCs w:val="24"/>
              </w:rPr>
              <w:t>AMENAZAS</w:t>
            </w:r>
          </w:p>
        </w:tc>
        <w:tc>
          <w:tcPr>
            <w:tcW w:w="4309" w:type="dxa"/>
            <w:gridSpan w:val="2"/>
            <w:tcBorders>
              <w:top w:val="single" w:sz="4" w:space="0" w:color="000000"/>
              <w:left w:val="single" w:sz="8" w:space="0" w:color="000000"/>
              <w:bottom w:val="single" w:sz="8" w:space="0" w:color="000000"/>
              <w:right w:val="single" w:sz="8" w:space="0" w:color="000000"/>
            </w:tcBorders>
            <w:shd w:val="clear" w:color="auto" w:fill="auto"/>
            <w:vAlign w:val="bottom"/>
          </w:tcPr>
          <w:p w:rsidR="007E60D0" w:rsidRDefault="007E60D0">
            <w:pPr>
              <w:snapToGrid w:val="0"/>
              <w:jc w:val="center"/>
              <w:rPr>
                <w:b/>
                <w:bCs/>
                <w:szCs w:val="24"/>
              </w:rPr>
            </w:pPr>
            <w:r>
              <w:rPr>
                <w:b/>
                <w:bCs/>
                <w:szCs w:val="24"/>
              </w:rPr>
              <w:t>OPORTUNIDADES</w:t>
            </w:r>
          </w:p>
        </w:tc>
      </w:tr>
      <w:tr w:rsidR="007E60D0">
        <w:trPr>
          <w:trHeight w:val="900"/>
        </w:trPr>
        <w:tc>
          <w:tcPr>
            <w:tcW w:w="4500" w:type="dxa"/>
            <w:tcBorders>
              <w:left w:val="single" w:sz="8" w:space="0" w:color="000000"/>
            </w:tcBorders>
            <w:shd w:val="clear" w:color="auto" w:fill="auto"/>
            <w:vAlign w:val="bottom"/>
          </w:tcPr>
          <w:p w:rsidR="007E60D0" w:rsidRDefault="007E60D0">
            <w:pPr>
              <w:snapToGrid w:val="0"/>
              <w:jc w:val="both"/>
              <w:rPr>
                <w:szCs w:val="24"/>
              </w:rPr>
            </w:pPr>
            <w:r>
              <w:rPr>
                <w:szCs w:val="24"/>
              </w:rPr>
              <w:t>* Incumplimiento de los indicadores de la ley 617 de 2000 y otras leyes de saneamiento fiscal.</w:t>
            </w:r>
          </w:p>
        </w:tc>
        <w:tc>
          <w:tcPr>
            <w:tcW w:w="4309" w:type="dxa"/>
            <w:gridSpan w:val="2"/>
            <w:vMerge w:val="restart"/>
            <w:tcBorders>
              <w:left w:val="single" w:sz="8" w:space="0" w:color="000000"/>
              <w:right w:val="single" w:sz="8" w:space="0" w:color="000000"/>
            </w:tcBorders>
            <w:shd w:val="clear" w:color="auto" w:fill="auto"/>
            <w:vAlign w:val="center"/>
          </w:tcPr>
          <w:p w:rsidR="007E60D0" w:rsidRDefault="007E60D0">
            <w:pPr>
              <w:snapToGrid w:val="0"/>
              <w:jc w:val="both"/>
              <w:rPr>
                <w:szCs w:val="24"/>
              </w:rPr>
            </w:pPr>
            <w:r>
              <w:rPr>
                <w:szCs w:val="24"/>
              </w:rPr>
              <w:t>* Mayor cobertura y solución necesidades básicas insatisfechas. NBI</w:t>
            </w:r>
          </w:p>
          <w:p w:rsidR="007E60D0" w:rsidRDefault="007E60D0">
            <w:pPr>
              <w:jc w:val="both"/>
              <w:rPr>
                <w:szCs w:val="24"/>
              </w:rPr>
            </w:pPr>
          </w:p>
          <w:p w:rsidR="007E60D0" w:rsidRDefault="007E60D0">
            <w:pPr>
              <w:jc w:val="both"/>
              <w:rPr>
                <w:szCs w:val="24"/>
              </w:rPr>
            </w:pPr>
            <w:r>
              <w:rPr>
                <w:szCs w:val="24"/>
              </w:rPr>
              <w:t>* Acceso con mayor facilidad a fuentes de financiación de proyectos y obtención de nuevos recursos para la inversión.</w:t>
            </w:r>
          </w:p>
        </w:tc>
      </w:tr>
      <w:tr w:rsidR="007E60D0">
        <w:trPr>
          <w:trHeight w:val="600"/>
        </w:trPr>
        <w:tc>
          <w:tcPr>
            <w:tcW w:w="4500" w:type="dxa"/>
            <w:tcBorders>
              <w:left w:val="single" w:sz="8" w:space="0" w:color="000000"/>
            </w:tcBorders>
            <w:shd w:val="clear" w:color="auto" w:fill="auto"/>
            <w:vAlign w:val="bottom"/>
          </w:tcPr>
          <w:p w:rsidR="007E60D0" w:rsidRDefault="007E60D0">
            <w:pPr>
              <w:snapToGrid w:val="0"/>
              <w:jc w:val="both"/>
              <w:rPr>
                <w:szCs w:val="24"/>
              </w:rPr>
            </w:pPr>
            <w:r>
              <w:rPr>
                <w:szCs w:val="24"/>
              </w:rPr>
              <w:t>* La reducción de las transferencias hacia el futuro.</w:t>
            </w:r>
          </w:p>
        </w:tc>
        <w:tc>
          <w:tcPr>
            <w:tcW w:w="4309" w:type="dxa"/>
            <w:gridSpan w:val="2"/>
            <w:vMerge/>
            <w:tcBorders>
              <w:left w:val="single" w:sz="8" w:space="0" w:color="000000"/>
              <w:right w:val="single" w:sz="8" w:space="0" w:color="000000"/>
            </w:tcBorders>
            <w:shd w:val="clear" w:color="auto" w:fill="auto"/>
            <w:vAlign w:val="bottom"/>
          </w:tcPr>
          <w:p w:rsidR="007E60D0" w:rsidRDefault="007E60D0">
            <w:pPr>
              <w:snapToGrid w:val="0"/>
              <w:jc w:val="both"/>
              <w:rPr>
                <w:szCs w:val="24"/>
              </w:rPr>
            </w:pPr>
          </w:p>
        </w:tc>
      </w:tr>
      <w:tr w:rsidR="007E60D0">
        <w:trPr>
          <w:trHeight w:val="600"/>
        </w:trPr>
        <w:tc>
          <w:tcPr>
            <w:tcW w:w="4500" w:type="dxa"/>
            <w:tcBorders>
              <w:left w:val="single" w:sz="8" w:space="0" w:color="000000"/>
            </w:tcBorders>
            <w:shd w:val="clear" w:color="auto" w:fill="auto"/>
            <w:vAlign w:val="bottom"/>
          </w:tcPr>
          <w:p w:rsidR="007E60D0" w:rsidRDefault="007E60D0">
            <w:pPr>
              <w:snapToGrid w:val="0"/>
              <w:jc w:val="both"/>
              <w:rPr>
                <w:szCs w:val="24"/>
              </w:rPr>
            </w:pPr>
            <w:r>
              <w:rPr>
                <w:szCs w:val="24"/>
              </w:rPr>
              <w:t>* Aumento de los pasivos pensiónales, cuotas partes pensiónales y otros.</w:t>
            </w:r>
          </w:p>
        </w:tc>
        <w:tc>
          <w:tcPr>
            <w:tcW w:w="4309" w:type="dxa"/>
            <w:gridSpan w:val="2"/>
            <w:vMerge/>
            <w:tcBorders>
              <w:left w:val="single" w:sz="8" w:space="0" w:color="000000"/>
              <w:right w:val="single" w:sz="8" w:space="0" w:color="000000"/>
            </w:tcBorders>
            <w:shd w:val="clear" w:color="auto" w:fill="auto"/>
            <w:vAlign w:val="bottom"/>
          </w:tcPr>
          <w:p w:rsidR="007E60D0" w:rsidRDefault="007E60D0">
            <w:pPr>
              <w:snapToGrid w:val="0"/>
              <w:jc w:val="both"/>
              <w:rPr>
                <w:szCs w:val="24"/>
              </w:rPr>
            </w:pPr>
          </w:p>
        </w:tc>
      </w:tr>
      <w:tr w:rsidR="007E60D0">
        <w:trPr>
          <w:cantSplit/>
          <w:trHeight w:val="300"/>
        </w:trPr>
        <w:tc>
          <w:tcPr>
            <w:tcW w:w="4500" w:type="dxa"/>
            <w:tcBorders>
              <w:left w:val="single" w:sz="8" w:space="0" w:color="000000"/>
            </w:tcBorders>
            <w:shd w:val="clear" w:color="auto" w:fill="auto"/>
            <w:vAlign w:val="bottom"/>
          </w:tcPr>
          <w:p w:rsidR="007E60D0" w:rsidRDefault="007E60D0">
            <w:pPr>
              <w:snapToGrid w:val="0"/>
              <w:jc w:val="both"/>
              <w:rPr>
                <w:szCs w:val="24"/>
              </w:rPr>
            </w:pPr>
            <w:r>
              <w:rPr>
                <w:szCs w:val="24"/>
              </w:rPr>
              <w:t>* Las demandas contra el Municipio</w:t>
            </w:r>
          </w:p>
        </w:tc>
        <w:tc>
          <w:tcPr>
            <w:tcW w:w="4309" w:type="dxa"/>
            <w:gridSpan w:val="2"/>
            <w:vMerge/>
            <w:tcBorders>
              <w:left w:val="single" w:sz="8" w:space="0" w:color="000000"/>
              <w:right w:val="single" w:sz="8" w:space="0" w:color="000000"/>
            </w:tcBorders>
            <w:shd w:val="clear" w:color="auto" w:fill="auto"/>
            <w:vAlign w:val="bottom"/>
          </w:tcPr>
          <w:p w:rsidR="007E60D0" w:rsidRDefault="007E60D0">
            <w:pPr>
              <w:snapToGrid w:val="0"/>
              <w:jc w:val="both"/>
              <w:rPr>
                <w:szCs w:val="24"/>
              </w:rPr>
            </w:pPr>
          </w:p>
        </w:tc>
      </w:tr>
      <w:tr w:rsidR="007E60D0">
        <w:trPr>
          <w:cantSplit/>
          <w:trHeight w:val="915"/>
        </w:trPr>
        <w:tc>
          <w:tcPr>
            <w:tcW w:w="4500" w:type="dxa"/>
            <w:tcBorders>
              <w:left w:val="single" w:sz="8" w:space="0" w:color="000000"/>
              <w:bottom w:val="single" w:sz="8" w:space="0" w:color="000000"/>
            </w:tcBorders>
            <w:shd w:val="clear" w:color="auto" w:fill="auto"/>
            <w:vAlign w:val="bottom"/>
          </w:tcPr>
          <w:p w:rsidR="007E60D0" w:rsidRDefault="007E60D0">
            <w:pPr>
              <w:snapToGrid w:val="0"/>
              <w:jc w:val="both"/>
              <w:rPr>
                <w:szCs w:val="24"/>
              </w:rPr>
            </w:pPr>
            <w:r>
              <w:rPr>
                <w:szCs w:val="24"/>
              </w:rPr>
              <w:t>* El reconocimiento de obligaciones contraídas en administraciones anteriores y no presupuestadas.</w:t>
            </w:r>
          </w:p>
        </w:tc>
        <w:tc>
          <w:tcPr>
            <w:tcW w:w="4309" w:type="dxa"/>
            <w:gridSpan w:val="2"/>
            <w:vMerge/>
            <w:tcBorders>
              <w:left w:val="single" w:sz="8" w:space="0" w:color="000000"/>
              <w:bottom w:val="single" w:sz="8" w:space="0" w:color="000000"/>
              <w:right w:val="single" w:sz="8" w:space="0" w:color="000000"/>
            </w:tcBorders>
            <w:shd w:val="clear" w:color="auto" w:fill="auto"/>
            <w:vAlign w:val="center"/>
          </w:tcPr>
          <w:p w:rsidR="007E60D0" w:rsidRDefault="007E60D0">
            <w:pPr>
              <w:snapToGrid w:val="0"/>
              <w:rPr>
                <w:szCs w:val="24"/>
              </w:rPr>
            </w:pPr>
          </w:p>
        </w:tc>
      </w:tr>
    </w:tbl>
    <w:p w:rsidR="007E60D0" w:rsidRDefault="007E60D0">
      <w:pPr>
        <w:tabs>
          <w:tab w:val="left" w:pos="2160"/>
        </w:tabs>
        <w:jc w:val="both"/>
        <w:rPr>
          <w:szCs w:val="24"/>
        </w:rPr>
      </w:pPr>
    </w:p>
    <w:p w:rsidR="007E60D0" w:rsidRDefault="007E60D0">
      <w:pPr>
        <w:tabs>
          <w:tab w:val="left" w:pos="2160"/>
        </w:tabs>
        <w:jc w:val="both"/>
        <w:rPr>
          <w:szCs w:val="24"/>
        </w:rPr>
      </w:pPr>
    </w:p>
    <w:p w:rsidR="007E60D0" w:rsidRDefault="007E60D0">
      <w:pPr>
        <w:tabs>
          <w:tab w:val="left" w:pos="2160"/>
        </w:tabs>
        <w:jc w:val="both"/>
        <w:rPr>
          <w:b/>
          <w:szCs w:val="24"/>
          <w:lang w:val="es-ES_tradnl"/>
        </w:rPr>
      </w:pPr>
      <w:r>
        <w:rPr>
          <w:b/>
          <w:szCs w:val="24"/>
          <w:lang w:val="es-ES_tradnl"/>
        </w:rPr>
        <w:lastRenderedPageBreak/>
        <w:t xml:space="preserve">1.5.2 Análisis y Estrategias Matriz - DOFA </w:t>
      </w:r>
    </w:p>
    <w:p w:rsidR="007E60D0" w:rsidRDefault="007E60D0">
      <w:pPr>
        <w:tabs>
          <w:tab w:val="left" w:pos="2160"/>
        </w:tabs>
        <w:jc w:val="both"/>
        <w:rPr>
          <w:b/>
          <w:szCs w:val="24"/>
          <w:lang w:val="es-ES_tradnl"/>
        </w:rPr>
      </w:pPr>
    </w:p>
    <w:p w:rsidR="007E60D0" w:rsidRDefault="007E60D0">
      <w:pPr>
        <w:tabs>
          <w:tab w:val="left" w:pos="2160"/>
        </w:tabs>
        <w:jc w:val="both"/>
        <w:rPr>
          <w:szCs w:val="24"/>
          <w:lang w:val="es-ES_tradnl"/>
        </w:rPr>
      </w:pPr>
      <w:r>
        <w:rPr>
          <w:szCs w:val="24"/>
          <w:lang w:val="es-ES_tradnl"/>
        </w:rPr>
        <w:t xml:space="preserve">Analizando cada una de las “debilidades” y “amenazas”, es necesario plantear estrategias que permitan convertir las debilidades en “fortalezas” y  las amenazas en “oportunidades”. </w:t>
      </w:r>
    </w:p>
    <w:p w:rsidR="007E60D0" w:rsidRDefault="007E60D0">
      <w:pPr>
        <w:tabs>
          <w:tab w:val="left" w:pos="2160"/>
        </w:tabs>
        <w:jc w:val="both"/>
        <w:rPr>
          <w:szCs w:val="24"/>
          <w:lang w:val="es-ES_tradnl"/>
        </w:rPr>
      </w:pPr>
    </w:p>
    <w:p w:rsidR="007E60D0" w:rsidRDefault="007E60D0">
      <w:pPr>
        <w:tabs>
          <w:tab w:val="left" w:pos="2160"/>
        </w:tabs>
        <w:jc w:val="both"/>
        <w:rPr>
          <w:szCs w:val="24"/>
          <w:lang w:val="es-ES_tradnl"/>
        </w:rPr>
      </w:pPr>
      <w:r>
        <w:rPr>
          <w:szCs w:val="24"/>
          <w:lang w:val="es-ES_tradnl"/>
        </w:rPr>
        <w:t>Lo anterior se propone mediante las siguientes estrategias:</w:t>
      </w:r>
    </w:p>
    <w:p w:rsidR="007E60D0" w:rsidRDefault="007E60D0">
      <w:pPr>
        <w:tabs>
          <w:tab w:val="left" w:pos="2160"/>
        </w:tabs>
        <w:jc w:val="both"/>
        <w:rPr>
          <w:szCs w:val="24"/>
          <w:lang w:val="es-ES_tradnl"/>
        </w:rPr>
      </w:pPr>
    </w:p>
    <w:tbl>
      <w:tblPr>
        <w:tblW w:w="0" w:type="auto"/>
        <w:tblInd w:w="-10" w:type="dxa"/>
        <w:tblLayout w:type="fixed"/>
        <w:tblCellMar>
          <w:left w:w="70" w:type="dxa"/>
          <w:right w:w="70" w:type="dxa"/>
        </w:tblCellMar>
        <w:tblLook w:val="0000"/>
      </w:tblPr>
      <w:tblGrid>
        <w:gridCol w:w="729"/>
        <w:gridCol w:w="4288"/>
        <w:gridCol w:w="3914"/>
        <w:gridCol w:w="20"/>
      </w:tblGrid>
      <w:tr w:rsidR="007E60D0">
        <w:trPr>
          <w:gridAfter w:val="1"/>
          <w:wAfter w:w="20" w:type="dxa"/>
          <w:trHeight w:val="315"/>
        </w:trPr>
        <w:tc>
          <w:tcPr>
            <w:tcW w:w="8931" w:type="dxa"/>
            <w:gridSpan w:val="3"/>
            <w:shd w:val="clear" w:color="auto" w:fill="auto"/>
            <w:vAlign w:val="bottom"/>
          </w:tcPr>
          <w:p w:rsidR="007E60D0" w:rsidRDefault="007E60D0">
            <w:pPr>
              <w:pStyle w:val="xl35"/>
              <w:snapToGrid w:val="0"/>
              <w:spacing w:before="0" w:after="0"/>
              <w:rPr>
                <w:rFonts w:ascii="Times New Roman" w:hAnsi="Times New Roman" w:cs="Times New Roman"/>
                <w:sz w:val="22"/>
                <w:lang w:val="es-ES_tradnl"/>
              </w:rPr>
            </w:pPr>
          </w:p>
          <w:p w:rsidR="007E60D0" w:rsidRDefault="007E60D0">
            <w:pPr>
              <w:pStyle w:val="xl35"/>
              <w:spacing w:before="0" w:after="0"/>
              <w:rPr>
                <w:rFonts w:ascii="Times New Roman" w:hAnsi="Times New Roman" w:cs="Times New Roman"/>
                <w:sz w:val="22"/>
                <w:lang w:val="es-ES_tradnl"/>
              </w:rPr>
            </w:pPr>
            <w:r>
              <w:rPr>
                <w:rFonts w:ascii="Times New Roman" w:hAnsi="Times New Roman" w:cs="Times New Roman"/>
                <w:sz w:val="22"/>
                <w:lang w:val="es-ES_tradnl"/>
              </w:rPr>
              <w:t>CUADRO  No. 10</w:t>
            </w:r>
          </w:p>
        </w:tc>
      </w:tr>
      <w:tr w:rsidR="007E60D0">
        <w:trPr>
          <w:gridAfter w:val="1"/>
          <w:wAfter w:w="20" w:type="dxa"/>
          <w:trHeight w:val="360"/>
        </w:trPr>
        <w:tc>
          <w:tcPr>
            <w:tcW w:w="8931" w:type="dxa"/>
            <w:gridSpan w:val="3"/>
            <w:shd w:val="clear" w:color="auto" w:fill="auto"/>
            <w:vAlign w:val="bottom"/>
          </w:tcPr>
          <w:p w:rsidR="007E60D0" w:rsidRDefault="007E60D0">
            <w:pPr>
              <w:snapToGrid w:val="0"/>
              <w:jc w:val="center"/>
              <w:rPr>
                <w:b/>
                <w:bCs/>
                <w:sz w:val="22"/>
                <w:szCs w:val="24"/>
              </w:rPr>
            </w:pPr>
            <w:r>
              <w:rPr>
                <w:b/>
                <w:bCs/>
                <w:sz w:val="22"/>
                <w:szCs w:val="24"/>
              </w:rPr>
              <w:t>ESTRATEGIAS MATRIZ DOFA</w:t>
            </w:r>
          </w:p>
        </w:tc>
      </w:tr>
      <w:tr w:rsidR="007E60D0">
        <w:trPr>
          <w:gridAfter w:val="1"/>
          <w:wAfter w:w="20" w:type="dxa"/>
          <w:trHeight w:val="270"/>
        </w:trPr>
        <w:tc>
          <w:tcPr>
            <w:tcW w:w="729" w:type="dxa"/>
            <w:shd w:val="clear" w:color="auto" w:fill="auto"/>
            <w:vAlign w:val="bottom"/>
          </w:tcPr>
          <w:p w:rsidR="007E60D0" w:rsidRDefault="007E60D0">
            <w:pPr>
              <w:snapToGrid w:val="0"/>
              <w:rPr>
                <w:sz w:val="22"/>
                <w:szCs w:val="24"/>
              </w:rPr>
            </w:pPr>
          </w:p>
        </w:tc>
        <w:tc>
          <w:tcPr>
            <w:tcW w:w="4288" w:type="dxa"/>
            <w:shd w:val="clear" w:color="auto" w:fill="auto"/>
            <w:vAlign w:val="bottom"/>
          </w:tcPr>
          <w:p w:rsidR="007E60D0" w:rsidRDefault="007E60D0">
            <w:pPr>
              <w:snapToGrid w:val="0"/>
              <w:rPr>
                <w:sz w:val="22"/>
                <w:szCs w:val="24"/>
              </w:rPr>
            </w:pPr>
          </w:p>
        </w:tc>
        <w:tc>
          <w:tcPr>
            <w:tcW w:w="3914" w:type="dxa"/>
            <w:shd w:val="clear" w:color="auto" w:fill="auto"/>
            <w:vAlign w:val="bottom"/>
          </w:tcPr>
          <w:p w:rsidR="007E60D0" w:rsidRDefault="007E60D0">
            <w:pPr>
              <w:snapToGrid w:val="0"/>
              <w:rPr>
                <w:sz w:val="22"/>
                <w:szCs w:val="24"/>
              </w:rPr>
            </w:pPr>
          </w:p>
        </w:tc>
      </w:tr>
      <w:tr w:rsidR="007E60D0">
        <w:trPr>
          <w:trHeight w:val="330"/>
        </w:trPr>
        <w:tc>
          <w:tcPr>
            <w:tcW w:w="729" w:type="dxa"/>
            <w:tcBorders>
              <w:top w:val="single" w:sz="8" w:space="0" w:color="000000"/>
              <w:left w:val="single" w:sz="8" w:space="0" w:color="000000"/>
              <w:bottom w:val="single" w:sz="4" w:space="0" w:color="000000"/>
            </w:tcBorders>
            <w:shd w:val="clear" w:color="auto" w:fill="auto"/>
            <w:vAlign w:val="bottom"/>
          </w:tcPr>
          <w:p w:rsidR="007E60D0" w:rsidRDefault="007E60D0">
            <w:pPr>
              <w:snapToGrid w:val="0"/>
              <w:rPr>
                <w:sz w:val="22"/>
                <w:szCs w:val="24"/>
              </w:rPr>
            </w:pPr>
            <w:r>
              <w:rPr>
                <w:sz w:val="22"/>
                <w:szCs w:val="24"/>
              </w:rPr>
              <w:t> </w:t>
            </w:r>
          </w:p>
        </w:tc>
        <w:tc>
          <w:tcPr>
            <w:tcW w:w="4288" w:type="dxa"/>
            <w:tcBorders>
              <w:top w:val="single" w:sz="8" w:space="0" w:color="000000"/>
              <w:left w:val="single" w:sz="8" w:space="0" w:color="000000"/>
              <w:bottom w:val="single" w:sz="8" w:space="0" w:color="000000"/>
            </w:tcBorders>
            <w:shd w:val="clear" w:color="auto" w:fill="auto"/>
            <w:vAlign w:val="bottom"/>
          </w:tcPr>
          <w:p w:rsidR="007E60D0" w:rsidRDefault="007E60D0">
            <w:pPr>
              <w:snapToGrid w:val="0"/>
              <w:jc w:val="center"/>
              <w:rPr>
                <w:b/>
                <w:bCs/>
                <w:sz w:val="22"/>
                <w:szCs w:val="24"/>
              </w:rPr>
            </w:pPr>
            <w:r>
              <w:rPr>
                <w:b/>
                <w:bCs/>
                <w:sz w:val="22"/>
                <w:szCs w:val="24"/>
              </w:rPr>
              <w:t>FORTALEZAS</w:t>
            </w:r>
          </w:p>
        </w:tc>
        <w:tc>
          <w:tcPr>
            <w:tcW w:w="3934" w:type="dxa"/>
            <w:gridSpan w:val="2"/>
            <w:tcBorders>
              <w:top w:val="single" w:sz="8" w:space="0" w:color="000000"/>
              <w:left w:val="single" w:sz="8" w:space="0" w:color="000000"/>
              <w:bottom w:val="single" w:sz="8" w:space="0" w:color="000000"/>
              <w:right w:val="single" w:sz="8" w:space="0" w:color="000000"/>
            </w:tcBorders>
            <w:shd w:val="clear" w:color="auto" w:fill="auto"/>
            <w:vAlign w:val="bottom"/>
          </w:tcPr>
          <w:p w:rsidR="007E60D0" w:rsidRDefault="007E60D0">
            <w:pPr>
              <w:snapToGrid w:val="0"/>
              <w:jc w:val="center"/>
              <w:rPr>
                <w:b/>
                <w:bCs/>
                <w:sz w:val="22"/>
                <w:szCs w:val="24"/>
              </w:rPr>
            </w:pPr>
            <w:r>
              <w:rPr>
                <w:b/>
                <w:bCs/>
                <w:sz w:val="22"/>
                <w:szCs w:val="24"/>
              </w:rPr>
              <w:t>DEBILIDADES</w:t>
            </w:r>
          </w:p>
        </w:tc>
      </w:tr>
      <w:tr w:rsidR="007E60D0">
        <w:trPr>
          <w:cantSplit/>
          <w:trHeight w:val="330"/>
        </w:trPr>
        <w:tc>
          <w:tcPr>
            <w:tcW w:w="729" w:type="dxa"/>
            <w:vMerge w:val="restart"/>
            <w:tcBorders>
              <w:top w:val="single" w:sz="4" w:space="0" w:color="000000"/>
              <w:left w:val="single" w:sz="4" w:space="0" w:color="000000"/>
              <w:bottom w:val="single" w:sz="8" w:space="0" w:color="000000"/>
            </w:tcBorders>
            <w:shd w:val="clear" w:color="auto" w:fill="auto"/>
            <w:vAlign w:val="bottom"/>
          </w:tcPr>
          <w:p w:rsidR="007E60D0" w:rsidRDefault="007E60D0">
            <w:pPr>
              <w:snapToGrid w:val="0"/>
              <w:jc w:val="center"/>
              <w:rPr>
                <w:b/>
                <w:bCs/>
                <w:sz w:val="22"/>
                <w:szCs w:val="24"/>
              </w:rPr>
            </w:pPr>
            <w:r>
              <w:rPr>
                <w:b/>
                <w:bCs/>
                <w:sz w:val="22"/>
                <w:szCs w:val="24"/>
              </w:rPr>
              <w:t xml:space="preserve">                                        OPORTUNIDADES</w:t>
            </w:r>
          </w:p>
        </w:tc>
        <w:tc>
          <w:tcPr>
            <w:tcW w:w="4288" w:type="dxa"/>
            <w:tcBorders>
              <w:left w:val="single" w:sz="8" w:space="0" w:color="000000"/>
              <w:bottom w:val="single" w:sz="8" w:space="0" w:color="000000"/>
            </w:tcBorders>
            <w:shd w:val="clear" w:color="auto" w:fill="auto"/>
            <w:vAlign w:val="bottom"/>
          </w:tcPr>
          <w:p w:rsidR="007E60D0" w:rsidRDefault="007E60D0">
            <w:pPr>
              <w:snapToGrid w:val="0"/>
              <w:jc w:val="center"/>
              <w:rPr>
                <w:b/>
                <w:bCs/>
                <w:sz w:val="22"/>
                <w:szCs w:val="24"/>
              </w:rPr>
            </w:pPr>
            <w:r>
              <w:rPr>
                <w:b/>
                <w:bCs/>
                <w:sz w:val="22"/>
                <w:szCs w:val="24"/>
              </w:rPr>
              <w:t>ESTRATEGIAS  (FO)</w:t>
            </w:r>
          </w:p>
        </w:tc>
        <w:tc>
          <w:tcPr>
            <w:tcW w:w="3934" w:type="dxa"/>
            <w:gridSpan w:val="2"/>
            <w:tcBorders>
              <w:left w:val="single" w:sz="8" w:space="0" w:color="000000"/>
              <w:bottom w:val="single" w:sz="8" w:space="0" w:color="000000"/>
              <w:right w:val="single" w:sz="8" w:space="0" w:color="000000"/>
            </w:tcBorders>
            <w:shd w:val="clear" w:color="auto" w:fill="auto"/>
            <w:vAlign w:val="bottom"/>
          </w:tcPr>
          <w:p w:rsidR="007E60D0" w:rsidRDefault="007E60D0">
            <w:pPr>
              <w:snapToGrid w:val="0"/>
              <w:jc w:val="center"/>
              <w:rPr>
                <w:b/>
                <w:bCs/>
                <w:sz w:val="22"/>
                <w:szCs w:val="24"/>
              </w:rPr>
            </w:pPr>
            <w:r>
              <w:rPr>
                <w:b/>
                <w:bCs/>
                <w:sz w:val="22"/>
                <w:szCs w:val="24"/>
              </w:rPr>
              <w:t>ESTRATEGIAS   (DO)</w:t>
            </w:r>
          </w:p>
        </w:tc>
      </w:tr>
      <w:tr w:rsidR="007E60D0">
        <w:trPr>
          <w:cantSplit/>
          <w:trHeight w:val="900"/>
        </w:trPr>
        <w:tc>
          <w:tcPr>
            <w:tcW w:w="729" w:type="dxa"/>
            <w:vMerge/>
            <w:tcBorders>
              <w:top w:val="single" w:sz="8" w:space="0" w:color="000000"/>
              <w:left w:val="single" w:sz="4" w:space="0" w:color="000000"/>
              <w:bottom w:val="single" w:sz="8" w:space="0" w:color="000000"/>
            </w:tcBorders>
            <w:shd w:val="clear" w:color="auto" w:fill="auto"/>
            <w:vAlign w:val="center"/>
          </w:tcPr>
          <w:p w:rsidR="007E60D0" w:rsidRDefault="007E60D0">
            <w:pPr>
              <w:snapToGrid w:val="0"/>
              <w:rPr>
                <w:b/>
                <w:bCs/>
                <w:sz w:val="22"/>
                <w:szCs w:val="24"/>
              </w:rPr>
            </w:pPr>
          </w:p>
        </w:tc>
        <w:tc>
          <w:tcPr>
            <w:tcW w:w="4288" w:type="dxa"/>
            <w:tcBorders>
              <w:left w:val="single" w:sz="8" w:space="0" w:color="000000"/>
            </w:tcBorders>
            <w:shd w:val="clear" w:color="auto" w:fill="auto"/>
            <w:vAlign w:val="bottom"/>
          </w:tcPr>
          <w:p w:rsidR="007E60D0" w:rsidRDefault="007E60D0">
            <w:pPr>
              <w:snapToGrid w:val="0"/>
              <w:jc w:val="both"/>
              <w:rPr>
                <w:sz w:val="22"/>
                <w:szCs w:val="24"/>
              </w:rPr>
            </w:pPr>
            <w:r>
              <w:rPr>
                <w:sz w:val="22"/>
                <w:szCs w:val="24"/>
              </w:rPr>
              <w:t>* Mayor recaudo de impuestos y en general de las rentas propias del municipio.</w:t>
            </w:r>
          </w:p>
        </w:tc>
        <w:tc>
          <w:tcPr>
            <w:tcW w:w="3934" w:type="dxa"/>
            <w:gridSpan w:val="2"/>
            <w:vMerge w:val="restart"/>
            <w:tcBorders>
              <w:left w:val="single" w:sz="8" w:space="0" w:color="000000"/>
              <w:right w:val="single" w:sz="8" w:space="0" w:color="000000"/>
            </w:tcBorders>
            <w:shd w:val="clear" w:color="auto" w:fill="auto"/>
            <w:vAlign w:val="center"/>
          </w:tcPr>
          <w:p w:rsidR="007E60D0" w:rsidRDefault="007E60D0">
            <w:pPr>
              <w:snapToGrid w:val="0"/>
              <w:jc w:val="both"/>
              <w:rPr>
                <w:sz w:val="22"/>
                <w:szCs w:val="24"/>
              </w:rPr>
            </w:pPr>
            <w:r>
              <w:rPr>
                <w:sz w:val="22"/>
                <w:szCs w:val="24"/>
              </w:rPr>
              <w:t>* La sensibilización a la comunidad, la capacitación de los empleados.</w:t>
            </w:r>
          </w:p>
          <w:p w:rsidR="007E60D0" w:rsidRDefault="007E60D0">
            <w:pPr>
              <w:jc w:val="both"/>
              <w:rPr>
                <w:sz w:val="22"/>
                <w:szCs w:val="24"/>
              </w:rPr>
            </w:pPr>
          </w:p>
          <w:p w:rsidR="007E60D0" w:rsidRDefault="007E60D0">
            <w:pPr>
              <w:jc w:val="both"/>
              <w:rPr>
                <w:sz w:val="22"/>
                <w:szCs w:val="24"/>
              </w:rPr>
            </w:pPr>
            <w:r>
              <w:rPr>
                <w:sz w:val="22"/>
                <w:szCs w:val="24"/>
              </w:rPr>
              <w:t>* El fortalecimiento de los recaudos.</w:t>
            </w:r>
          </w:p>
          <w:p w:rsidR="007E60D0" w:rsidRDefault="007E60D0">
            <w:pPr>
              <w:jc w:val="both"/>
              <w:rPr>
                <w:sz w:val="22"/>
                <w:szCs w:val="24"/>
              </w:rPr>
            </w:pPr>
          </w:p>
          <w:p w:rsidR="007E60D0" w:rsidRDefault="007E60D0">
            <w:pPr>
              <w:jc w:val="both"/>
              <w:rPr>
                <w:sz w:val="22"/>
                <w:szCs w:val="24"/>
              </w:rPr>
            </w:pPr>
            <w:r>
              <w:rPr>
                <w:sz w:val="22"/>
                <w:szCs w:val="24"/>
              </w:rPr>
              <w:t>* La disminución de los Gastos Generales.</w:t>
            </w:r>
          </w:p>
          <w:p w:rsidR="007E60D0" w:rsidRDefault="007E60D0">
            <w:pPr>
              <w:jc w:val="both"/>
              <w:rPr>
                <w:sz w:val="22"/>
                <w:szCs w:val="24"/>
              </w:rPr>
            </w:pPr>
          </w:p>
          <w:p w:rsidR="007E60D0" w:rsidRDefault="007E60D0">
            <w:pPr>
              <w:jc w:val="both"/>
              <w:rPr>
                <w:sz w:val="22"/>
                <w:szCs w:val="24"/>
              </w:rPr>
            </w:pPr>
            <w:r>
              <w:rPr>
                <w:sz w:val="22"/>
                <w:szCs w:val="24"/>
              </w:rPr>
              <w:t>* Cumplimiento de la ley 617 de 2000.</w:t>
            </w:r>
          </w:p>
          <w:p w:rsidR="007E60D0" w:rsidRDefault="007E60D0">
            <w:pPr>
              <w:jc w:val="both"/>
              <w:rPr>
                <w:sz w:val="22"/>
                <w:szCs w:val="24"/>
              </w:rPr>
            </w:pPr>
          </w:p>
          <w:p w:rsidR="007E60D0" w:rsidRDefault="007E60D0">
            <w:pPr>
              <w:jc w:val="both"/>
              <w:rPr>
                <w:sz w:val="22"/>
                <w:szCs w:val="24"/>
              </w:rPr>
            </w:pPr>
            <w:r>
              <w:rPr>
                <w:sz w:val="22"/>
                <w:szCs w:val="24"/>
              </w:rPr>
              <w:t>* Generación de superávit primario para sostener la deuda pública.</w:t>
            </w:r>
          </w:p>
          <w:p w:rsidR="007E60D0" w:rsidRDefault="007E60D0">
            <w:pPr>
              <w:jc w:val="both"/>
              <w:rPr>
                <w:sz w:val="22"/>
                <w:szCs w:val="24"/>
              </w:rPr>
            </w:pPr>
          </w:p>
          <w:p w:rsidR="007E60D0" w:rsidRDefault="007E60D0">
            <w:pPr>
              <w:jc w:val="both"/>
              <w:rPr>
                <w:sz w:val="22"/>
                <w:szCs w:val="24"/>
              </w:rPr>
            </w:pPr>
            <w:r>
              <w:rPr>
                <w:sz w:val="22"/>
                <w:szCs w:val="24"/>
              </w:rPr>
              <w:t>* Saneamiento del déficit fiscal, con el pago de cuotas partes pensiónales y  de bonos pensiónales</w:t>
            </w:r>
          </w:p>
          <w:p w:rsidR="007E60D0" w:rsidRDefault="007E60D0">
            <w:pPr>
              <w:jc w:val="both"/>
              <w:rPr>
                <w:sz w:val="22"/>
                <w:szCs w:val="24"/>
              </w:rPr>
            </w:pPr>
          </w:p>
        </w:tc>
      </w:tr>
      <w:tr w:rsidR="007E60D0">
        <w:trPr>
          <w:cantSplit/>
          <w:trHeight w:val="600"/>
        </w:trPr>
        <w:tc>
          <w:tcPr>
            <w:tcW w:w="729" w:type="dxa"/>
            <w:vMerge/>
            <w:tcBorders>
              <w:top w:val="single" w:sz="8" w:space="0" w:color="000000"/>
              <w:left w:val="single" w:sz="4" w:space="0" w:color="000000"/>
              <w:bottom w:val="single" w:sz="8" w:space="0" w:color="000000"/>
            </w:tcBorders>
            <w:shd w:val="clear" w:color="auto" w:fill="auto"/>
            <w:vAlign w:val="center"/>
          </w:tcPr>
          <w:p w:rsidR="007E60D0" w:rsidRDefault="007E60D0">
            <w:pPr>
              <w:snapToGrid w:val="0"/>
              <w:rPr>
                <w:b/>
                <w:bCs/>
                <w:sz w:val="22"/>
                <w:szCs w:val="24"/>
              </w:rPr>
            </w:pPr>
          </w:p>
        </w:tc>
        <w:tc>
          <w:tcPr>
            <w:tcW w:w="4288" w:type="dxa"/>
            <w:tcBorders>
              <w:left w:val="single" w:sz="8" w:space="0" w:color="000000"/>
            </w:tcBorders>
            <w:shd w:val="clear" w:color="auto" w:fill="auto"/>
            <w:vAlign w:val="bottom"/>
          </w:tcPr>
          <w:p w:rsidR="007E60D0" w:rsidRDefault="007E60D0">
            <w:pPr>
              <w:snapToGrid w:val="0"/>
              <w:jc w:val="both"/>
              <w:rPr>
                <w:sz w:val="22"/>
                <w:szCs w:val="24"/>
              </w:rPr>
            </w:pPr>
            <w:r>
              <w:rPr>
                <w:sz w:val="22"/>
                <w:szCs w:val="24"/>
              </w:rPr>
              <w:t>* Mayor sentido de pertenencia del personal de planta.</w:t>
            </w:r>
          </w:p>
        </w:tc>
        <w:tc>
          <w:tcPr>
            <w:tcW w:w="3934" w:type="dxa"/>
            <w:gridSpan w:val="2"/>
            <w:vMerge/>
            <w:tcBorders>
              <w:left w:val="single" w:sz="8" w:space="0" w:color="000000"/>
              <w:right w:val="single" w:sz="8" w:space="0" w:color="000000"/>
            </w:tcBorders>
            <w:shd w:val="clear" w:color="auto" w:fill="auto"/>
            <w:vAlign w:val="bottom"/>
          </w:tcPr>
          <w:p w:rsidR="007E60D0" w:rsidRDefault="007E60D0">
            <w:pPr>
              <w:snapToGrid w:val="0"/>
              <w:jc w:val="both"/>
              <w:rPr>
                <w:sz w:val="22"/>
                <w:szCs w:val="24"/>
              </w:rPr>
            </w:pPr>
          </w:p>
        </w:tc>
      </w:tr>
      <w:tr w:rsidR="007E60D0">
        <w:trPr>
          <w:cantSplit/>
          <w:trHeight w:val="600"/>
        </w:trPr>
        <w:tc>
          <w:tcPr>
            <w:tcW w:w="729" w:type="dxa"/>
            <w:vMerge/>
            <w:tcBorders>
              <w:top w:val="single" w:sz="8" w:space="0" w:color="000000"/>
              <w:left w:val="single" w:sz="4" w:space="0" w:color="000000"/>
              <w:bottom w:val="single" w:sz="8" w:space="0" w:color="000000"/>
            </w:tcBorders>
            <w:shd w:val="clear" w:color="auto" w:fill="auto"/>
            <w:vAlign w:val="center"/>
          </w:tcPr>
          <w:p w:rsidR="007E60D0" w:rsidRDefault="007E60D0">
            <w:pPr>
              <w:snapToGrid w:val="0"/>
              <w:rPr>
                <w:b/>
                <w:bCs/>
                <w:sz w:val="22"/>
                <w:szCs w:val="24"/>
              </w:rPr>
            </w:pPr>
          </w:p>
        </w:tc>
        <w:tc>
          <w:tcPr>
            <w:tcW w:w="4288" w:type="dxa"/>
            <w:tcBorders>
              <w:left w:val="single" w:sz="8" w:space="0" w:color="000000"/>
            </w:tcBorders>
            <w:shd w:val="clear" w:color="auto" w:fill="auto"/>
            <w:vAlign w:val="bottom"/>
          </w:tcPr>
          <w:p w:rsidR="007E60D0" w:rsidRDefault="007E60D0">
            <w:pPr>
              <w:snapToGrid w:val="0"/>
              <w:jc w:val="both"/>
              <w:rPr>
                <w:sz w:val="22"/>
                <w:szCs w:val="24"/>
              </w:rPr>
            </w:pPr>
            <w:r>
              <w:rPr>
                <w:sz w:val="22"/>
                <w:szCs w:val="24"/>
              </w:rPr>
              <w:t>* Una comunidad conocedora y sensibilizada sobre la problemática del municipio.</w:t>
            </w:r>
          </w:p>
        </w:tc>
        <w:tc>
          <w:tcPr>
            <w:tcW w:w="3934" w:type="dxa"/>
            <w:gridSpan w:val="2"/>
            <w:vMerge/>
            <w:tcBorders>
              <w:left w:val="single" w:sz="8" w:space="0" w:color="000000"/>
              <w:right w:val="single" w:sz="8" w:space="0" w:color="000000"/>
            </w:tcBorders>
            <w:shd w:val="clear" w:color="auto" w:fill="auto"/>
            <w:vAlign w:val="bottom"/>
          </w:tcPr>
          <w:p w:rsidR="007E60D0" w:rsidRDefault="007E60D0">
            <w:pPr>
              <w:snapToGrid w:val="0"/>
              <w:jc w:val="both"/>
              <w:rPr>
                <w:sz w:val="22"/>
                <w:szCs w:val="24"/>
              </w:rPr>
            </w:pPr>
          </w:p>
        </w:tc>
      </w:tr>
      <w:tr w:rsidR="007E60D0">
        <w:trPr>
          <w:cantSplit/>
          <w:trHeight w:val="600"/>
        </w:trPr>
        <w:tc>
          <w:tcPr>
            <w:tcW w:w="729" w:type="dxa"/>
            <w:vMerge/>
            <w:tcBorders>
              <w:top w:val="single" w:sz="8" w:space="0" w:color="000000"/>
              <w:left w:val="single" w:sz="4" w:space="0" w:color="000000"/>
              <w:bottom w:val="single" w:sz="8" w:space="0" w:color="000000"/>
            </w:tcBorders>
            <w:shd w:val="clear" w:color="auto" w:fill="auto"/>
            <w:vAlign w:val="center"/>
          </w:tcPr>
          <w:p w:rsidR="007E60D0" w:rsidRDefault="007E60D0">
            <w:pPr>
              <w:snapToGrid w:val="0"/>
              <w:rPr>
                <w:b/>
                <w:bCs/>
                <w:sz w:val="22"/>
                <w:szCs w:val="24"/>
              </w:rPr>
            </w:pPr>
          </w:p>
        </w:tc>
        <w:tc>
          <w:tcPr>
            <w:tcW w:w="4288" w:type="dxa"/>
            <w:tcBorders>
              <w:left w:val="single" w:sz="8" w:space="0" w:color="000000"/>
            </w:tcBorders>
            <w:shd w:val="clear" w:color="auto" w:fill="auto"/>
            <w:vAlign w:val="bottom"/>
          </w:tcPr>
          <w:p w:rsidR="007E60D0" w:rsidRDefault="007E60D0">
            <w:pPr>
              <w:snapToGrid w:val="0"/>
              <w:jc w:val="both"/>
              <w:rPr>
                <w:sz w:val="22"/>
                <w:szCs w:val="24"/>
              </w:rPr>
            </w:pPr>
            <w:r>
              <w:rPr>
                <w:sz w:val="22"/>
                <w:szCs w:val="24"/>
              </w:rPr>
              <w:t>* Mejoramiento de la capacidad institucional.</w:t>
            </w:r>
          </w:p>
        </w:tc>
        <w:tc>
          <w:tcPr>
            <w:tcW w:w="3934" w:type="dxa"/>
            <w:gridSpan w:val="2"/>
            <w:vMerge/>
            <w:tcBorders>
              <w:left w:val="single" w:sz="8" w:space="0" w:color="000000"/>
              <w:right w:val="single" w:sz="8" w:space="0" w:color="000000"/>
            </w:tcBorders>
            <w:shd w:val="clear" w:color="auto" w:fill="auto"/>
            <w:vAlign w:val="bottom"/>
          </w:tcPr>
          <w:p w:rsidR="007E60D0" w:rsidRDefault="007E60D0">
            <w:pPr>
              <w:snapToGrid w:val="0"/>
              <w:jc w:val="both"/>
              <w:rPr>
                <w:sz w:val="22"/>
                <w:szCs w:val="24"/>
              </w:rPr>
            </w:pPr>
          </w:p>
        </w:tc>
      </w:tr>
      <w:tr w:rsidR="007E60D0">
        <w:trPr>
          <w:cantSplit/>
          <w:trHeight w:val="900"/>
        </w:trPr>
        <w:tc>
          <w:tcPr>
            <w:tcW w:w="729" w:type="dxa"/>
            <w:vMerge/>
            <w:tcBorders>
              <w:top w:val="single" w:sz="8" w:space="0" w:color="000000"/>
              <w:left w:val="single" w:sz="4" w:space="0" w:color="000000"/>
              <w:bottom w:val="single" w:sz="8" w:space="0" w:color="000000"/>
            </w:tcBorders>
            <w:shd w:val="clear" w:color="auto" w:fill="auto"/>
            <w:vAlign w:val="center"/>
          </w:tcPr>
          <w:p w:rsidR="007E60D0" w:rsidRDefault="007E60D0">
            <w:pPr>
              <w:snapToGrid w:val="0"/>
              <w:rPr>
                <w:b/>
                <w:bCs/>
                <w:sz w:val="22"/>
                <w:szCs w:val="24"/>
              </w:rPr>
            </w:pPr>
          </w:p>
        </w:tc>
        <w:tc>
          <w:tcPr>
            <w:tcW w:w="4288" w:type="dxa"/>
            <w:tcBorders>
              <w:left w:val="single" w:sz="8" w:space="0" w:color="000000"/>
            </w:tcBorders>
            <w:shd w:val="clear" w:color="auto" w:fill="auto"/>
            <w:vAlign w:val="bottom"/>
          </w:tcPr>
          <w:p w:rsidR="007E60D0" w:rsidRDefault="007E60D0">
            <w:pPr>
              <w:snapToGrid w:val="0"/>
              <w:jc w:val="both"/>
              <w:rPr>
                <w:sz w:val="22"/>
                <w:szCs w:val="24"/>
              </w:rPr>
            </w:pPr>
            <w:r>
              <w:rPr>
                <w:sz w:val="22"/>
                <w:szCs w:val="24"/>
              </w:rPr>
              <w:t>* Creación de una ESP viable y auto sostenible financieramente o entregar este servicio a Aguas del Huila.</w:t>
            </w:r>
          </w:p>
        </w:tc>
        <w:tc>
          <w:tcPr>
            <w:tcW w:w="3934" w:type="dxa"/>
            <w:gridSpan w:val="2"/>
            <w:vMerge/>
            <w:tcBorders>
              <w:left w:val="single" w:sz="8" w:space="0" w:color="000000"/>
              <w:right w:val="single" w:sz="8" w:space="0" w:color="000000"/>
            </w:tcBorders>
            <w:shd w:val="clear" w:color="auto" w:fill="auto"/>
            <w:vAlign w:val="bottom"/>
          </w:tcPr>
          <w:p w:rsidR="007E60D0" w:rsidRDefault="007E60D0">
            <w:pPr>
              <w:snapToGrid w:val="0"/>
              <w:jc w:val="both"/>
              <w:rPr>
                <w:sz w:val="22"/>
                <w:szCs w:val="24"/>
              </w:rPr>
            </w:pPr>
          </w:p>
        </w:tc>
      </w:tr>
      <w:tr w:rsidR="007E60D0">
        <w:trPr>
          <w:cantSplit/>
          <w:trHeight w:val="600"/>
        </w:trPr>
        <w:tc>
          <w:tcPr>
            <w:tcW w:w="729" w:type="dxa"/>
            <w:vMerge/>
            <w:tcBorders>
              <w:top w:val="single" w:sz="8" w:space="0" w:color="000000"/>
              <w:left w:val="single" w:sz="4" w:space="0" w:color="000000"/>
              <w:bottom w:val="single" w:sz="8" w:space="0" w:color="000000"/>
            </w:tcBorders>
            <w:shd w:val="clear" w:color="auto" w:fill="auto"/>
            <w:vAlign w:val="center"/>
          </w:tcPr>
          <w:p w:rsidR="007E60D0" w:rsidRDefault="007E60D0">
            <w:pPr>
              <w:snapToGrid w:val="0"/>
              <w:rPr>
                <w:b/>
                <w:bCs/>
                <w:sz w:val="22"/>
                <w:szCs w:val="24"/>
              </w:rPr>
            </w:pPr>
          </w:p>
        </w:tc>
        <w:tc>
          <w:tcPr>
            <w:tcW w:w="4288" w:type="dxa"/>
            <w:tcBorders>
              <w:left w:val="single" w:sz="8" w:space="0" w:color="000000"/>
            </w:tcBorders>
            <w:shd w:val="clear" w:color="auto" w:fill="auto"/>
            <w:vAlign w:val="bottom"/>
          </w:tcPr>
          <w:p w:rsidR="007E60D0" w:rsidRDefault="007E60D0">
            <w:pPr>
              <w:snapToGrid w:val="0"/>
              <w:jc w:val="both"/>
              <w:rPr>
                <w:sz w:val="22"/>
                <w:szCs w:val="24"/>
              </w:rPr>
            </w:pPr>
            <w:r>
              <w:rPr>
                <w:sz w:val="22"/>
                <w:szCs w:val="24"/>
              </w:rPr>
              <w:t>* Cumplimiento de las metas del Plan de Desarrollo.</w:t>
            </w:r>
          </w:p>
        </w:tc>
        <w:tc>
          <w:tcPr>
            <w:tcW w:w="3934" w:type="dxa"/>
            <w:gridSpan w:val="2"/>
            <w:vMerge/>
            <w:tcBorders>
              <w:left w:val="single" w:sz="8" w:space="0" w:color="000000"/>
              <w:right w:val="single" w:sz="8" w:space="0" w:color="000000"/>
            </w:tcBorders>
            <w:shd w:val="clear" w:color="auto" w:fill="auto"/>
            <w:vAlign w:val="bottom"/>
          </w:tcPr>
          <w:p w:rsidR="007E60D0" w:rsidRDefault="007E60D0">
            <w:pPr>
              <w:snapToGrid w:val="0"/>
              <w:jc w:val="both"/>
              <w:rPr>
                <w:sz w:val="22"/>
                <w:szCs w:val="24"/>
              </w:rPr>
            </w:pPr>
          </w:p>
        </w:tc>
      </w:tr>
      <w:tr w:rsidR="007E60D0">
        <w:trPr>
          <w:cantSplit/>
          <w:trHeight w:val="300"/>
        </w:trPr>
        <w:tc>
          <w:tcPr>
            <w:tcW w:w="729" w:type="dxa"/>
            <w:vMerge/>
            <w:tcBorders>
              <w:top w:val="single" w:sz="8" w:space="0" w:color="000000"/>
              <w:left w:val="single" w:sz="4" w:space="0" w:color="000000"/>
              <w:bottom w:val="single" w:sz="8" w:space="0" w:color="000000"/>
            </w:tcBorders>
            <w:shd w:val="clear" w:color="auto" w:fill="auto"/>
            <w:vAlign w:val="center"/>
          </w:tcPr>
          <w:p w:rsidR="007E60D0" w:rsidRDefault="007E60D0">
            <w:pPr>
              <w:snapToGrid w:val="0"/>
              <w:rPr>
                <w:b/>
                <w:bCs/>
                <w:sz w:val="22"/>
                <w:szCs w:val="24"/>
              </w:rPr>
            </w:pPr>
          </w:p>
        </w:tc>
        <w:tc>
          <w:tcPr>
            <w:tcW w:w="4288" w:type="dxa"/>
            <w:tcBorders>
              <w:left w:val="single" w:sz="8" w:space="0" w:color="000000"/>
            </w:tcBorders>
            <w:shd w:val="clear" w:color="auto" w:fill="auto"/>
            <w:vAlign w:val="bottom"/>
          </w:tcPr>
          <w:p w:rsidR="007E60D0" w:rsidRDefault="007E60D0">
            <w:pPr>
              <w:snapToGrid w:val="0"/>
              <w:jc w:val="both"/>
              <w:rPr>
                <w:sz w:val="22"/>
                <w:szCs w:val="24"/>
              </w:rPr>
            </w:pPr>
            <w:r>
              <w:rPr>
                <w:sz w:val="22"/>
                <w:szCs w:val="24"/>
              </w:rPr>
              <w:t>* Mayor cubrimiento de las NBI.</w:t>
            </w:r>
          </w:p>
        </w:tc>
        <w:tc>
          <w:tcPr>
            <w:tcW w:w="3934" w:type="dxa"/>
            <w:gridSpan w:val="2"/>
            <w:vMerge/>
            <w:tcBorders>
              <w:left w:val="single" w:sz="8" w:space="0" w:color="000000"/>
              <w:right w:val="single" w:sz="8" w:space="0" w:color="000000"/>
            </w:tcBorders>
            <w:shd w:val="clear" w:color="auto" w:fill="auto"/>
            <w:vAlign w:val="center"/>
          </w:tcPr>
          <w:p w:rsidR="007E60D0" w:rsidRDefault="007E60D0">
            <w:pPr>
              <w:snapToGrid w:val="0"/>
              <w:jc w:val="both"/>
              <w:rPr>
                <w:sz w:val="22"/>
                <w:szCs w:val="24"/>
              </w:rPr>
            </w:pPr>
          </w:p>
        </w:tc>
      </w:tr>
      <w:tr w:rsidR="007E60D0">
        <w:trPr>
          <w:cantSplit/>
          <w:trHeight w:val="600"/>
        </w:trPr>
        <w:tc>
          <w:tcPr>
            <w:tcW w:w="729" w:type="dxa"/>
            <w:vMerge/>
            <w:tcBorders>
              <w:top w:val="single" w:sz="8" w:space="0" w:color="000000"/>
              <w:left w:val="single" w:sz="4" w:space="0" w:color="000000"/>
              <w:bottom w:val="single" w:sz="8" w:space="0" w:color="000000"/>
            </w:tcBorders>
            <w:shd w:val="clear" w:color="auto" w:fill="auto"/>
            <w:vAlign w:val="center"/>
          </w:tcPr>
          <w:p w:rsidR="007E60D0" w:rsidRDefault="007E60D0">
            <w:pPr>
              <w:snapToGrid w:val="0"/>
              <w:rPr>
                <w:b/>
                <w:bCs/>
                <w:sz w:val="22"/>
                <w:szCs w:val="24"/>
              </w:rPr>
            </w:pPr>
          </w:p>
        </w:tc>
        <w:tc>
          <w:tcPr>
            <w:tcW w:w="4288" w:type="dxa"/>
            <w:tcBorders>
              <w:left w:val="single" w:sz="8" w:space="0" w:color="000000"/>
            </w:tcBorders>
            <w:shd w:val="clear" w:color="auto" w:fill="auto"/>
            <w:vAlign w:val="bottom"/>
          </w:tcPr>
          <w:p w:rsidR="007E60D0" w:rsidRDefault="007E60D0">
            <w:pPr>
              <w:snapToGrid w:val="0"/>
              <w:jc w:val="both"/>
              <w:rPr>
                <w:sz w:val="22"/>
                <w:szCs w:val="24"/>
              </w:rPr>
            </w:pPr>
            <w:r>
              <w:rPr>
                <w:sz w:val="22"/>
                <w:szCs w:val="24"/>
              </w:rPr>
              <w:t>* Mantener en el tiempo un superávit primario.</w:t>
            </w:r>
          </w:p>
        </w:tc>
        <w:tc>
          <w:tcPr>
            <w:tcW w:w="3934" w:type="dxa"/>
            <w:gridSpan w:val="2"/>
            <w:vMerge/>
            <w:tcBorders>
              <w:left w:val="single" w:sz="8" w:space="0" w:color="000000"/>
              <w:right w:val="single" w:sz="8" w:space="0" w:color="000000"/>
            </w:tcBorders>
            <w:shd w:val="clear" w:color="auto" w:fill="auto"/>
            <w:vAlign w:val="center"/>
          </w:tcPr>
          <w:p w:rsidR="007E60D0" w:rsidRDefault="007E60D0">
            <w:pPr>
              <w:snapToGrid w:val="0"/>
              <w:jc w:val="both"/>
              <w:rPr>
                <w:sz w:val="22"/>
                <w:szCs w:val="24"/>
              </w:rPr>
            </w:pPr>
          </w:p>
        </w:tc>
      </w:tr>
      <w:tr w:rsidR="007E60D0">
        <w:trPr>
          <w:cantSplit/>
          <w:trHeight w:val="315"/>
        </w:trPr>
        <w:tc>
          <w:tcPr>
            <w:tcW w:w="729" w:type="dxa"/>
            <w:vMerge/>
            <w:tcBorders>
              <w:top w:val="single" w:sz="8" w:space="0" w:color="000000"/>
              <w:left w:val="single" w:sz="4" w:space="0" w:color="000000"/>
              <w:bottom w:val="single" w:sz="8" w:space="0" w:color="000000"/>
            </w:tcBorders>
            <w:shd w:val="clear" w:color="auto" w:fill="auto"/>
            <w:vAlign w:val="center"/>
          </w:tcPr>
          <w:p w:rsidR="007E60D0" w:rsidRDefault="007E60D0">
            <w:pPr>
              <w:snapToGrid w:val="0"/>
              <w:rPr>
                <w:b/>
                <w:bCs/>
                <w:sz w:val="22"/>
                <w:szCs w:val="24"/>
              </w:rPr>
            </w:pPr>
          </w:p>
        </w:tc>
        <w:tc>
          <w:tcPr>
            <w:tcW w:w="4288" w:type="dxa"/>
            <w:tcBorders>
              <w:left w:val="single" w:sz="8" w:space="0" w:color="000000"/>
              <w:bottom w:val="single" w:sz="4" w:space="0" w:color="000000"/>
            </w:tcBorders>
            <w:shd w:val="clear" w:color="auto" w:fill="auto"/>
            <w:vAlign w:val="bottom"/>
          </w:tcPr>
          <w:p w:rsidR="007E60D0" w:rsidRDefault="007E60D0">
            <w:pPr>
              <w:snapToGrid w:val="0"/>
              <w:jc w:val="both"/>
              <w:rPr>
                <w:sz w:val="22"/>
                <w:szCs w:val="24"/>
              </w:rPr>
            </w:pPr>
            <w:r>
              <w:rPr>
                <w:sz w:val="22"/>
                <w:szCs w:val="24"/>
              </w:rPr>
              <w:t> </w:t>
            </w:r>
          </w:p>
        </w:tc>
        <w:tc>
          <w:tcPr>
            <w:tcW w:w="3934" w:type="dxa"/>
            <w:gridSpan w:val="2"/>
            <w:vMerge/>
            <w:tcBorders>
              <w:left w:val="single" w:sz="8" w:space="0" w:color="000000"/>
              <w:bottom w:val="single" w:sz="4" w:space="0" w:color="000000"/>
              <w:right w:val="single" w:sz="8" w:space="0" w:color="000000"/>
            </w:tcBorders>
            <w:shd w:val="clear" w:color="auto" w:fill="auto"/>
            <w:vAlign w:val="bottom"/>
          </w:tcPr>
          <w:p w:rsidR="007E60D0" w:rsidRDefault="007E60D0">
            <w:pPr>
              <w:snapToGrid w:val="0"/>
              <w:jc w:val="both"/>
              <w:rPr>
                <w:sz w:val="22"/>
                <w:szCs w:val="24"/>
              </w:rPr>
            </w:pPr>
          </w:p>
        </w:tc>
      </w:tr>
      <w:tr w:rsidR="007E60D0">
        <w:trPr>
          <w:cantSplit/>
          <w:trHeight w:val="330"/>
        </w:trPr>
        <w:tc>
          <w:tcPr>
            <w:tcW w:w="729" w:type="dxa"/>
            <w:vMerge w:val="restart"/>
            <w:tcBorders>
              <w:left w:val="single" w:sz="8" w:space="0" w:color="000000"/>
              <w:bottom w:val="single" w:sz="8" w:space="0" w:color="000000"/>
            </w:tcBorders>
            <w:shd w:val="clear" w:color="auto" w:fill="auto"/>
            <w:vAlign w:val="bottom"/>
          </w:tcPr>
          <w:p w:rsidR="007E60D0" w:rsidRDefault="007E60D0">
            <w:pPr>
              <w:snapToGrid w:val="0"/>
              <w:jc w:val="center"/>
              <w:rPr>
                <w:b/>
                <w:bCs/>
                <w:sz w:val="22"/>
                <w:szCs w:val="24"/>
              </w:rPr>
            </w:pPr>
            <w:r>
              <w:rPr>
                <w:b/>
                <w:bCs/>
                <w:sz w:val="22"/>
                <w:szCs w:val="24"/>
              </w:rPr>
              <w:t xml:space="preserve">             AMENAZAS</w:t>
            </w:r>
          </w:p>
        </w:tc>
        <w:tc>
          <w:tcPr>
            <w:tcW w:w="4288" w:type="dxa"/>
            <w:tcBorders>
              <w:top w:val="single" w:sz="4" w:space="0" w:color="000000"/>
              <w:left w:val="single" w:sz="8" w:space="0" w:color="000000"/>
              <w:bottom w:val="single" w:sz="8" w:space="0" w:color="000000"/>
            </w:tcBorders>
            <w:shd w:val="clear" w:color="auto" w:fill="auto"/>
            <w:vAlign w:val="bottom"/>
          </w:tcPr>
          <w:p w:rsidR="007E60D0" w:rsidRDefault="007E60D0">
            <w:pPr>
              <w:snapToGrid w:val="0"/>
              <w:jc w:val="center"/>
              <w:rPr>
                <w:b/>
                <w:bCs/>
                <w:sz w:val="22"/>
                <w:szCs w:val="24"/>
              </w:rPr>
            </w:pPr>
            <w:r>
              <w:rPr>
                <w:b/>
                <w:bCs/>
                <w:sz w:val="22"/>
                <w:szCs w:val="24"/>
              </w:rPr>
              <w:t>ESTRATEGIAS   (FA)</w:t>
            </w:r>
          </w:p>
        </w:tc>
        <w:tc>
          <w:tcPr>
            <w:tcW w:w="3934" w:type="dxa"/>
            <w:gridSpan w:val="2"/>
            <w:tcBorders>
              <w:top w:val="single" w:sz="4" w:space="0" w:color="000000"/>
              <w:left w:val="single" w:sz="8" w:space="0" w:color="000000"/>
              <w:bottom w:val="single" w:sz="8" w:space="0" w:color="000000"/>
              <w:right w:val="single" w:sz="8" w:space="0" w:color="000000"/>
            </w:tcBorders>
            <w:shd w:val="clear" w:color="auto" w:fill="auto"/>
            <w:vAlign w:val="bottom"/>
          </w:tcPr>
          <w:p w:rsidR="007E60D0" w:rsidRDefault="007E60D0">
            <w:pPr>
              <w:snapToGrid w:val="0"/>
              <w:jc w:val="center"/>
              <w:rPr>
                <w:b/>
                <w:bCs/>
                <w:sz w:val="22"/>
                <w:szCs w:val="24"/>
              </w:rPr>
            </w:pPr>
            <w:r>
              <w:rPr>
                <w:b/>
                <w:bCs/>
                <w:sz w:val="22"/>
                <w:szCs w:val="24"/>
              </w:rPr>
              <w:t>ESTRATEGIAS  (DA)</w:t>
            </w:r>
          </w:p>
        </w:tc>
      </w:tr>
      <w:tr w:rsidR="007E60D0">
        <w:trPr>
          <w:cantSplit/>
          <w:trHeight w:val="900"/>
        </w:trPr>
        <w:tc>
          <w:tcPr>
            <w:tcW w:w="729" w:type="dxa"/>
            <w:vMerge/>
            <w:tcBorders>
              <w:left w:val="single" w:sz="8" w:space="0" w:color="000000"/>
              <w:bottom w:val="single" w:sz="8" w:space="0" w:color="000000"/>
            </w:tcBorders>
            <w:shd w:val="clear" w:color="auto" w:fill="auto"/>
            <w:vAlign w:val="center"/>
          </w:tcPr>
          <w:p w:rsidR="007E60D0" w:rsidRDefault="007E60D0">
            <w:pPr>
              <w:snapToGrid w:val="0"/>
              <w:rPr>
                <w:b/>
                <w:bCs/>
                <w:sz w:val="22"/>
                <w:szCs w:val="24"/>
              </w:rPr>
            </w:pPr>
          </w:p>
        </w:tc>
        <w:tc>
          <w:tcPr>
            <w:tcW w:w="4288" w:type="dxa"/>
            <w:tcBorders>
              <w:left w:val="single" w:sz="8" w:space="0" w:color="000000"/>
            </w:tcBorders>
            <w:shd w:val="clear" w:color="auto" w:fill="auto"/>
            <w:vAlign w:val="bottom"/>
          </w:tcPr>
          <w:p w:rsidR="007E60D0" w:rsidRDefault="007E60D0">
            <w:pPr>
              <w:snapToGrid w:val="0"/>
              <w:jc w:val="both"/>
              <w:rPr>
                <w:sz w:val="22"/>
                <w:szCs w:val="24"/>
              </w:rPr>
            </w:pPr>
            <w:r>
              <w:rPr>
                <w:sz w:val="22"/>
                <w:szCs w:val="24"/>
              </w:rPr>
              <w:t>* El aumento en el recaudo de los impuestos y rentas municipales, fortaleciendo el ahorro operacional.</w:t>
            </w:r>
          </w:p>
          <w:p w:rsidR="007E60D0" w:rsidRDefault="007E60D0">
            <w:pPr>
              <w:jc w:val="both"/>
              <w:rPr>
                <w:sz w:val="22"/>
                <w:szCs w:val="24"/>
              </w:rPr>
            </w:pPr>
          </w:p>
        </w:tc>
        <w:tc>
          <w:tcPr>
            <w:tcW w:w="3934" w:type="dxa"/>
            <w:gridSpan w:val="2"/>
            <w:vMerge w:val="restart"/>
            <w:tcBorders>
              <w:left w:val="single" w:sz="8" w:space="0" w:color="000000"/>
              <w:right w:val="single" w:sz="8" w:space="0" w:color="000000"/>
            </w:tcBorders>
            <w:shd w:val="clear" w:color="auto" w:fill="auto"/>
            <w:vAlign w:val="bottom"/>
          </w:tcPr>
          <w:p w:rsidR="007E60D0" w:rsidRDefault="007E60D0">
            <w:pPr>
              <w:snapToGrid w:val="0"/>
              <w:jc w:val="both"/>
              <w:rPr>
                <w:sz w:val="22"/>
                <w:szCs w:val="24"/>
              </w:rPr>
            </w:pPr>
            <w:r>
              <w:rPr>
                <w:sz w:val="22"/>
                <w:szCs w:val="24"/>
              </w:rPr>
              <w:t>* De manera técnica evaluar el estatuto de Rentas Municipal, identificando y definiendo plenamente las rentas municipales.</w:t>
            </w:r>
          </w:p>
        </w:tc>
      </w:tr>
      <w:tr w:rsidR="007E60D0">
        <w:trPr>
          <w:cantSplit/>
          <w:trHeight w:val="300"/>
        </w:trPr>
        <w:tc>
          <w:tcPr>
            <w:tcW w:w="729" w:type="dxa"/>
            <w:vMerge/>
            <w:tcBorders>
              <w:left w:val="single" w:sz="8" w:space="0" w:color="000000"/>
              <w:bottom w:val="single" w:sz="8" w:space="0" w:color="000000"/>
            </w:tcBorders>
            <w:shd w:val="clear" w:color="auto" w:fill="auto"/>
            <w:vAlign w:val="center"/>
          </w:tcPr>
          <w:p w:rsidR="007E60D0" w:rsidRDefault="007E60D0">
            <w:pPr>
              <w:snapToGrid w:val="0"/>
              <w:rPr>
                <w:b/>
                <w:bCs/>
                <w:sz w:val="22"/>
                <w:szCs w:val="24"/>
              </w:rPr>
            </w:pPr>
          </w:p>
        </w:tc>
        <w:tc>
          <w:tcPr>
            <w:tcW w:w="4288" w:type="dxa"/>
            <w:tcBorders>
              <w:left w:val="single" w:sz="8" w:space="0" w:color="000000"/>
            </w:tcBorders>
            <w:shd w:val="clear" w:color="auto" w:fill="auto"/>
            <w:vAlign w:val="bottom"/>
          </w:tcPr>
          <w:p w:rsidR="007E60D0" w:rsidRDefault="007E60D0">
            <w:pPr>
              <w:snapToGrid w:val="0"/>
              <w:jc w:val="both"/>
              <w:rPr>
                <w:sz w:val="22"/>
                <w:szCs w:val="24"/>
              </w:rPr>
            </w:pPr>
            <w:r>
              <w:rPr>
                <w:sz w:val="22"/>
                <w:szCs w:val="24"/>
              </w:rPr>
              <w:t>*  Capacitación de los empleados.</w:t>
            </w:r>
          </w:p>
        </w:tc>
        <w:tc>
          <w:tcPr>
            <w:tcW w:w="3934" w:type="dxa"/>
            <w:gridSpan w:val="2"/>
            <w:vMerge/>
            <w:tcBorders>
              <w:left w:val="single" w:sz="8" w:space="0" w:color="000000"/>
              <w:right w:val="single" w:sz="8" w:space="0" w:color="000000"/>
            </w:tcBorders>
            <w:shd w:val="clear" w:color="auto" w:fill="auto"/>
            <w:vAlign w:val="center"/>
          </w:tcPr>
          <w:p w:rsidR="007E60D0" w:rsidRDefault="007E60D0">
            <w:pPr>
              <w:snapToGrid w:val="0"/>
              <w:rPr>
                <w:sz w:val="22"/>
                <w:szCs w:val="24"/>
              </w:rPr>
            </w:pPr>
          </w:p>
        </w:tc>
      </w:tr>
      <w:tr w:rsidR="007E60D0">
        <w:trPr>
          <w:cantSplit/>
          <w:trHeight w:val="1200"/>
        </w:trPr>
        <w:tc>
          <w:tcPr>
            <w:tcW w:w="729" w:type="dxa"/>
            <w:vMerge/>
            <w:tcBorders>
              <w:left w:val="single" w:sz="8" w:space="0" w:color="000000"/>
              <w:bottom w:val="single" w:sz="8" w:space="0" w:color="000000"/>
            </w:tcBorders>
            <w:shd w:val="clear" w:color="auto" w:fill="auto"/>
            <w:vAlign w:val="center"/>
          </w:tcPr>
          <w:p w:rsidR="007E60D0" w:rsidRDefault="007E60D0">
            <w:pPr>
              <w:snapToGrid w:val="0"/>
              <w:rPr>
                <w:b/>
                <w:bCs/>
                <w:sz w:val="22"/>
                <w:szCs w:val="24"/>
              </w:rPr>
            </w:pPr>
          </w:p>
        </w:tc>
        <w:tc>
          <w:tcPr>
            <w:tcW w:w="4288" w:type="dxa"/>
            <w:tcBorders>
              <w:left w:val="single" w:sz="8" w:space="0" w:color="000000"/>
              <w:bottom w:val="single" w:sz="4" w:space="0" w:color="000000"/>
            </w:tcBorders>
            <w:shd w:val="clear" w:color="auto" w:fill="auto"/>
            <w:vAlign w:val="bottom"/>
          </w:tcPr>
          <w:p w:rsidR="007E60D0" w:rsidRDefault="007E60D0">
            <w:pPr>
              <w:snapToGrid w:val="0"/>
              <w:jc w:val="both"/>
              <w:rPr>
                <w:sz w:val="22"/>
                <w:szCs w:val="24"/>
              </w:rPr>
            </w:pPr>
            <w:r>
              <w:rPr>
                <w:sz w:val="22"/>
                <w:szCs w:val="24"/>
              </w:rPr>
              <w:t>* Implementar Plan de estímulos para los empleados, basados en el mejoramiento continuo de la calidad del trabajo.</w:t>
            </w:r>
          </w:p>
        </w:tc>
        <w:tc>
          <w:tcPr>
            <w:tcW w:w="3934" w:type="dxa"/>
            <w:gridSpan w:val="2"/>
            <w:tcBorders>
              <w:left w:val="single" w:sz="8" w:space="0" w:color="000000"/>
              <w:bottom w:val="single" w:sz="8" w:space="0" w:color="000000"/>
              <w:right w:val="single" w:sz="8" w:space="0" w:color="000000"/>
            </w:tcBorders>
            <w:shd w:val="clear" w:color="auto" w:fill="auto"/>
            <w:vAlign w:val="bottom"/>
          </w:tcPr>
          <w:p w:rsidR="007E60D0" w:rsidRDefault="007E60D0">
            <w:pPr>
              <w:snapToGrid w:val="0"/>
              <w:jc w:val="both"/>
              <w:rPr>
                <w:sz w:val="22"/>
                <w:szCs w:val="24"/>
              </w:rPr>
            </w:pPr>
          </w:p>
        </w:tc>
      </w:tr>
    </w:tbl>
    <w:p w:rsidR="007E60D0" w:rsidRDefault="007E60D0">
      <w:pPr>
        <w:pStyle w:val="Prrafodelista"/>
        <w:tabs>
          <w:tab w:val="left" w:pos="2160"/>
        </w:tabs>
        <w:ind w:left="780"/>
        <w:jc w:val="both"/>
        <w:rPr>
          <w:rFonts w:ascii="Times New Roman" w:hAnsi="Times New Roman" w:cs="Times New Roman"/>
          <w:b/>
          <w:sz w:val="24"/>
          <w:szCs w:val="24"/>
          <w:lang w:val="es-ES_tradnl"/>
        </w:rPr>
      </w:pPr>
    </w:p>
    <w:p w:rsidR="007E60D0" w:rsidRDefault="007E60D0">
      <w:pPr>
        <w:pStyle w:val="Prrafodelista"/>
        <w:numPr>
          <w:ilvl w:val="1"/>
          <w:numId w:val="8"/>
        </w:numPr>
        <w:tabs>
          <w:tab w:val="left" w:pos="2160"/>
        </w:tabs>
        <w:jc w:val="both"/>
        <w:rPr>
          <w:rFonts w:ascii="Times New Roman" w:hAnsi="Times New Roman" w:cs="Times New Roman"/>
          <w:b/>
          <w:sz w:val="24"/>
          <w:szCs w:val="24"/>
          <w:lang w:val="es-ES_tradnl"/>
        </w:rPr>
      </w:pPr>
      <w:r>
        <w:rPr>
          <w:rFonts w:ascii="Times New Roman" w:hAnsi="Times New Roman" w:cs="Times New Roman"/>
          <w:b/>
          <w:sz w:val="24"/>
          <w:szCs w:val="24"/>
          <w:lang w:val="es-ES_tradnl"/>
        </w:rPr>
        <w:t>Proyecciones</w:t>
      </w:r>
    </w:p>
    <w:p w:rsidR="007E60D0" w:rsidRDefault="007E60D0">
      <w:pPr>
        <w:tabs>
          <w:tab w:val="left" w:pos="2160"/>
        </w:tabs>
        <w:jc w:val="both"/>
        <w:rPr>
          <w:b/>
          <w:szCs w:val="24"/>
          <w:lang w:val="es-ES_tradnl"/>
        </w:rPr>
      </w:pPr>
    </w:p>
    <w:p w:rsidR="007E60D0" w:rsidRDefault="007E60D0">
      <w:pPr>
        <w:tabs>
          <w:tab w:val="left" w:pos="2160"/>
        </w:tabs>
        <w:jc w:val="both"/>
        <w:rPr>
          <w:szCs w:val="24"/>
          <w:lang w:val="es-ES_tradnl"/>
        </w:rPr>
      </w:pPr>
      <w:r>
        <w:rPr>
          <w:szCs w:val="24"/>
          <w:lang w:val="es-ES_tradnl"/>
        </w:rPr>
        <w:t xml:space="preserve">En la estimación y las proyecciones de los recursos se parte de la información histórica de ejecución presupuestal que el Municipio ha reportado al DNP y se realizan unos supuestos encaminados a elaborar pronósticos bajos, que permitan dar cumplimiento al cronograma de recaudo de los ingresos para determinar un monto real que permita tener nivel de gasto sostenible y financiable. </w:t>
      </w:r>
    </w:p>
    <w:p w:rsidR="007E60D0" w:rsidRDefault="007E60D0">
      <w:pPr>
        <w:tabs>
          <w:tab w:val="left" w:pos="2160"/>
        </w:tabs>
        <w:jc w:val="both"/>
        <w:rPr>
          <w:szCs w:val="24"/>
          <w:lang w:val="es-ES_tradnl"/>
        </w:rPr>
      </w:pPr>
    </w:p>
    <w:p w:rsidR="007E60D0" w:rsidRDefault="007E60D0">
      <w:pPr>
        <w:tabs>
          <w:tab w:val="left" w:pos="2160"/>
        </w:tabs>
        <w:jc w:val="both"/>
        <w:rPr>
          <w:szCs w:val="24"/>
          <w:lang w:val="es-ES_tradnl"/>
        </w:rPr>
      </w:pPr>
      <w:r>
        <w:rPr>
          <w:szCs w:val="24"/>
          <w:lang w:val="es-ES_tradnl"/>
        </w:rPr>
        <w:t>Las metas financieras están encaminadas a mantener la solvencia y viabilidad financiera del municipio, teniendo en cuenta la realidad y el comportamiento de la economía. La inflación esperada y el cumplimiento normativo especialmente el referido a la viabilidad fiscal señalada por la ley 617 de 2000.</w:t>
      </w:r>
    </w:p>
    <w:p w:rsidR="007E60D0" w:rsidRDefault="007E60D0">
      <w:pPr>
        <w:tabs>
          <w:tab w:val="left" w:pos="2160"/>
        </w:tabs>
        <w:jc w:val="both"/>
        <w:rPr>
          <w:b/>
          <w:szCs w:val="24"/>
          <w:lang w:val="es-ES_tradnl"/>
        </w:rPr>
      </w:pPr>
    </w:p>
    <w:p w:rsidR="007E60D0" w:rsidRDefault="007E60D0">
      <w:pPr>
        <w:tabs>
          <w:tab w:val="left" w:pos="2160"/>
        </w:tabs>
        <w:jc w:val="both"/>
        <w:rPr>
          <w:szCs w:val="24"/>
          <w:lang w:val="es-ES_tradnl"/>
        </w:rPr>
      </w:pPr>
      <w:r>
        <w:rPr>
          <w:szCs w:val="24"/>
          <w:lang w:val="es-ES_tradnl"/>
        </w:rPr>
        <w:t>Para algunas proyecciones se utilizaran los supuestos macroeconómicos que son consistentes con las metas del Gobierno Nacional, señaladas por el Ministerio de Hacienda; Departamento Nacional de Planeación y el Banco de la República, dependiendo de las características particulares de algunas rentas y gastos se utilizan como supuestos macroeconómicos los siguientes:</w:t>
      </w:r>
    </w:p>
    <w:p w:rsidR="007E60D0" w:rsidRDefault="007E60D0">
      <w:pPr>
        <w:tabs>
          <w:tab w:val="left" w:pos="2160"/>
        </w:tabs>
        <w:jc w:val="both"/>
        <w:rPr>
          <w:b/>
          <w:szCs w:val="24"/>
          <w:lang w:val="es-ES_tradnl"/>
        </w:rPr>
      </w:pPr>
    </w:p>
    <w:p w:rsidR="007E60D0" w:rsidRDefault="007E60D0">
      <w:pPr>
        <w:pStyle w:val="Prrafodelista"/>
        <w:numPr>
          <w:ilvl w:val="2"/>
          <w:numId w:val="8"/>
        </w:numPr>
        <w:ind w:left="426" w:hanging="284"/>
        <w:jc w:val="both"/>
        <w:rPr>
          <w:rFonts w:ascii="Times New Roman" w:hAnsi="Times New Roman" w:cs="Times New Roman"/>
          <w:b/>
          <w:sz w:val="24"/>
          <w:szCs w:val="24"/>
          <w:lang w:val="es-ES_tradnl"/>
        </w:rPr>
      </w:pPr>
      <w:r>
        <w:rPr>
          <w:rFonts w:ascii="Times New Roman" w:hAnsi="Times New Roman" w:cs="Times New Roman"/>
          <w:b/>
          <w:sz w:val="24"/>
          <w:szCs w:val="24"/>
          <w:lang w:val="es-ES_tradnl"/>
        </w:rPr>
        <w:t xml:space="preserve">Criterios para la programación de los gastos. </w:t>
      </w:r>
    </w:p>
    <w:p w:rsidR="007E60D0" w:rsidRDefault="007E60D0">
      <w:pPr>
        <w:jc w:val="both"/>
        <w:rPr>
          <w:szCs w:val="24"/>
          <w:lang w:val="es-ES_tradnl"/>
        </w:rPr>
      </w:pPr>
    </w:p>
    <w:p w:rsidR="007E60D0" w:rsidRDefault="007E60D0">
      <w:pPr>
        <w:jc w:val="both"/>
        <w:rPr>
          <w:szCs w:val="24"/>
          <w:lang w:val="es-ES_tradnl"/>
        </w:rPr>
      </w:pPr>
      <w:r>
        <w:rPr>
          <w:szCs w:val="24"/>
          <w:lang w:val="es-ES_tradnl"/>
        </w:rPr>
        <w:t>Las proyecciones de gastos están fundamentadas en los criterios de austeridad y eficiencia; para el efecto se maneja una estrategia de control en los gastos y reducción de los costos de funcionamiento de la Administración Municipal.</w:t>
      </w:r>
    </w:p>
    <w:p w:rsidR="007E60D0" w:rsidRDefault="007E60D0">
      <w:pPr>
        <w:jc w:val="center"/>
        <w:rPr>
          <w:b/>
          <w:szCs w:val="24"/>
          <w:lang w:val="es-ES_tradnl"/>
        </w:rPr>
      </w:pPr>
    </w:p>
    <w:p w:rsidR="007E60D0" w:rsidRDefault="007E60D0">
      <w:pPr>
        <w:jc w:val="center"/>
        <w:rPr>
          <w:b/>
          <w:szCs w:val="24"/>
          <w:lang w:val="es-ES_tradnl"/>
        </w:rPr>
      </w:pPr>
      <w:r>
        <w:rPr>
          <w:b/>
          <w:szCs w:val="24"/>
          <w:lang w:val="es-ES_tradnl"/>
        </w:rPr>
        <w:t>CUADRO No. 11</w:t>
      </w:r>
    </w:p>
    <w:p w:rsidR="007E60D0" w:rsidRDefault="007E60D0">
      <w:pPr>
        <w:jc w:val="center"/>
        <w:rPr>
          <w:b/>
          <w:szCs w:val="24"/>
          <w:lang w:val="es-ES_tradnl"/>
        </w:rPr>
      </w:pPr>
    </w:p>
    <w:p w:rsidR="007E60D0" w:rsidRDefault="007E60D0">
      <w:pPr>
        <w:jc w:val="center"/>
        <w:rPr>
          <w:b/>
          <w:szCs w:val="24"/>
          <w:lang w:val="es-ES_tradnl"/>
        </w:rPr>
      </w:pPr>
      <w:r>
        <w:rPr>
          <w:b/>
          <w:szCs w:val="24"/>
          <w:lang w:val="es-ES_tradnl"/>
        </w:rPr>
        <w:t>PROYECCIONES PLAN FINANCIERO DE INGRESOS y GASTOS</w:t>
      </w:r>
    </w:p>
    <w:p w:rsidR="007E60D0" w:rsidRDefault="007E60D0">
      <w:pPr>
        <w:jc w:val="center"/>
        <w:rPr>
          <w:b/>
          <w:szCs w:val="24"/>
          <w:lang w:val="es-ES_tradnl"/>
        </w:rPr>
      </w:pPr>
      <w:r>
        <w:rPr>
          <w:b/>
          <w:szCs w:val="24"/>
          <w:lang w:val="es-ES_tradnl"/>
        </w:rPr>
        <w:t xml:space="preserve"> Y FINANCIAMIENTO DE 2011 – 2021</w:t>
      </w:r>
    </w:p>
    <w:p w:rsidR="007E60D0" w:rsidRDefault="007E60D0">
      <w:pPr>
        <w:jc w:val="center"/>
        <w:rPr>
          <w:b/>
          <w:szCs w:val="24"/>
          <w:lang w:val="es-ES_tradnl"/>
        </w:rPr>
      </w:pPr>
    </w:p>
    <w:p w:rsidR="007E60D0" w:rsidRDefault="007E60D0">
      <w:pPr>
        <w:rPr>
          <w:b/>
          <w:szCs w:val="24"/>
          <w:lang w:val="es-ES_tradnl"/>
        </w:rPr>
      </w:pPr>
    </w:p>
    <w:p w:rsidR="007E60D0" w:rsidRDefault="007E60D0">
      <w:pPr>
        <w:rPr>
          <w:szCs w:val="24"/>
          <w:lang w:val="es-ES_tradnl"/>
        </w:rPr>
      </w:pPr>
      <w:r>
        <w:rPr>
          <w:szCs w:val="24"/>
          <w:lang w:val="es-ES_tradnl"/>
        </w:rPr>
        <w:t>(A continuación presentamos los cuadros del Plan Financiero),  así:</w:t>
      </w:r>
    </w:p>
    <w:p w:rsidR="007E60D0" w:rsidRDefault="007E60D0">
      <w:pPr>
        <w:ind w:left="705" w:hanging="705"/>
        <w:jc w:val="center"/>
        <w:rPr>
          <w:b/>
          <w:szCs w:val="24"/>
          <w:lang w:val="es-ES_tradnl"/>
        </w:rPr>
      </w:pPr>
    </w:p>
    <w:p w:rsidR="007E60D0" w:rsidRDefault="007E60D0">
      <w:pPr>
        <w:ind w:left="705" w:hanging="705"/>
        <w:jc w:val="center"/>
        <w:rPr>
          <w:b/>
          <w:szCs w:val="24"/>
          <w:lang w:val="es-ES_tradnl"/>
        </w:rPr>
      </w:pPr>
    </w:p>
    <w:p w:rsidR="007E60D0" w:rsidRDefault="007E60D0">
      <w:pPr>
        <w:ind w:left="705" w:hanging="705"/>
        <w:jc w:val="center"/>
        <w:rPr>
          <w:b/>
          <w:szCs w:val="24"/>
          <w:lang w:val="es-ES_tradnl"/>
        </w:rPr>
      </w:pPr>
    </w:p>
    <w:p w:rsidR="007E60D0" w:rsidRDefault="007E60D0">
      <w:pPr>
        <w:ind w:left="705" w:hanging="705"/>
        <w:jc w:val="center"/>
        <w:rPr>
          <w:b/>
          <w:szCs w:val="24"/>
          <w:lang w:val="es-ES_tradnl"/>
        </w:rPr>
      </w:pPr>
    </w:p>
    <w:p w:rsidR="007E60D0" w:rsidRDefault="007E60D0">
      <w:pPr>
        <w:ind w:left="705" w:hanging="705"/>
        <w:jc w:val="center"/>
        <w:rPr>
          <w:b/>
          <w:szCs w:val="24"/>
          <w:lang w:val="es-ES_tradnl"/>
        </w:rPr>
      </w:pPr>
    </w:p>
    <w:p w:rsidR="007E60D0" w:rsidRDefault="007E60D0">
      <w:pPr>
        <w:ind w:left="705" w:hanging="705"/>
        <w:jc w:val="center"/>
        <w:rPr>
          <w:b/>
          <w:szCs w:val="24"/>
          <w:lang w:val="es-ES_tradnl"/>
        </w:rPr>
      </w:pPr>
    </w:p>
    <w:p w:rsidR="007E60D0" w:rsidRDefault="007E60D0">
      <w:pPr>
        <w:ind w:left="705" w:hanging="705"/>
        <w:jc w:val="center"/>
        <w:rPr>
          <w:b/>
          <w:szCs w:val="24"/>
          <w:lang w:val="es-ES_tradnl"/>
        </w:rPr>
      </w:pPr>
    </w:p>
    <w:p w:rsidR="007E60D0" w:rsidRDefault="007E60D0">
      <w:pPr>
        <w:ind w:left="705" w:hanging="705"/>
        <w:jc w:val="center"/>
        <w:rPr>
          <w:b/>
          <w:szCs w:val="24"/>
          <w:lang w:val="es-ES_tradnl"/>
        </w:rPr>
      </w:pPr>
    </w:p>
    <w:p w:rsidR="007E60D0" w:rsidRDefault="007E60D0">
      <w:pPr>
        <w:ind w:left="705" w:hanging="705"/>
        <w:jc w:val="center"/>
        <w:rPr>
          <w:b/>
          <w:szCs w:val="24"/>
          <w:lang w:val="es-ES_tradnl"/>
        </w:rPr>
      </w:pPr>
    </w:p>
    <w:p w:rsidR="007E60D0" w:rsidRDefault="007E60D0">
      <w:pPr>
        <w:ind w:left="705" w:hanging="705"/>
        <w:jc w:val="center"/>
        <w:rPr>
          <w:b/>
          <w:szCs w:val="24"/>
          <w:lang w:val="es-ES_tradnl"/>
        </w:rPr>
      </w:pPr>
    </w:p>
    <w:p w:rsidR="007E60D0" w:rsidRDefault="007E60D0">
      <w:pPr>
        <w:ind w:left="705" w:hanging="705"/>
        <w:jc w:val="center"/>
        <w:rPr>
          <w:b/>
          <w:szCs w:val="24"/>
          <w:lang w:val="es-ES_tradnl"/>
        </w:rPr>
      </w:pPr>
    </w:p>
    <w:p w:rsidR="007E60D0" w:rsidRDefault="007E60D0">
      <w:pPr>
        <w:ind w:left="705" w:hanging="705"/>
        <w:jc w:val="center"/>
        <w:rPr>
          <w:b/>
          <w:szCs w:val="24"/>
          <w:lang w:val="es-ES_tradnl"/>
        </w:rPr>
      </w:pPr>
    </w:p>
    <w:p w:rsidR="007E60D0" w:rsidRDefault="007E60D0">
      <w:pPr>
        <w:ind w:left="705" w:hanging="705"/>
        <w:jc w:val="center"/>
        <w:rPr>
          <w:b/>
          <w:szCs w:val="24"/>
          <w:lang w:val="es-ES_tradnl"/>
        </w:rPr>
      </w:pPr>
    </w:p>
    <w:p w:rsidR="007E60D0" w:rsidRDefault="007E60D0">
      <w:pPr>
        <w:ind w:left="705" w:hanging="705"/>
        <w:jc w:val="center"/>
        <w:rPr>
          <w:b/>
          <w:szCs w:val="24"/>
          <w:lang w:val="es-ES_tradnl"/>
        </w:rPr>
      </w:pPr>
      <w:r>
        <w:rPr>
          <w:b/>
          <w:szCs w:val="24"/>
          <w:lang w:val="es-ES_tradnl"/>
        </w:rPr>
        <w:tab/>
        <w:t>2. DEFINICIÓN DE OBJETIVOS, ESTRATEGIAS Y METAS DEL PLAN FINANCIERO</w:t>
      </w:r>
    </w:p>
    <w:p w:rsidR="007E60D0" w:rsidRDefault="007E60D0">
      <w:pPr>
        <w:tabs>
          <w:tab w:val="left" w:pos="2160"/>
        </w:tabs>
        <w:jc w:val="both"/>
        <w:rPr>
          <w:b/>
          <w:szCs w:val="24"/>
          <w:lang w:val="es-ES_tradnl"/>
        </w:rPr>
      </w:pPr>
    </w:p>
    <w:p w:rsidR="007E60D0" w:rsidRDefault="007E60D0">
      <w:pPr>
        <w:numPr>
          <w:ilvl w:val="1"/>
          <w:numId w:val="10"/>
        </w:numPr>
        <w:jc w:val="both"/>
        <w:rPr>
          <w:b/>
          <w:szCs w:val="24"/>
          <w:lang w:val="es-ES_tradnl"/>
        </w:rPr>
      </w:pPr>
      <w:r>
        <w:rPr>
          <w:b/>
          <w:szCs w:val="24"/>
          <w:lang w:val="es-ES_tradnl"/>
        </w:rPr>
        <w:t>OBJETIVOS DE  MEDIANO PLAZO</w:t>
      </w:r>
    </w:p>
    <w:p w:rsidR="007E60D0" w:rsidRDefault="007E60D0">
      <w:pPr>
        <w:jc w:val="both"/>
        <w:rPr>
          <w:b/>
          <w:szCs w:val="24"/>
          <w:lang w:val="es-ES_tradnl"/>
        </w:rPr>
      </w:pPr>
    </w:p>
    <w:p w:rsidR="007E60D0" w:rsidRDefault="007E60D0">
      <w:pPr>
        <w:numPr>
          <w:ilvl w:val="0"/>
          <w:numId w:val="4"/>
        </w:numPr>
        <w:jc w:val="both"/>
        <w:rPr>
          <w:szCs w:val="24"/>
          <w:lang w:val="es-ES_tradnl"/>
        </w:rPr>
      </w:pPr>
      <w:r>
        <w:rPr>
          <w:szCs w:val="24"/>
          <w:lang w:val="es-ES_tradnl"/>
        </w:rPr>
        <w:t>Aumento del recaudo de las rentas propias del 5% anual.</w:t>
      </w:r>
    </w:p>
    <w:p w:rsidR="007E60D0" w:rsidRDefault="007E60D0">
      <w:pPr>
        <w:numPr>
          <w:ilvl w:val="0"/>
          <w:numId w:val="4"/>
        </w:numPr>
        <w:jc w:val="both"/>
        <w:rPr>
          <w:szCs w:val="24"/>
          <w:lang w:val="es-ES_tradnl"/>
        </w:rPr>
      </w:pPr>
      <w:r>
        <w:rPr>
          <w:szCs w:val="24"/>
          <w:lang w:val="es-ES_tradnl"/>
        </w:rPr>
        <w:t>Racionalización de los gastos de funcionamiento, con aumentos anuales no superiores al índice de inflación anual (máximo el 3,5% anual).</w:t>
      </w:r>
    </w:p>
    <w:p w:rsidR="007E60D0" w:rsidRDefault="007E60D0">
      <w:pPr>
        <w:numPr>
          <w:ilvl w:val="0"/>
          <w:numId w:val="4"/>
        </w:numPr>
        <w:jc w:val="both"/>
        <w:rPr>
          <w:szCs w:val="24"/>
          <w:lang w:val="es-ES_tradnl"/>
        </w:rPr>
      </w:pPr>
      <w:r>
        <w:rPr>
          <w:szCs w:val="24"/>
          <w:lang w:val="es-ES_tradnl"/>
        </w:rPr>
        <w:t>Ajustes a la modernización de la administración municipal a partir del año 2010.</w:t>
      </w:r>
    </w:p>
    <w:p w:rsidR="007E60D0" w:rsidRDefault="007E60D0">
      <w:pPr>
        <w:jc w:val="both"/>
        <w:rPr>
          <w:b/>
          <w:szCs w:val="24"/>
          <w:lang w:val="es-ES_tradnl"/>
        </w:rPr>
      </w:pPr>
    </w:p>
    <w:p w:rsidR="007E60D0" w:rsidRDefault="007E60D0">
      <w:pPr>
        <w:numPr>
          <w:ilvl w:val="1"/>
          <w:numId w:val="10"/>
        </w:numPr>
        <w:jc w:val="both"/>
        <w:rPr>
          <w:b/>
          <w:szCs w:val="24"/>
          <w:lang w:val="es-ES_tradnl"/>
        </w:rPr>
      </w:pPr>
      <w:r>
        <w:rPr>
          <w:b/>
          <w:szCs w:val="24"/>
          <w:lang w:val="es-ES_tradnl"/>
        </w:rPr>
        <w:t>OBJETIVOS ESPECÍFICOS</w:t>
      </w:r>
    </w:p>
    <w:p w:rsidR="007E60D0" w:rsidRDefault="007E60D0">
      <w:pPr>
        <w:ind w:left="705"/>
        <w:jc w:val="both"/>
        <w:rPr>
          <w:b/>
          <w:szCs w:val="24"/>
          <w:lang w:val="es-ES_tradnl"/>
        </w:rPr>
      </w:pPr>
    </w:p>
    <w:p w:rsidR="007E60D0" w:rsidRDefault="007E60D0">
      <w:pPr>
        <w:numPr>
          <w:ilvl w:val="0"/>
          <w:numId w:val="4"/>
        </w:numPr>
        <w:jc w:val="both"/>
        <w:rPr>
          <w:szCs w:val="24"/>
          <w:lang w:val="es-ES_tradnl"/>
        </w:rPr>
      </w:pPr>
      <w:r>
        <w:rPr>
          <w:szCs w:val="24"/>
          <w:lang w:val="es-ES_tradnl"/>
        </w:rPr>
        <w:t>Mayor recaudo de impuestos y en general de las rentas propias del municipio.</w:t>
      </w:r>
    </w:p>
    <w:p w:rsidR="007E60D0" w:rsidRDefault="007E60D0">
      <w:pPr>
        <w:numPr>
          <w:ilvl w:val="0"/>
          <w:numId w:val="4"/>
        </w:numPr>
        <w:jc w:val="both"/>
        <w:rPr>
          <w:szCs w:val="24"/>
          <w:lang w:val="es-ES_tradnl"/>
        </w:rPr>
      </w:pPr>
      <w:r>
        <w:rPr>
          <w:szCs w:val="24"/>
          <w:lang w:val="es-ES_tradnl"/>
        </w:rPr>
        <w:t>Mayor sentido de pertenencia del personal de planta.</w:t>
      </w:r>
    </w:p>
    <w:p w:rsidR="007E60D0" w:rsidRDefault="007E60D0">
      <w:pPr>
        <w:numPr>
          <w:ilvl w:val="0"/>
          <w:numId w:val="4"/>
        </w:numPr>
        <w:jc w:val="both"/>
        <w:rPr>
          <w:szCs w:val="24"/>
          <w:lang w:val="es-ES_tradnl"/>
        </w:rPr>
      </w:pPr>
      <w:r>
        <w:rPr>
          <w:szCs w:val="24"/>
          <w:lang w:val="es-ES_tradnl"/>
        </w:rPr>
        <w:t>Capacitar la comunidad para que sea conocedora y sensible sobre la problemática del municipio.</w:t>
      </w:r>
    </w:p>
    <w:p w:rsidR="007E60D0" w:rsidRDefault="007E60D0">
      <w:pPr>
        <w:numPr>
          <w:ilvl w:val="0"/>
          <w:numId w:val="4"/>
        </w:numPr>
        <w:jc w:val="both"/>
        <w:rPr>
          <w:szCs w:val="24"/>
          <w:lang w:val="es-ES_tradnl"/>
        </w:rPr>
      </w:pPr>
      <w:r>
        <w:rPr>
          <w:szCs w:val="24"/>
          <w:lang w:val="es-ES_tradnl"/>
        </w:rPr>
        <w:t>Mejorar la capacidad institucional.</w:t>
      </w:r>
    </w:p>
    <w:p w:rsidR="007E60D0" w:rsidRDefault="007E60D0">
      <w:pPr>
        <w:numPr>
          <w:ilvl w:val="0"/>
          <w:numId w:val="4"/>
        </w:numPr>
        <w:jc w:val="both"/>
        <w:rPr>
          <w:szCs w:val="24"/>
          <w:lang w:val="es-ES_tradnl"/>
        </w:rPr>
      </w:pPr>
      <w:r>
        <w:rPr>
          <w:szCs w:val="24"/>
          <w:lang w:val="es-ES_tradnl"/>
        </w:rPr>
        <w:t>Creación de una ESP viable y auto sostenible financieramente.</w:t>
      </w:r>
    </w:p>
    <w:p w:rsidR="007E60D0" w:rsidRDefault="007E60D0">
      <w:pPr>
        <w:numPr>
          <w:ilvl w:val="0"/>
          <w:numId w:val="4"/>
        </w:numPr>
        <w:jc w:val="both"/>
        <w:rPr>
          <w:szCs w:val="24"/>
          <w:lang w:val="es-ES_tradnl"/>
        </w:rPr>
      </w:pPr>
      <w:r>
        <w:rPr>
          <w:szCs w:val="24"/>
          <w:lang w:val="es-ES_tradnl"/>
        </w:rPr>
        <w:t>Cumplimiento de las metas del Plan de Desarrollo.</w:t>
      </w:r>
    </w:p>
    <w:p w:rsidR="007E60D0" w:rsidRDefault="007E60D0">
      <w:pPr>
        <w:numPr>
          <w:ilvl w:val="0"/>
          <w:numId w:val="4"/>
        </w:numPr>
        <w:jc w:val="both"/>
        <w:rPr>
          <w:szCs w:val="24"/>
          <w:lang w:val="es-ES_tradnl"/>
        </w:rPr>
      </w:pPr>
      <w:r>
        <w:rPr>
          <w:szCs w:val="24"/>
          <w:lang w:val="es-ES_tradnl"/>
        </w:rPr>
        <w:t>Mayor cubrimiento de las NBI.</w:t>
      </w:r>
    </w:p>
    <w:p w:rsidR="007E60D0" w:rsidRDefault="007E60D0">
      <w:pPr>
        <w:numPr>
          <w:ilvl w:val="0"/>
          <w:numId w:val="4"/>
        </w:numPr>
        <w:jc w:val="both"/>
        <w:rPr>
          <w:szCs w:val="24"/>
          <w:lang w:val="es-ES_tradnl"/>
        </w:rPr>
      </w:pPr>
      <w:r>
        <w:rPr>
          <w:szCs w:val="24"/>
          <w:lang w:val="es-ES_tradnl"/>
        </w:rPr>
        <w:t>Mantener en el tiempo un superávit primario.</w:t>
      </w:r>
    </w:p>
    <w:p w:rsidR="007E60D0" w:rsidRDefault="007E60D0">
      <w:pPr>
        <w:numPr>
          <w:ilvl w:val="0"/>
          <w:numId w:val="4"/>
        </w:numPr>
        <w:jc w:val="both"/>
        <w:rPr>
          <w:szCs w:val="24"/>
          <w:lang w:val="es-ES_tradnl"/>
        </w:rPr>
      </w:pPr>
      <w:r>
        <w:rPr>
          <w:szCs w:val="24"/>
          <w:lang w:val="es-ES_tradnl"/>
        </w:rPr>
        <w:t>La sensibilización a la comunidad, la capacitación de los empleados.</w:t>
      </w:r>
    </w:p>
    <w:p w:rsidR="007E60D0" w:rsidRDefault="007E60D0">
      <w:pPr>
        <w:numPr>
          <w:ilvl w:val="0"/>
          <w:numId w:val="4"/>
        </w:numPr>
        <w:jc w:val="both"/>
        <w:rPr>
          <w:szCs w:val="24"/>
          <w:lang w:val="es-ES_tradnl"/>
        </w:rPr>
      </w:pPr>
      <w:r>
        <w:rPr>
          <w:szCs w:val="24"/>
          <w:lang w:val="es-ES_tradnl"/>
        </w:rPr>
        <w:t>El fortalecimiento de los recaudos.</w:t>
      </w:r>
    </w:p>
    <w:p w:rsidR="007E60D0" w:rsidRDefault="007E60D0">
      <w:pPr>
        <w:numPr>
          <w:ilvl w:val="0"/>
          <w:numId w:val="4"/>
        </w:numPr>
        <w:jc w:val="both"/>
        <w:rPr>
          <w:szCs w:val="24"/>
          <w:lang w:val="es-ES_tradnl"/>
        </w:rPr>
      </w:pPr>
      <w:r>
        <w:rPr>
          <w:szCs w:val="24"/>
          <w:lang w:val="es-ES_tradnl"/>
        </w:rPr>
        <w:t>La disminución de los gastos generales.</w:t>
      </w:r>
    </w:p>
    <w:p w:rsidR="007E60D0" w:rsidRDefault="007E60D0">
      <w:pPr>
        <w:numPr>
          <w:ilvl w:val="0"/>
          <w:numId w:val="4"/>
        </w:numPr>
        <w:jc w:val="both"/>
        <w:rPr>
          <w:szCs w:val="24"/>
          <w:lang w:val="es-ES_tradnl"/>
        </w:rPr>
      </w:pPr>
      <w:r>
        <w:rPr>
          <w:szCs w:val="24"/>
          <w:lang w:val="es-ES_tradnl"/>
        </w:rPr>
        <w:t>Cumplimiento de la Ley 617 de 2000.</w:t>
      </w:r>
    </w:p>
    <w:p w:rsidR="007E60D0" w:rsidRDefault="007E60D0">
      <w:pPr>
        <w:numPr>
          <w:ilvl w:val="0"/>
          <w:numId w:val="4"/>
        </w:numPr>
        <w:jc w:val="both"/>
        <w:rPr>
          <w:szCs w:val="24"/>
          <w:lang w:val="es-ES_tradnl"/>
        </w:rPr>
      </w:pPr>
      <w:r>
        <w:rPr>
          <w:szCs w:val="24"/>
          <w:lang w:val="es-ES_tradnl"/>
        </w:rPr>
        <w:t>Generación de superávit primario para sostener la deuda pública.</w:t>
      </w:r>
    </w:p>
    <w:p w:rsidR="007E60D0" w:rsidRDefault="007E60D0">
      <w:pPr>
        <w:numPr>
          <w:ilvl w:val="0"/>
          <w:numId w:val="4"/>
        </w:numPr>
        <w:jc w:val="both"/>
        <w:rPr>
          <w:szCs w:val="24"/>
          <w:lang w:val="es-ES_tradnl"/>
        </w:rPr>
      </w:pPr>
      <w:r>
        <w:rPr>
          <w:szCs w:val="24"/>
          <w:lang w:val="es-ES_tradnl"/>
        </w:rPr>
        <w:t>Saneamiento del déficit fiscal, con el pago de cuotas partes pensiónales y de bonos pensiónales</w:t>
      </w:r>
    </w:p>
    <w:p w:rsidR="007E60D0" w:rsidRDefault="007E60D0">
      <w:pPr>
        <w:numPr>
          <w:ilvl w:val="0"/>
          <w:numId w:val="4"/>
        </w:numPr>
        <w:jc w:val="both"/>
        <w:rPr>
          <w:szCs w:val="24"/>
          <w:lang w:val="es-ES_tradnl"/>
        </w:rPr>
      </w:pPr>
      <w:r>
        <w:rPr>
          <w:szCs w:val="24"/>
          <w:lang w:val="es-ES_tradnl"/>
        </w:rPr>
        <w:t>El aumento en el recaudo de los impuestos y rentas municipales, fortaleciendo el ahorro operacional.</w:t>
      </w:r>
    </w:p>
    <w:p w:rsidR="007E60D0" w:rsidRDefault="007E60D0">
      <w:pPr>
        <w:numPr>
          <w:ilvl w:val="0"/>
          <w:numId w:val="4"/>
        </w:numPr>
        <w:jc w:val="both"/>
        <w:rPr>
          <w:szCs w:val="24"/>
          <w:lang w:val="es-ES_tradnl"/>
        </w:rPr>
      </w:pPr>
      <w:r>
        <w:rPr>
          <w:szCs w:val="24"/>
          <w:lang w:val="es-ES_tradnl"/>
        </w:rPr>
        <w:t>Capacitación de los empleados.</w:t>
      </w:r>
    </w:p>
    <w:p w:rsidR="007E60D0" w:rsidRDefault="007E60D0">
      <w:pPr>
        <w:numPr>
          <w:ilvl w:val="0"/>
          <w:numId w:val="4"/>
        </w:numPr>
        <w:jc w:val="both"/>
        <w:rPr>
          <w:szCs w:val="24"/>
          <w:lang w:val="es-ES_tradnl"/>
        </w:rPr>
      </w:pPr>
      <w:r>
        <w:rPr>
          <w:szCs w:val="24"/>
          <w:lang w:val="es-ES_tradnl"/>
        </w:rPr>
        <w:t>Implementar Plan de estímulos para los empleados, basados en el mejoramiento continuo de la calidad del trabajo.</w:t>
      </w:r>
    </w:p>
    <w:p w:rsidR="007E60D0" w:rsidRDefault="007E60D0">
      <w:pPr>
        <w:numPr>
          <w:ilvl w:val="0"/>
          <w:numId w:val="4"/>
        </w:numPr>
        <w:jc w:val="both"/>
        <w:rPr>
          <w:szCs w:val="24"/>
          <w:lang w:val="es-ES_tradnl"/>
        </w:rPr>
      </w:pPr>
      <w:r>
        <w:rPr>
          <w:szCs w:val="24"/>
          <w:lang w:val="es-ES_tradnl"/>
        </w:rPr>
        <w:t>Creación y puesta en marca de la Empresa de Servicios Públicos domiciliarios u otra modalidad que permita Administrar eficientemente los servicios públicos.</w:t>
      </w:r>
    </w:p>
    <w:p w:rsidR="007E60D0" w:rsidRDefault="007E60D0">
      <w:pPr>
        <w:numPr>
          <w:ilvl w:val="0"/>
          <w:numId w:val="4"/>
        </w:numPr>
        <w:jc w:val="both"/>
        <w:rPr>
          <w:szCs w:val="24"/>
          <w:lang w:val="es-ES_tradnl"/>
        </w:rPr>
      </w:pPr>
      <w:r>
        <w:rPr>
          <w:szCs w:val="24"/>
          <w:lang w:val="es-ES_tradnl"/>
        </w:rPr>
        <w:t>De manera técnica evaluar el estatuto de Rentas Municipal, identificando y definiendo plenamente las rentas municipales.</w:t>
      </w:r>
    </w:p>
    <w:p w:rsidR="007E60D0" w:rsidRDefault="007E60D0">
      <w:pPr>
        <w:jc w:val="both"/>
        <w:rPr>
          <w:b/>
          <w:szCs w:val="24"/>
          <w:lang w:val="es-ES_tradnl"/>
        </w:rPr>
      </w:pPr>
    </w:p>
    <w:p w:rsidR="007E60D0" w:rsidRDefault="007E60D0">
      <w:pPr>
        <w:numPr>
          <w:ilvl w:val="1"/>
          <w:numId w:val="10"/>
        </w:numPr>
        <w:jc w:val="both"/>
        <w:rPr>
          <w:b/>
          <w:szCs w:val="24"/>
          <w:lang w:val="es-ES_tradnl"/>
        </w:rPr>
      </w:pPr>
      <w:r>
        <w:rPr>
          <w:b/>
          <w:szCs w:val="24"/>
          <w:lang w:val="es-ES_tradnl"/>
        </w:rPr>
        <w:t>METAS DEL SUPERAVIT PRIMARIO, EL NIVEL DE DEUDA PUBLICA Y EL ANÁLISIS DE LA SOSTENIBILIDAD DE LA DEUDA</w:t>
      </w:r>
    </w:p>
    <w:p w:rsidR="007E60D0" w:rsidRDefault="007E60D0">
      <w:pPr>
        <w:tabs>
          <w:tab w:val="left" w:pos="1318"/>
        </w:tabs>
        <w:jc w:val="both"/>
        <w:rPr>
          <w:b/>
          <w:szCs w:val="24"/>
          <w:lang w:val="es-ES_tradnl"/>
        </w:rPr>
      </w:pPr>
      <w:r>
        <w:rPr>
          <w:b/>
          <w:szCs w:val="24"/>
          <w:lang w:val="es-ES_tradnl"/>
        </w:rPr>
        <w:tab/>
      </w:r>
    </w:p>
    <w:p w:rsidR="007E60D0" w:rsidRDefault="007E60D0">
      <w:pPr>
        <w:jc w:val="both"/>
        <w:rPr>
          <w:szCs w:val="24"/>
          <w:lang w:val="es-ES_tradnl"/>
        </w:rPr>
      </w:pPr>
      <w:r>
        <w:rPr>
          <w:szCs w:val="24"/>
          <w:lang w:val="es-ES_tradnl"/>
        </w:rPr>
        <w:t>Si bien, de conformidad con la Ley 819 de 2003, el municipio no está en la obligatoriedad legal de establecer una meta de superávit primario debido a que la ley estableció que este requerimiento solamente debe ser atendido por los municipios de categoría especial, primera y segunda; se presenta este apartado, como un análisis complementario que explica el comportamiento del respaldo del endeudamiento público municipal.</w:t>
      </w:r>
    </w:p>
    <w:p w:rsidR="007E60D0" w:rsidRDefault="007E60D0">
      <w:pPr>
        <w:jc w:val="both"/>
        <w:rPr>
          <w:szCs w:val="24"/>
          <w:lang w:val="es-ES_tradnl"/>
        </w:rPr>
      </w:pPr>
    </w:p>
    <w:p w:rsidR="007E60D0" w:rsidRDefault="007E60D0">
      <w:pPr>
        <w:jc w:val="both"/>
        <w:rPr>
          <w:szCs w:val="24"/>
          <w:lang w:val="es-ES_tradnl"/>
        </w:rPr>
      </w:pPr>
      <w:r>
        <w:rPr>
          <w:b/>
          <w:szCs w:val="24"/>
          <w:lang w:val="es-ES_tradnl"/>
        </w:rPr>
        <w:t>2.3.1 Metas de superávit primario</w:t>
      </w:r>
      <w:r>
        <w:rPr>
          <w:szCs w:val="24"/>
          <w:lang w:val="es-ES_tradnl"/>
        </w:rPr>
        <w:t xml:space="preserve"> </w:t>
      </w:r>
    </w:p>
    <w:p w:rsidR="007E60D0" w:rsidRDefault="007E60D0">
      <w:pPr>
        <w:jc w:val="both"/>
        <w:rPr>
          <w:szCs w:val="24"/>
          <w:lang w:val="es-ES_tradnl"/>
        </w:rPr>
      </w:pPr>
    </w:p>
    <w:p w:rsidR="007E60D0" w:rsidRDefault="007E60D0">
      <w:pPr>
        <w:jc w:val="both"/>
        <w:rPr>
          <w:szCs w:val="24"/>
          <w:lang w:val="es-ES_tradnl"/>
        </w:rPr>
      </w:pPr>
      <w:r>
        <w:rPr>
          <w:szCs w:val="24"/>
          <w:lang w:val="es-ES_tradnl"/>
        </w:rPr>
        <w:t>Es un indicador complementario a los establecidos por la ley para determinar la capacidad de pago y garantizar la sostenibilidad de la deuda. Este indicador es necesario para establecer la capacidad de endeudamiento. Por lo tanto, se observará los dos indicadores de capacidad de pago establecidos en la ley 358 de 1997 y su decreto reglamentario 698 de 1998.</w:t>
      </w:r>
    </w:p>
    <w:p w:rsidR="007E60D0" w:rsidRDefault="007E60D0">
      <w:pPr>
        <w:jc w:val="both"/>
        <w:rPr>
          <w:szCs w:val="24"/>
          <w:lang w:val="es-ES_tradnl"/>
        </w:rPr>
      </w:pPr>
    </w:p>
    <w:p w:rsidR="007E60D0" w:rsidRDefault="007E60D0">
      <w:pPr>
        <w:jc w:val="both"/>
        <w:rPr>
          <w:szCs w:val="24"/>
          <w:lang w:val="es-ES_tradnl"/>
        </w:rPr>
      </w:pPr>
      <w:r>
        <w:rPr>
          <w:szCs w:val="24"/>
          <w:lang w:val="es-ES_tradnl"/>
        </w:rPr>
        <w:t>Las metas establecidas en la ley 819 de 2003 y 358 de 1997 a partir del cumplimiento de las políticas de las proyecciones, se obtienen para los años 2009 al 2019 las siguientes metas:</w:t>
      </w:r>
    </w:p>
    <w:p w:rsidR="007E60D0" w:rsidRDefault="007E60D0">
      <w:pPr>
        <w:jc w:val="both"/>
        <w:rPr>
          <w:szCs w:val="24"/>
          <w:lang w:val="es-ES_tradnl"/>
        </w:rPr>
      </w:pPr>
    </w:p>
    <w:p w:rsidR="007E60D0" w:rsidRDefault="007E60D0">
      <w:pPr>
        <w:numPr>
          <w:ilvl w:val="0"/>
          <w:numId w:val="2"/>
        </w:numPr>
        <w:jc w:val="both"/>
        <w:rPr>
          <w:szCs w:val="24"/>
          <w:lang w:val="es-ES_tradnl"/>
        </w:rPr>
      </w:pPr>
      <w:r>
        <w:rPr>
          <w:szCs w:val="24"/>
          <w:lang w:val="es-ES_tradnl"/>
        </w:rPr>
        <w:t>Intereses sobre ahorro operacional, ≥ al 40%</w:t>
      </w:r>
    </w:p>
    <w:p w:rsidR="007E60D0" w:rsidRDefault="007E60D0">
      <w:pPr>
        <w:numPr>
          <w:ilvl w:val="0"/>
          <w:numId w:val="2"/>
        </w:numPr>
        <w:jc w:val="both"/>
        <w:rPr>
          <w:szCs w:val="24"/>
          <w:lang w:val="es-ES_tradnl"/>
        </w:rPr>
      </w:pPr>
      <w:r>
        <w:rPr>
          <w:szCs w:val="24"/>
          <w:lang w:val="es-ES_tradnl"/>
        </w:rPr>
        <w:t>Saldo de la deuda sobre ingresos corrientes, ≤ al 80%</w:t>
      </w:r>
    </w:p>
    <w:p w:rsidR="007E60D0" w:rsidRDefault="007E60D0">
      <w:pPr>
        <w:numPr>
          <w:ilvl w:val="0"/>
          <w:numId w:val="2"/>
        </w:numPr>
        <w:jc w:val="both"/>
        <w:rPr>
          <w:szCs w:val="24"/>
          <w:lang w:val="es-ES_tradnl"/>
        </w:rPr>
      </w:pPr>
      <w:r>
        <w:rPr>
          <w:szCs w:val="24"/>
          <w:lang w:val="es-ES_tradnl"/>
        </w:rPr>
        <w:t>Superávit primario sobre intereses, ≥ al 100%</w:t>
      </w:r>
    </w:p>
    <w:p w:rsidR="007E60D0" w:rsidRDefault="007E60D0">
      <w:pPr>
        <w:numPr>
          <w:ilvl w:val="0"/>
          <w:numId w:val="2"/>
        </w:numPr>
        <w:jc w:val="both"/>
        <w:rPr>
          <w:szCs w:val="24"/>
          <w:lang w:val="es-ES_tradnl"/>
        </w:rPr>
      </w:pPr>
      <w:r>
        <w:rPr>
          <w:szCs w:val="24"/>
          <w:lang w:val="es-ES_tradnl"/>
        </w:rPr>
        <w:t>Cumplimiento de los indicadores de la ley 617 de 2000.</w:t>
      </w:r>
    </w:p>
    <w:p w:rsidR="007E60D0" w:rsidRDefault="007E60D0">
      <w:pPr>
        <w:jc w:val="both"/>
        <w:rPr>
          <w:b/>
          <w:szCs w:val="24"/>
          <w:lang w:val="es-ES_tradnl"/>
        </w:rPr>
      </w:pPr>
    </w:p>
    <w:p w:rsidR="007E60D0" w:rsidRDefault="007E60D0">
      <w:pPr>
        <w:jc w:val="both"/>
        <w:rPr>
          <w:szCs w:val="24"/>
          <w:lang w:val="es-ES_tradnl"/>
        </w:rPr>
      </w:pPr>
      <w:r>
        <w:rPr>
          <w:szCs w:val="24"/>
          <w:lang w:val="es-ES_tradnl"/>
        </w:rPr>
        <w:t>A partir de las ejecuciones presupuestales del municipio, se estima el escenario de superávit primario con el siguiente detalle:</w:t>
      </w:r>
    </w:p>
    <w:p w:rsidR="007E60D0" w:rsidRDefault="007E60D0">
      <w:pPr>
        <w:jc w:val="center"/>
        <w:rPr>
          <w:b/>
          <w:szCs w:val="24"/>
          <w:lang w:val="es-ES_tradnl"/>
        </w:rPr>
      </w:pPr>
    </w:p>
    <w:p w:rsidR="007E60D0" w:rsidRDefault="007E60D0">
      <w:pPr>
        <w:numPr>
          <w:ilvl w:val="2"/>
          <w:numId w:val="5"/>
        </w:numPr>
        <w:jc w:val="both"/>
        <w:rPr>
          <w:b/>
          <w:szCs w:val="24"/>
          <w:lang w:val="es-ES_tradnl"/>
        </w:rPr>
      </w:pPr>
      <w:r>
        <w:rPr>
          <w:b/>
          <w:szCs w:val="24"/>
          <w:lang w:val="es-ES_tradnl"/>
        </w:rPr>
        <w:t>Metas de deuda pública y análisis de sostenibilidad</w:t>
      </w:r>
    </w:p>
    <w:p w:rsidR="007E60D0" w:rsidRDefault="007E60D0">
      <w:pPr>
        <w:jc w:val="both"/>
        <w:rPr>
          <w:b/>
          <w:szCs w:val="24"/>
          <w:lang w:val="es-ES_tradnl"/>
        </w:rPr>
      </w:pPr>
    </w:p>
    <w:p w:rsidR="007E60D0" w:rsidRDefault="007E60D0">
      <w:pPr>
        <w:jc w:val="both"/>
        <w:rPr>
          <w:szCs w:val="24"/>
          <w:lang w:val="es-ES_tradnl"/>
        </w:rPr>
      </w:pPr>
      <w:r>
        <w:rPr>
          <w:szCs w:val="24"/>
          <w:lang w:val="es-ES_tradnl"/>
        </w:rPr>
        <w:t xml:space="preserve">Atendiendo a las normas de endeudamiento territorial, principalmente las Leyes 358 de 1997 y 819 de 2003, el municipio obtuvo un déficit de </w:t>
      </w:r>
      <w:r>
        <w:rPr>
          <w:b/>
          <w:szCs w:val="24"/>
          <w:lang w:val="es-ES_tradnl"/>
        </w:rPr>
        <w:t>$2</w:t>
      </w:r>
      <w:r>
        <w:rPr>
          <w:b/>
          <w:bCs/>
          <w:szCs w:val="24"/>
        </w:rPr>
        <w:t>.977</w:t>
      </w:r>
      <w:r>
        <w:rPr>
          <w:szCs w:val="24"/>
          <w:lang w:val="es-ES_tradnl"/>
        </w:rPr>
        <w:t xml:space="preserve"> millones durante el año 2010.</w:t>
      </w:r>
    </w:p>
    <w:p w:rsidR="007E60D0" w:rsidRDefault="007E60D0">
      <w:pPr>
        <w:jc w:val="both"/>
        <w:rPr>
          <w:szCs w:val="24"/>
          <w:lang w:val="es-ES_tradnl"/>
        </w:rPr>
      </w:pPr>
    </w:p>
    <w:p w:rsidR="007E60D0" w:rsidRDefault="007E60D0">
      <w:pPr>
        <w:jc w:val="both"/>
        <w:rPr>
          <w:szCs w:val="24"/>
          <w:lang w:val="es-ES_tradnl"/>
        </w:rPr>
      </w:pPr>
    </w:p>
    <w:p w:rsidR="007E60D0" w:rsidRDefault="007E60D0">
      <w:pPr>
        <w:numPr>
          <w:ilvl w:val="1"/>
          <w:numId w:val="10"/>
        </w:numPr>
        <w:jc w:val="both"/>
        <w:rPr>
          <w:b/>
          <w:szCs w:val="24"/>
          <w:lang w:val="es-ES_tradnl"/>
        </w:rPr>
      </w:pPr>
      <w:r>
        <w:rPr>
          <w:b/>
          <w:szCs w:val="24"/>
          <w:lang w:val="es-ES_tradnl"/>
        </w:rPr>
        <w:t>ACCIONES Y MEDIDAS ESPECÍFICAS EN LAS QUE SE SUSTENTA EL CUMPLIMIENTO DE LAS METAS</w:t>
      </w:r>
    </w:p>
    <w:p w:rsidR="007E60D0" w:rsidRDefault="007E60D0">
      <w:pPr>
        <w:tabs>
          <w:tab w:val="left" w:pos="2160"/>
        </w:tabs>
        <w:ind w:firstLine="708"/>
        <w:jc w:val="both"/>
        <w:rPr>
          <w:szCs w:val="24"/>
          <w:lang w:val="es-ES_tradnl"/>
        </w:rPr>
      </w:pPr>
    </w:p>
    <w:p w:rsidR="007E60D0" w:rsidRDefault="007E60D0">
      <w:pPr>
        <w:tabs>
          <w:tab w:val="left" w:pos="2160"/>
        </w:tabs>
        <w:jc w:val="both"/>
        <w:rPr>
          <w:szCs w:val="24"/>
          <w:lang w:val="es-ES_tradnl"/>
        </w:rPr>
      </w:pPr>
      <w:r>
        <w:rPr>
          <w:szCs w:val="24"/>
          <w:lang w:val="es-ES_tradnl"/>
        </w:rPr>
        <w:t xml:space="preserve">Las acciones y medidas que la Administración Municipal se propone adelantar para mantener en el tiempo el cumplimiento de los indicadores legales, solución a la problemática planteada y el logro de los objetivos propuestos, se presentan en un </w:t>
      </w:r>
      <w:r>
        <w:rPr>
          <w:szCs w:val="24"/>
          <w:lang w:val="es-ES_tradnl"/>
        </w:rPr>
        <w:lastRenderedPageBreak/>
        <w:t>cronograma que contiene los proyectos, las metas, las actividades, el tiempo de ejecución y persona responsable.</w:t>
      </w:r>
    </w:p>
    <w:p w:rsidR="007E60D0" w:rsidRDefault="007E60D0">
      <w:pPr>
        <w:tabs>
          <w:tab w:val="left" w:pos="2160"/>
        </w:tabs>
        <w:jc w:val="both"/>
        <w:rPr>
          <w:szCs w:val="24"/>
          <w:lang w:val="es-ES_tradnl"/>
        </w:rPr>
      </w:pPr>
      <w:r>
        <w:rPr>
          <w:szCs w:val="24"/>
          <w:lang w:val="es-ES_tradnl"/>
        </w:rPr>
        <w:t>Las acciones propuestas son de dos tipos:</w:t>
      </w:r>
    </w:p>
    <w:p w:rsidR="007E60D0" w:rsidRDefault="007E60D0">
      <w:pPr>
        <w:tabs>
          <w:tab w:val="left" w:pos="2160"/>
        </w:tabs>
        <w:ind w:left="360"/>
        <w:jc w:val="both"/>
        <w:rPr>
          <w:szCs w:val="24"/>
          <w:lang w:val="es-ES_tradnl"/>
        </w:rPr>
      </w:pPr>
    </w:p>
    <w:p w:rsidR="007E60D0" w:rsidRDefault="007E60D0">
      <w:pPr>
        <w:tabs>
          <w:tab w:val="left" w:pos="2160"/>
        </w:tabs>
        <w:ind w:left="360"/>
        <w:jc w:val="both"/>
        <w:rPr>
          <w:szCs w:val="24"/>
          <w:lang w:val="es-ES_tradnl"/>
        </w:rPr>
      </w:pPr>
      <w:r>
        <w:rPr>
          <w:szCs w:val="24"/>
          <w:lang w:val="es-ES_tradnl"/>
        </w:rPr>
        <w:t>Acciones de rápida ejecución e inmediato resultado y de impacto significativo, que tienden  a resolver en el corto plazo la magnitud del déficit y el ahogo financiero, como las siguientes:</w:t>
      </w:r>
    </w:p>
    <w:p w:rsidR="007E60D0" w:rsidRDefault="007E60D0">
      <w:pPr>
        <w:tabs>
          <w:tab w:val="left" w:pos="2160"/>
        </w:tabs>
        <w:ind w:left="360"/>
        <w:jc w:val="both"/>
        <w:rPr>
          <w:szCs w:val="24"/>
          <w:lang w:val="es-ES_tradnl"/>
        </w:rPr>
      </w:pPr>
    </w:p>
    <w:p w:rsidR="007E60D0" w:rsidRDefault="007E60D0">
      <w:pPr>
        <w:numPr>
          <w:ilvl w:val="0"/>
          <w:numId w:val="7"/>
        </w:numPr>
        <w:tabs>
          <w:tab w:val="left" w:pos="2160"/>
        </w:tabs>
        <w:jc w:val="both"/>
        <w:rPr>
          <w:szCs w:val="24"/>
          <w:lang w:val="es-ES_tradnl"/>
        </w:rPr>
      </w:pPr>
      <w:r>
        <w:rPr>
          <w:szCs w:val="24"/>
          <w:lang w:val="es-ES_tradnl"/>
        </w:rPr>
        <w:t>Sensibilización a la comunidad sobre la realidad financiera del municipio y sus posibles soluciones.</w:t>
      </w:r>
    </w:p>
    <w:p w:rsidR="007E60D0" w:rsidRDefault="007E60D0">
      <w:pPr>
        <w:tabs>
          <w:tab w:val="left" w:pos="2160"/>
        </w:tabs>
        <w:ind w:left="1080"/>
        <w:jc w:val="both"/>
        <w:rPr>
          <w:szCs w:val="24"/>
          <w:lang w:val="es-ES_tradnl"/>
        </w:rPr>
      </w:pPr>
    </w:p>
    <w:p w:rsidR="007E60D0" w:rsidRDefault="007E60D0">
      <w:pPr>
        <w:numPr>
          <w:ilvl w:val="0"/>
          <w:numId w:val="7"/>
        </w:numPr>
        <w:tabs>
          <w:tab w:val="left" w:pos="2160"/>
        </w:tabs>
        <w:jc w:val="both"/>
        <w:rPr>
          <w:szCs w:val="24"/>
          <w:lang w:val="es-ES_tradnl"/>
        </w:rPr>
      </w:pPr>
      <w:r>
        <w:rPr>
          <w:szCs w:val="24"/>
          <w:lang w:val="es-ES_tradnl"/>
        </w:rPr>
        <w:t>Ajustar el presupuesto a las posibilidades reales del municipio y reducir rápidamente aquellos gastos que no cuenten con financiación o aquellos gastos redundantes o injustificados (congelación de nóminas, remuneración de servicios técnicos), racionalización de la planta de personal adecuando las necesidades de la administración.</w:t>
      </w:r>
    </w:p>
    <w:p w:rsidR="007E60D0" w:rsidRDefault="007E60D0">
      <w:pPr>
        <w:tabs>
          <w:tab w:val="left" w:pos="2160"/>
        </w:tabs>
        <w:ind w:left="1080"/>
        <w:jc w:val="both"/>
        <w:rPr>
          <w:szCs w:val="24"/>
          <w:lang w:val="es-ES_tradnl"/>
        </w:rPr>
      </w:pPr>
    </w:p>
    <w:p w:rsidR="007E60D0" w:rsidRDefault="007E60D0">
      <w:pPr>
        <w:numPr>
          <w:ilvl w:val="0"/>
          <w:numId w:val="7"/>
        </w:numPr>
        <w:tabs>
          <w:tab w:val="left" w:pos="2160"/>
        </w:tabs>
        <w:jc w:val="both"/>
        <w:rPr>
          <w:szCs w:val="24"/>
          <w:lang w:val="es-ES_tradnl"/>
        </w:rPr>
      </w:pPr>
      <w:r>
        <w:rPr>
          <w:szCs w:val="24"/>
          <w:lang w:val="es-ES_tradnl"/>
        </w:rPr>
        <w:t>Depurar y recuperar cartera de los contribuyentes más representativos del municipio.</w:t>
      </w:r>
    </w:p>
    <w:p w:rsidR="007E60D0" w:rsidRDefault="007E60D0">
      <w:pPr>
        <w:tabs>
          <w:tab w:val="left" w:pos="2160"/>
        </w:tabs>
        <w:jc w:val="both"/>
        <w:rPr>
          <w:szCs w:val="24"/>
          <w:lang w:val="es-ES_tradnl"/>
        </w:rPr>
      </w:pPr>
    </w:p>
    <w:p w:rsidR="007E60D0" w:rsidRDefault="007E60D0">
      <w:pPr>
        <w:numPr>
          <w:ilvl w:val="0"/>
          <w:numId w:val="7"/>
        </w:numPr>
        <w:tabs>
          <w:tab w:val="left" w:pos="2160"/>
        </w:tabs>
        <w:jc w:val="both"/>
        <w:rPr>
          <w:szCs w:val="24"/>
          <w:lang w:val="es-ES_tradnl"/>
        </w:rPr>
      </w:pPr>
      <w:r>
        <w:rPr>
          <w:szCs w:val="24"/>
          <w:lang w:val="es-ES_tradnl"/>
        </w:rPr>
        <w:t>Modernización de la Administración municipal en cuanto al los procesos de sistematización (compra de equipos de computo y software apropiados para la administración).</w:t>
      </w:r>
    </w:p>
    <w:p w:rsidR="007E60D0" w:rsidRDefault="007E60D0">
      <w:pPr>
        <w:tabs>
          <w:tab w:val="left" w:pos="2160"/>
        </w:tabs>
        <w:jc w:val="both"/>
        <w:rPr>
          <w:szCs w:val="24"/>
          <w:lang w:val="es-ES_tradnl"/>
        </w:rPr>
      </w:pPr>
    </w:p>
    <w:p w:rsidR="007E60D0" w:rsidRDefault="007E60D0">
      <w:pPr>
        <w:tabs>
          <w:tab w:val="left" w:pos="2160"/>
        </w:tabs>
        <w:jc w:val="both"/>
        <w:rPr>
          <w:szCs w:val="24"/>
          <w:lang w:val="es-ES_tradnl"/>
        </w:rPr>
      </w:pPr>
      <w:r>
        <w:rPr>
          <w:szCs w:val="24"/>
          <w:lang w:val="es-ES_tradnl"/>
        </w:rPr>
        <w:t>Acciones de impacto a mediano y largo plazo, como aquellas que se orientan a sanear de manera permanente las finanzas del municipio y a fortalecer la capacidad de gestión financiera, administrativa y de personal:</w:t>
      </w:r>
    </w:p>
    <w:p w:rsidR="007E60D0" w:rsidRDefault="007E60D0">
      <w:pPr>
        <w:tabs>
          <w:tab w:val="left" w:pos="2160"/>
        </w:tabs>
        <w:jc w:val="both"/>
        <w:rPr>
          <w:szCs w:val="24"/>
          <w:lang w:val="es-ES_tradnl"/>
        </w:rPr>
      </w:pPr>
    </w:p>
    <w:p w:rsidR="007E60D0" w:rsidRDefault="007E60D0">
      <w:pPr>
        <w:numPr>
          <w:ilvl w:val="0"/>
          <w:numId w:val="9"/>
        </w:numPr>
        <w:tabs>
          <w:tab w:val="left" w:pos="2160"/>
        </w:tabs>
        <w:jc w:val="both"/>
        <w:rPr>
          <w:szCs w:val="24"/>
          <w:lang w:val="es-ES_tradnl"/>
        </w:rPr>
      </w:pPr>
      <w:r>
        <w:rPr>
          <w:szCs w:val="24"/>
          <w:lang w:val="es-ES_tradnl"/>
        </w:rPr>
        <w:t>Reformas a la administración tributaria (actualización de censos de contribuyentes, adopción de programas de fiscalización y control, eliminación de trámites innecesarios, refuerzos al régimen de sanciones, racionalización del régimen de exenciones y descuentos, simplificación de tarifas).</w:t>
      </w:r>
    </w:p>
    <w:p w:rsidR="007E60D0" w:rsidRDefault="007E60D0">
      <w:pPr>
        <w:tabs>
          <w:tab w:val="left" w:pos="2160"/>
        </w:tabs>
        <w:ind w:left="720"/>
        <w:jc w:val="both"/>
        <w:rPr>
          <w:szCs w:val="24"/>
          <w:lang w:val="es-ES_tradnl"/>
        </w:rPr>
      </w:pPr>
    </w:p>
    <w:p w:rsidR="007E60D0" w:rsidRDefault="007E60D0">
      <w:pPr>
        <w:numPr>
          <w:ilvl w:val="0"/>
          <w:numId w:val="9"/>
        </w:numPr>
        <w:tabs>
          <w:tab w:val="left" w:pos="2160"/>
        </w:tabs>
        <w:jc w:val="both"/>
        <w:rPr>
          <w:szCs w:val="24"/>
          <w:lang w:val="es-ES_tradnl"/>
        </w:rPr>
      </w:pPr>
      <w:r>
        <w:rPr>
          <w:szCs w:val="24"/>
          <w:lang w:val="es-ES_tradnl"/>
        </w:rPr>
        <w:t>Aplicación de normas actualizadas en materia financiera (estatuto de rentas, estatuto orgánico de presupuesto y plan general de contabilidad pública), organización de la administración financiera integrada y en consonancia con las funciones básicas de una administración moderna (rentas, presupuesto, tesorería y contabilidad).</w:t>
      </w:r>
    </w:p>
    <w:p w:rsidR="007E60D0" w:rsidRDefault="007E60D0">
      <w:pPr>
        <w:pStyle w:val="Prrafodelista"/>
        <w:rPr>
          <w:rFonts w:ascii="Times New Roman" w:hAnsi="Times New Roman" w:cs="Times New Roman"/>
          <w:sz w:val="24"/>
          <w:szCs w:val="24"/>
          <w:lang w:val="es-ES_tradnl"/>
        </w:rPr>
      </w:pPr>
    </w:p>
    <w:p w:rsidR="007E60D0" w:rsidRDefault="007E60D0">
      <w:pPr>
        <w:numPr>
          <w:ilvl w:val="0"/>
          <w:numId w:val="9"/>
        </w:numPr>
        <w:tabs>
          <w:tab w:val="left" w:pos="2160"/>
        </w:tabs>
        <w:jc w:val="both"/>
        <w:rPr>
          <w:szCs w:val="24"/>
          <w:lang w:val="es-ES_tradnl"/>
        </w:rPr>
      </w:pPr>
      <w:r>
        <w:rPr>
          <w:szCs w:val="24"/>
          <w:lang w:val="es-ES_tradnl"/>
        </w:rPr>
        <w:t>Establecimiento de un sistema adecuado de gestión de personal (procedimientos de selección, evaluación, promoción y control, elaboración de manuales de procesos y procedimientos, etc.)</w:t>
      </w:r>
    </w:p>
    <w:p w:rsidR="007E60D0" w:rsidRDefault="007E60D0">
      <w:pPr>
        <w:tabs>
          <w:tab w:val="left" w:pos="2160"/>
        </w:tabs>
        <w:ind w:left="720"/>
        <w:jc w:val="both"/>
        <w:rPr>
          <w:szCs w:val="24"/>
          <w:lang w:val="es-ES_tradnl"/>
        </w:rPr>
      </w:pPr>
    </w:p>
    <w:p w:rsidR="007E60D0" w:rsidRDefault="007E60D0">
      <w:pPr>
        <w:numPr>
          <w:ilvl w:val="0"/>
          <w:numId w:val="9"/>
        </w:numPr>
        <w:tabs>
          <w:tab w:val="left" w:pos="2160"/>
        </w:tabs>
        <w:jc w:val="both"/>
        <w:rPr>
          <w:szCs w:val="24"/>
          <w:lang w:val="es-ES_tradnl"/>
        </w:rPr>
      </w:pPr>
      <w:r>
        <w:rPr>
          <w:szCs w:val="24"/>
          <w:lang w:val="es-ES_tradnl"/>
        </w:rPr>
        <w:lastRenderedPageBreak/>
        <w:t>Actualización de la historia laboral de los empleados y el cálculo pensional del municipio; cobro de cuotas partes pensiónales, revisión de la legalidad de las pensiones vigentes.</w:t>
      </w:r>
    </w:p>
    <w:p w:rsidR="007E60D0" w:rsidRDefault="007E60D0">
      <w:pPr>
        <w:tabs>
          <w:tab w:val="left" w:pos="2160"/>
        </w:tabs>
        <w:jc w:val="both"/>
        <w:rPr>
          <w:b/>
          <w:szCs w:val="24"/>
          <w:lang w:val="es-ES_tradnl"/>
        </w:rPr>
      </w:pPr>
    </w:p>
    <w:p w:rsidR="007E60D0" w:rsidRDefault="007E60D0">
      <w:pPr>
        <w:tabs>
          <w:tab w:val="left" w:pos="2160"/>
        </w:tabs>
        <w:jc w:val="both"/>
        <w:rPr>
          <w:b/>
          <w:szCs w:val="24"/>
          <w:lang w:val="es-ES_tradnl"/>
        </w:rPr>
      </w:pPr>
      <w:r>
        <w:rPr>
          <w:b/>
          <w:szCs w:val="24"/>
          <w:lang w:val="es-ES_tradnl"/>
        </w:rPr>
        <w:t>2.4.1 Cronograma de Ejecución de las Acciones y Medidas</w:t>
      </w:r>
    </w:p>
    <w:p w:rsidR="007E60D0" w:rsidRDefault="007E60D0">
      <w:pPr>
        <w:tabs>
          <w:tab w:val="left" w:pos="2160"/>
        </w:tabs>
        <w:jc w:val="both"/>
        <w:rPr>
          <w:szCs w:val="24"/>
          <w:lang w:val="es-ES_tradnl"/>
        </w:rPr>
      </w:pPr>
    </w:p>
    <w:p w:rsidR="007E60D0" w:rsidRDefault="007E60D0">
      <w:pPr>
        <w:tabs>
          <w:tab w:val="left" w:pos="2160"/>
        </w:tabs>
        <w:jc w:val="both"/>
        <w:rPr>
          <w:szCs w:val="24"/>
          <w:lang w:val="es-ES_tradnl"/>
        </w:rPr>
      </w:pPr>
      <w:r>
        <w:rPr>
          <w:szCs w:val="24"/>
          <w:lang w:val="es-ES_tradnl"/>
        </w:rPr>
        <w:t>El objetivo es garantizar un buen desempeño del nivel fiscal, mediante una estrategia de fortalecimiento y generación de ingresos; en este apartado se presenta a nivel general un bosquejo de las acciones específicas, metas e indicadores de fortalecimiento de los ingresos propios del municipio.</w:t>
      </w:r>
    </w:p>
    <w:p w:rsidR="007E60D0" w:rsidRDefault="007E60D0">
      <w:pPr>
        <w:tabs>
          <w:tab w:val="left" w:pos="2160"/>
        </w:tabs>
        <w:jc w:val="both"/>
        <w:rPr>
          <w:szCs w:val="24"/>
          <w:lang w:val="es-ES_tradnl"/>
        </w:rPr>
      </w:pPr>
    </w:p>
    <w:p w:rsidR="007E60D0" w:rsidRDefault="007E60D0">
      <w:pPr>
        <w:tabs>
          <w:tab w:val="left" w:pos="2160"/>
        </w:tabs>
        <w:jc w:val="both"/>
        <w:rPr>
          <w:szCs w:val="24"/>
          <w:lang w:val="es-ES_tradnl"/>
        </w:rPr>
      </w:pPr>
      <w:r>
        <w:rPr>
          <w:szCs w:val="24"/>
          <w:lang w:val="es-ES_tradnl"/>
        </w:rPr>
        <w:t>El cronograma constituye una estrategia integral encaminada a incrementar el recaudo efectivo de los ingresos, los tributos con acciones tendientes a ejercer un mayor control a la evasión y morosidad, actualización de las bases gravables, reglamentación y cobro de ingresos, de la siguiente manera:</w:t>
      </w:r>
    </w:p>
    <w:p w:rsidR="007E60D0" w:rsidRDefault="007E60D0">
      <w:pPr>
        <w:tabs>
          <w:tab w:val="left" w:pos="2160"/>
        </w:tabs>
        <w:jc w:val="both"/>
        <w:rPr>
          <w:szCs w:val="24"/>
          <w:lang w:val="es-ES_tradnl"/>
        </w:rPr>
      </w:pPr>
    </w:p>
    <w:tbl>
      <w:tblPr>
        <w:tblW w:w="0" w:type="auto"/>
        <w:tblInd w:w="70" w:type="dxa"/>
        <w:tblLayout w:type="fixed"/>
        <w:tblCellMar>
          <w:left w:w="70" w:type="dxa"/>
          <w:right w:w="70" w:type="dxa"/>
        </w:tblCellMar>
        <w:tblLook w:val="0000"/>
      </w:tblPr>
      <w:tblGrid>
        <w:gridCol w:w="2083"/>
        <w:gridCol w:w="2202"/>
        <w:gridCol w:w="1832"/>
        <w:gridCol w:w="1914"/>
        <w:gridCol w:w="647"/>
        <w:gridCol w:w="629"/>
        <w:gridCol w:w="20"/>
      </w:tblGrid>
      <w:tr w:rsidR="007E60D0">
        <w:trPr>
          <w:gridAfter w:val="1"/>
          <w:wAfter w:w="20" w:type="dxa"/>
          <w:trHeight w:val="315"/>
        </w:trPr>
        <w:tc>
          <w:tcPr>
            <w:tcW w:w="9307" w:type="dxa"/>
            <w:gridSpan w:val="6"/>
            <w:shd w:val="clear" w:color="auto" w:fill="auto"/>
            <w:vAlign w:val="center"/>
          </w:tcPr>
          <w:p w:rsidR="007E60D0" w:rsidRDefault="007E60D0">
            <w:pPr>
              <w:snapToGrid w:val="0"/>
              <w:jc w:val="center"/>
              <w:rPr>
                <w:b/>
                <w:bCs/>
                <w:color w:val="000000"/>
                <w:sz w:val="22"/>
                <w:szCs w:val="24"/>
              </w:rPr>
            </w:pPr>
            <w:r>
              <w:rPr>
                <w:b/>
                <w:bCs/>
                <w:color w:val="000000"/>
                <w:sz w:val="22"/>
                <w:szCs w:val="24"/>
              </w:rPr>
              <w:t>CUADRO No.  12</w:t>
            </w:r>
          </w:p>
        </w:tc>
      </w:tr>
      <w:tr w:rsidR="007E60D0">
        <w:trPr>
          <w:gridAfter w:val="1"/>
          <w:wAfter w:w="20" w:type="dxa"/>
          <w:trHeight w:val="330"/>
        </w:trPr>
        <w:tc>
          <w:tcPr>
            <w:tcW w:w="9307" w:type="dxa"/>
            <w:gridSpan w:val="6"/>
            <w:shd w:val="clear" w:color="auto" w:fill="auto"/>
            <w:vAlign w:val="center"/>
          </w:tcPr>
          <w:p w:rsidR="007E60D0" w:rsidRDefault="007E60D0">
            <w:pPr>
              <w:snapToGrid w:val="0"/>
              <w:jc w:val="center"/>
              <w:rPr>
                <w:b/>
                <w:bCs/>
                <w:color w:val="000000"/>
                <w:sz w:val="22"/>
                <w:szCs w:val="24"/>
              </w:rPr>
            </w:pPr>
            <w:r>
              <w:rPr>
                <w:b/>
                <w:bCs/>
                <w:color w:val="000000"/>
                <w:sz w:val="22"/>
                <w:szCs w:val="24"/>
              </w:rPr>
              <w:t>CRONOGRAMA DE EJECUCIÓN</w:t>
            </w:r>
          </w:p>
        </w:tc>
      </w:tr>
      <w:tr w:rsidR="007E60D0">
        <w:trPr>
          <w:gridAfter w:val="1"/>
          <w:wAfter w:w="20" w:type="dxa"/>
          <w:trHeight w:val="330"/>
        </w:trPr>
        <w:tc>
          <w:tcPr>
            <w:tcW w:w="9307" w:type="dxa"/>
            <w:gridSpan w:val="6"/>
            <w:shd w:val="clear" w:color="auto" w:fill="auto"/>
            <w:vAlign w:val="center"/>
          </w:tcPr>
          <w:p w:rsidR="007E60D0" w:rsidRDefault="007E60D0">
            <w:pPr>
              <w:snapToGrid w:val="0"/>
              <w:jc w:val="center"/>
              <w:rPr>
                <w:b/>
                <w:bCs/>
                <w:color w:val="000000"/>
                <w:sz w:val="22"/>
                <w:szCs w:val="24"/>
              </w:rPr>
            </w:pPr>
            <w:r>
              <w:rPr>
                <w:b/>
                <w:bCs/>
                <w:color w:val="000000"/>
                <w:sz w:val="22"/>
                <w:szCs w:val="24"/>
              </w:rPr>
              <w:t>ACCIONES Y MEDIDAS ESPECIFICAS PARA EL CUMPLIMIENTO</w:t>
            </w:r>
          </w:p>
        </w:tc>
      </w:tr>
      <w:tr w:rsidR="007E60D0">
        <w:trPr>
          <w:gridAfter w:val="1"/>
          <w:wAfter w:w="20" w:type="dxa"/>
          <w:trHeight w:val="330"/>
        </w:trPr>
        <w:tc>
          <w:tcPr>
            <w:tcW w:w="9307" w:type="dxa"/>
            <w:gridSpan w:val="6"/>
            <w:shd w:val="clear" w:color="auto" w:fill="auto"/>
            <w:vAlign w:val="center"/>
          </w:tcPr>
          <w:p w:rsidR="007E60D0" w:rsidRDefault="007E60D0">
            <w:pPr>
              <w:snapToGrid w:val="0"/>
              <w:jc w:val="center"/>
              <w:rPr>
                <w:b/>
                <w:bCs/>
                <w:color w:val="000000"/>
                <w:sz w:val="22"/>
                <w:szCs w:val="24"/>
              </w:rPr>
            </w:pPr>
            <w:r>
              <w:rPr>
                <w:b/>
                <w:bCs/>
                <w:color w:val="000000"/>
                <w:sz w:val="22"/>
                <w:szCs w:val="24"/>
              </w:rPr>
              <w:t>DE LAS METAS PROPUESTAS</w:t>
            </w:r>
          </w:p>
        </w:tc>
      </w:tr>
      <w:tr w:rsidR="007E60D0">
        <w:trPr>
          <w:gridAfter w:val="1"/>
          <w:wAfter w:w="20" w:type="dxa"/>
          <w:trHeight w:val="330"/>
        </w:trPr>
        <w:tc>
          <w:tcPr>
            <w:tcW w:w="2083" w:type="dxa"/>
            <w:shd w:val="clear" w:color="auto" w:fill="auto"/>
            <w:vAlign w:val="center"/>
          </w:tcPr>
          <w:p w:rsidR="007E60D0" w:rsidRDefault="007E60D0">
            <w:pPr>
              <w:snapToGrid w:val="0"/>
              <w:rPr>
                <w:color w:val="000000"/>
                <w:sz w:val="22"/>
                <w:szCs w:val="24"/>
                <w:lang w:val="es-CO"/>
              </w:rPr>
            </w:pPr>
          </w:p>
        </w:tc>
        <w:tc>
          <w:tcPr>
            <w:tcW w:w="2202" w:type="dxa"/>
            <w:shd w:val="clear" w:color="auto" w:fill="auto"/>
            <w:vAlign w:val="center"/>
          </w:tcPr>
          <w:p w:rsidR="007E60D0" w:rsidRDefault="007E60D0">
            <w:pPr>
              <w:snapToGrid w:val="0"/>
              <w:rPr>
                <w:color w:val="000000"/>
                <w:sz w:val="22"/>
                <w:szCs w:val="24"/>
                <w:lang w:val="es-CO"/>
              </w:rPr>
            </w:pPr>
          </w:p>
        </w:tc>
        <w:tc>
          <w:tcPr>
            <w:tcW w:w="1832" w:type="dxa"/>
            <w:shd w:val="clear" w:color="auto" w:fill="auto"/>
            <w:vAlign w:val="center"/>
          </w:tcPr>
          <w:p w:rsidR="007E60D0" w:rsidRDefault="007E60D0">
            <w:pPr>
              <w:snapToGrid w:val="0"/>
              <w:rPr>
                <w:color w:val="000000"/>
                <w:sz w:val="22"/>
                <w:szCs w:val="24"/>
                <w:lang w:val="es-CO"/>
              </w:rPr>
            </w:pPr>
          </w:p>
        </w:tc>
        <w:tc>
          <w:tcPr>
            <w:tcW w:w="1914" w:type="dxa"/>
            <w:shd w:val="clear" w:color="auto" w:fill="auto"/>
            <w:vAlign w:val="center"/>
          </w:tcPr>
          <w:p w:rsidR="007E60D0" w:rsidRDefault="007E60D0">
            <w:pPr>
              <w:snapToGrid w:val="0"/>
              <w:rPr>
                <w:color w:val="000000"/>
                <w:sz w:val="22"/>
                <w:szCs w:val="24"/>
                <w:lang w:val="es-CO"/>
              </w:rPr>
            </w:pPr>
          </w:p>
        </w:tc>
        <w:tc>
          <w:tcPr>
            <w:tcW w:w="647" w:type="dxa"/>
            <w:shd w:val="clear" w:color="auto" w:fill="auto"/>
            <w:vAlign w:val="center"/>
          </w:tcPr>
          <w:p w:rsidR="007E60D0" w:rsidRDefault="007E60D0">
            <w:pPr>
              <w:snapToGrid w:val="0"/>
              <w:rPr>
                <w:color w:val="000000"/>
                <w:sz w:val="22"/>
                <w:szCs w:val="24"/>
                <w:lang w:val="es-CO"/>
              </w:rPr>
            </w:pPr>
          </w:p>
        </w:tc>
        <w:tc>
          <w:tcPr>
            <w:tcW w:w="629" w:type="dxa"/>
            <w:shd w:val="clear" w:color="auto" w:fill="auto"/>
            <w:vAlign w:val="center"/>
          </w:tcPr>
          <w:p w:rsidR="007E60D0" w:rsidRDefault="007E60D0">
            <w:pPr>
              <w:snapToGrid w:val="0"/>
              <w:rPr>
                <w:color w:val="000000"/>
                <w:sz w:val="22"/>
                <w:szCs w:val="24"/>
                <w:lang w:val="es-CO"/>
              </w:rPr>
            </w:pPr>
          </w:p>
        </w:tc>
      </w:tr>
      <w:tr w:rsidR="007E60D0">
        <w:trPr>
          <w:trHeight w:val="330"/>
        </w:trPr>
        <w:tc>
          <w:tcPr>
            <w:tcW w:w="2083" w:type="dxa"/>
            <w:tcBorders>
              <w:top w:val="single" w:sz="8" w:space="0" w:color="000000"/>
              <w:left w:val="single" w:sz="8" w:space="0" w:color="000000"/>
              <w:bottom w:val="single" w:sz="8" w:space="0" w:color="000000"/>
            </w:tcBorders>
            <w:shd w:val="clear" w:color="auto" w:fill="auto"/>
            <w:vAlign w:val="center"/>
          </w:tcPr>
          <w:p w:rsidR="007E60D0" w:rsidRDefault="007E60D0">
            <w:pPr>
              <w:snapToGrid w:val="0"/>
              <w:jc w:val="center"/>
              <w:rPr>
                <w:b/>
                <w:bCs/>
                <w:color w:val="000000"/>
                <w:sz w:val="22"/>
                <w:szCs w:val="24"/>
              </w:rPr>
            </w:pPr>
            <w:r>
              <w:rPr>
                <w:b/>
                <w:bCs/>
                <w:color w:val="000000"/>
                <w:sz w:val="22"/>
                <w:szCs w:val="24"/>
              </w:rPr>
              <w:t>ACTIVIDAD</w:t>
            </w:r>
          </w:p>
        </w:tc>
        <w:tc>
          <w:tcPr>
            <w:tcW w:w="2202" w:type="dxa"/>
            <w:tcBorders>
              <w:top w:val="single" w:sz="8" w:space="0" w:color="000000"/>
              <w:left w:val="single" w:sz="8" w:space="0" w:color="000000"/>
              <w:bottom w:val="single" w:sz="8" w:space="0" w:color="000000"/>
            </w:tcBorders>
            <w:shd w:val="clear" w:color="auto" w:fill="auto"/>
            <w:vAlign w:val="center"/>
          </w:tcPr>
          <w:p w:rsidR="007E60D0" w:rsidRDefault="007E60D0">
            <w:pPr>
              <w:snapToGrid w:val="0"/>
              <w:jc w:val="center"/>
              <w:rPr>
                <w:b/>
                <w:bCs/>
                <w:color w:val="000000"/>
                <w:sz w:val="22"/>
                <w:szCs w:val="24"/>
              </w:rPr>
            </w:pPr>
            <w:r>
              <w:rPr>
                <w:b/>
                <w:bCs/>
                <w:color w:val="000000"/>
                <w:sz w:val="22"/>
                <w:szCs w:val="24"/>
              </w:rPr>
              <w:t>META</w:t>
            </w:r>
          </w:p>
        </w:tc>
        <w:tc>
          <w:tcPr>
            <w:tcW w:w="1832" w:type="dxa"/>
            <w:tcBorders>
              <w:top w:val="single" w:sz="8" w:space="0" w:color="000000"/>
              <w:left w:val="single" w:sz="8" w:space="0" w:color="000000"/>
              <w:bottom w:val="single" w:sz="8" w:space="0" w:color="000000"/>
            </w:tcBorders>
            <w:shd w:val="clear" w:color="auto" w:fill="auto"/>
            <w:vAlign w:val="center"/>
          </w:tcPr>
          <w:p w:rsidR="007E60D0" w:rsidRDefault="007E60D0">
            <w:pPr>
              <w:snapToGrid w:val="0"/>
              <w:jc w:val="center"/>
              <w:rPr>
                <w:b/>
                <w:bCs/>
                <w:color w:val="000000"/>
                <w:sz w:val="22"/>
                <w:szCs w:val="24"/>
              </w:rPr>
            </w:pPr>
            <w:r>
              <w:rPr>
                <w:b/>
                <w:bCs/>
                <w:color w:val="000000"/>
                <w:sz w:val="22"/>
                <w:szCs w:val="24"/>
              </w:rPr>
              <w:t>INDICADOR</w:t>
            </w:r>
          </w:p>
        </w:tc>
        <w:tc>
          <w:tcPr>
            <w:tcW w:w="1914" w:type="dxa"/>
            <w:tcBorders>
              <w:top w:val="single" w:sz="8" w:space="0" w:color="000000"/>
              <w:left w:val="single" w:sz="8" w:space="0" w:color="000000"/>
              <w:bottom w:val="single" w:sz="8" w:space="0" w:color="000000"/>
            </w:tcBorders>
            <w:shd w:val="clear" w:color="auto" w:fill="auto"/>
            <w:vAlign w:val="center"/>
          </w:tcPr>
          <w:p w:rsidR="007E60D0" w:rsidRDefault="007E60D0">
            <w:pPr>
              <w:snapToGrid w:val="0"/>
              <w:jc w:val="center"/>
              <w:rPr>
                <w:b/>
                <w:bCs/>
                <w:color w:val="000000"/>
                <w:sz w:val="22"/>
                <w:szCs w:val="24"/>
              </w:rPr>
            </w:pPr>
            <w:r>
              <w:rPr>
                <w:b/>
                <w:bCs/>
                <w:color w:val="000000"/>
                <w:sz w:val="22"/>
                <w:szCs w:val="24"/>
              </w:rPr>
              <w:t>RESPONSABLE</w:t>
            </w:r>
          </w:p>
        </w:tc>
        <w:tc>
          <w:tcPr>
            <w:tcW w:w="647" w:type="dxa"/>
            <w:tcBorders>
              <w:top w:val="single" w:sz="8" w:space="0" w:color="000000"/>
              <w:left w:val="single" w:sz="8" w:space="0" w:color="000000"/>
              <w:bottom w:val="single" w:sz="8" w:space="0" w:color="000000"/>
            </w:tcBorders>
            <w:shd w:val="clear" w:color="auto" w:fill="auto"/>
            <w:vAlign w:val="center"/>
          </w:tcPr>
          <w:p w:rsidR="007E60D0" w:rsidRDefault="007E60D0">
            <w:pPr>
              <w:snapToGrid w:val="0"/>
              <w:jc w:val="center"/>
              <w:rPr>
                <w:b/>
                <w:bCs/>
                <w:color w:val="000000"/>
                <w:sz w:val="22"/>
                <w:szCs w:val="24"/>
              </w:rPr>
            </w:pPr>
            <w:r>
              <w:rPr>
                <w:b/>
                <w:bCs/>
                <w:color w:val="000000"/>
                <w:sz w:val="22"/>
                <w:szCs w:val="24"/>
              </w:rPr>
              <w:t>2011</w:t>
            </w:r>
          </w:p>
        </w:tc>
        <w:tc>
          <w:tcPr>
            <w:tcW w:w="649"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rsidR="007E60D0" w:rsidRDefault="007E60D0">
            <w:pPr>
              <w:snapToGrid w:val="0"/>
              <w:jc w:val="center"/>
              <w:rPr>
                <w:b/>
                <w:bCs/>
                <w:color w:val="000000"/>
                <w:sz w:val="22"/>
                <w:szCs w:val="24"/>
              </w:rPr>
            </w:pPr>
            <w:r>
              <w:rPr>
                <w:b/>
                <w:bCs/>
                <w:color w:val="000000"/>
                <w:sz w:val="22"/>
                <w:szCs w:val="24"/>
              </w:rPr>
              <w:t>2012</w:t>
            </w:r>
          </w:p>
        </w:tc>
      </w:tr>
      <w:tr w:rsidR="007E60D0">
        <w:trPr>
          <w:trHeight w:val="1883"/>
        </w:trPr>
        <w:tc>
          <w:tcPr>
            <w:tcW w:w="2083" w:type="dxa"/>
            <w:tcBorders>
              <w:left w:val="single" w:sz="8" w:space="0" w:color="000000"/>
              <w:bottom w:val="single" w:sz="8" w:space="0" w:color="000000"/>
            </w:tcBorders>
            <w:shd w:val="clear" w:color="auto" w:fill="auto"/>
            <w:vAlign w:val="center"/>
          </w:tcPr>
          <w:p w:rsidR="007E60D0" w:rsidRDefault="007E60D0">
            <w:pPr>
              <w:snapToGrid w:val="0"/>
              <w:jc w:val="center"/>
              <w:rPr>
                <w:color w:val="000000"/>
                <w:sz w:val="22"/>
                <w:szCs w:val="24"/>
              </w:rPr>
            </w:pPr>
            <w:r>
              <w:rPr>
                <w:color w:val="000000"/>
                <w:sz w:val="22"/>
                <w:szCs w:val="24"/>
              </w:rPr>
              <w:t>Campañas de sensibilización a los contribuyentes sobre las políticas de recaudo de impuestos</w:t>
            </w:r>
          </w:p>
        </w:tc>
        <w:tc>
          <w:tcPr>
            <w:tcW w:w="2202" w:type="dxa"/>
            <w:tcBorders>
              <w:left w:val="single" w:sz="8" w:space="0" w:color="000000"/>
              <w:bottom w:val="single" w:sz="8" w:space="0" w:color="000000"/>
            </w:tcBorders>
            <w:shd w:val="clear" w:color="auto" w:fill="auto"/>
            <w:vAlign w:val="center"/>
          </w:tcPr>
          <w:p w:rsidR="007E60D0" w:rsidRDefault="007E60D0">
            <w:pPr>
              <w:snapToGrid w:val="0"/>
              <w:jc w:val="center"/>
              <w:rPr>
                <w:color w:val="000000"/>
                <w:sz w:val="22"/>
                <w:szCs w:val="24"/>
              </w:rPr>
            </w:pPr>
            <w:r>
              <w:rPr>
                <w:color w:val="000000"/>
                <w:sz w:val="22"/>
                <w:szCs w:val="24"/>
              </w:rPr>
              <w:t>Socializar estatuto de rentas a los contribuyentes</w:t>
            </w:r>
          </w:p>
        </w:tc>
        <w:tc>
          <w:tcPr>
            <w:tcW w:w="1832" w:type="dxa"/>
            <w:tcBorders>
              <w:left w:val="single" w:sz="8" w:space="0" w:color="000000"/>
              <w:bottom w:val="single" w:sz="8" w:space="0" w:color="000000"/>
            </w:tcBorders>
            <w:shd w:val="clear" w:color="auto" w:fill="auto"/>
            <w:vAlign w:val="center"/>
          </w:tcPr>
          <w:p w:rsidR="007E60D0" w:rsidRDefault="007E60D0">
            <w:pPr>
              <w:snapToGrid w:val="0"/>
              <w:jc w:val="center"/>
              <w:rPr>
                <w:color w:val="000000"/>
                <w:sz w:val="22"/>
                <w:szCs w:val="24"/>
              </w:rPr>
            </w:pPr>
            <w:r>
              <w:rPr>
                <w:color w:val="000000"/>
                <w:sz w:val="22"/>
                <w:szCs w:val="24"/>
              </w:rPr>
              <w:t>Socializar al 100% de los contribuyentes</w:t>
            </w:r>
          </w:p>
        </w:tc>
        <w:tc>
          <w:tcPr>
            <w:tcW w:w="1914" w:type="dxa"/>
            <w:tcBorders>
              <w:left w:val="single" w:sz="8" w:space="0" w:color="000000"/>
              <w:bottom w:val="single" w:sz="8" w:space="0" w:color="000000"/>
            </w:tcBorders>
            <w:shd w:val="clear" w:color="auto" w:fill="auto"/>
            <w:vAlign w:val="center"/>
          </w:tcPr>
          <w:p w:rsidR="007E60D0" w:rsidRDefault="007E60D0">
            <w:pPr>
              <w:snapToGrid w:val="0"/>
              <w:jc w:val="center"/>
              <w:rPr>
                <w:color w:val="000000"/>
                <w:sz w:val="22"/>
                <w:szCs w:val="24"/>
              </w:rPr>
            </w:pPr>
            <w:r>
              <w:rPr>
                <w:color w:val="000000"/>
                <w:sz w:val="22"/>
                <w:szCs w:val="24"/>
              </w:rPr>
              <w:t>Secretaria de Planeación y de Hacienda</w:t>
            </w:r>
          </w:p>
        </w:tc>
        <w:tc>
          <w:tcPr>
            <w:tcW w:w="647" w:type="dxa"/>
            <w:tcBorders>
              <w:left w:val="single" w:sz="8" w:space="0" w:color="000000"/>
              <w:bottom w:val="single" w:sz="8" w:space="0" w:color="000000"/>
            </w:tcBorders>
            <w:shd w:val="clear" w:color="auto" w:fill="auto"/>
            <w:vAlign w:val="center"/>
          </w:tcPr>
          <w:p w:rsidR="007E60D0" w:rsidRDefault="007E60D0">
            <w:pPr>
              <w:snapToGrid w:val="0"/>
              <w:jc w:val="center"/>
              <w:rPr>
                <w:color w:val="000000"/>
                <w:sz w:val="22"/>
                <w:szCs w:val="24"/>
              </w:rPr>
            </w:pPr>
            <w:r>
              <w:rPr>
                <w:color w:val="000000"/>
                <w:sz w:val="22"/>
                <w:szCs w:val="24"/>
              </w:rPr>
              <w:t>x</w:t>
            </w:r>
          </w:p>
        </w:tc>
        <w:tc>
          <w:tcPr>
            <w:tcW w:w="649" w:type="dxa"/>
            <w:gridSpan w:val="2"/>
            <w:tcBorders>
              <w:left w:val="single" w:sz="8" w:space="0" w:color="000000"/>
              <w:bottom w:val="single" w:sz="8" w:space="0" w:color="000000"/>
              <w:right w:val="single" w:sz="8" w:space="0" w:color="000000"/>
            </w:tcBorders>
            <w:shd w:val="clear" w:color="auto" w:fill="auto"/>
            <w:vAlign w:val="center"/>
          </w:tcPr>
          <w:p w:rsidR="007E60D0" w:rsidRDefault="007E60D0">
            <w:pPr>
              <w:snapToGrid w:val="0"/>
              <w:jc w:val="center"/>
              <w:rPr>
                <w:color w:val="000000"/>
                <w:sz w:val="22"/>
                <w:szCs w:val="24"/>
              </w:rPr>
            </w:pPr>
            <w:r>
              <w:rPr>
                <w:color w:val="000000"/>
                <w:sz w:val="22"/>
                <w:szCs w:val="24"/>
              </w:rPr>
              <w:t>x</w:t>
            </w:r>
          </w:p>
        </w:tc>
      </w:tr>
      <w:tr w:rsidR="007E60D0">
        <w:trPr>
          <w:trHeight w:val="1816"/>
        </w:trPr>
        <w:tc>
          <w:tcPr>
            <w:tcW w:w="2083" w:type="dxa"/>
            <w:tcBorders>
              <w:left w:val="single" w:sz="8" w:space="0" w:color="000000"/>
              <w:bottom w:val="single" w:sz="4" w:space="0" w:color="000000"/>
            </w:tcBorders>
            <w:shd w:val="clear" w:color="auto" w:fill="auto"/>
            <w:vAlign w:val="center"/>
          </w:tcPr>
          <w:p w:rsidR="007E60D0" w:rsidRDefault="007E60D0">
            <w:pPr>
              <w:snapToGrid w:val="0"/>
              <w:jc w:val="center"/>
              <w:rPr>
                <w:color w:val="000000"/>
                <w:sz w:val="22"/>
                <w:szCs w:val="24"/>
              </w:rPr>
            </w:pPr>
            <w:r>
              <w:rPr>
                <w:color w:val="000000"/>
                <w:sz w:val="22"/>
                <w:szCs w:val="24"/>
              </w:rPr>
              <w:t>Fortalecer y capacitar a los funcionarios de la Secretaria de Hacienda</w:t>
            </w:r>
          </w:p>
        </w:tc>
        <w:tc>
          <w:tcPr>
            <w:tcW w:w="2202" w:type="dxa"/>
            <w:tcBorders>
              <w:left w:val="single" w:sz="8" w:space="0" w:color="000000"/>
              <w:bottom w:val="single" w:sz="4" w:space="0" w:color="000000"/>
            </w:tcBorders>
            <w:shd w:val="clear" w:color="auto" w:fill="auto"/>
            <w:vAlign w:val="center"/>
          </w:tcPr>
          <w:p w:rsidR="007E60D0" w:rsidRDefault="007E60D0">
            <w:pPr>
              <w:snapToGrid w:val="0"/>
              <w:jc w:val="center"/>
              <w:rPr>
                <w:color w:val="000000"/>
                <w:sz w:val="22"/>
                <w:szCs w:val="24"/>
              </w:rPr>
            </w:pPr>
            <w:r>
              <w:rPr>
                <w:color w:val="000000"/>
                <w:sz w:val="22"/>
                <w:szCs w:val="24"/>
              </w:rPr>
              <w:t>Todos los funcionarios deben conocer y manejar los conceptos de la tributación</w:t>
            </w:r>
          </w:p>
        </w:tc>
        <w:tc>
          <w:tcPr>
            <w:tcW w:w="1832" w:type="dxa"/>
            <w:tcBorders>
              <w:left w:val="single" w:sz="8" w:space="0" w:color="000000"/>
              <w:bottom w:val="single" w:sz="4" w:space="0" w:color="000000"/>
            </w:tcBorders>
            <w:shd w:val="clear" w:color="auto" w:fill="auto"/>
            <w:vAlign w:val="center"/>
          </w:tcPr>
          <w:p w:rsidR="007E60D0" w:rsidRDefault="007E60D0">
            <w:pPr>
              <w:snapToGrid w:val="0"/>
              <w:jc w:val="center"/>
              <w:rPr>
                <w:color w:val="000000"/>
                <w:sz w:val="22"/>
                <w:szCs w:val="24"/>
              </w:rPr>
            </w:pPr>
            <w:r>
              <w:rPr>
                <w:color w:val="000000"/>
                <w:sz w:val="22"/>
                <w:szCs w:val="24"/>
              </w:rPr>
              <w:t>Capacitar al 100% de los funcionarios</w:t>
            </w:r>
          </w:p>
        </w:tc>
        <w:tc>
          <w:tcPr>
            <w:tcW w:w="1914" w:type="dxa"/>
            <w:tcBorders>
              <w:left w:val="single" w:sz="8" w:space="0" w:color="000000"/>
              <w:bottom w:val="single" w:sz="4" w:space="0" w:color="000000"/>
            </w:tcBorders>
            <w:shd w:val="clear" w:color="auto" w:fill="auto"/>
            <w:vAlign w:val="center"/>
          </w:tcPr>
          <w:p w:rsidR="007E60D0" w:rsidRDefault="007E60D0">
            <w:pPr>
              <w:snapToGrid w:val="0"/>
              <w:jc w:val="center"/>
              <w:rPr>
                <w:color w:val="000000"/>
                <w:sz w:val="22"/>
                <w:szCs w:val="24"/>
              </w:rPr>
            </w:pPr>
            <w:r>
              <w:rPr>
                <w:color w:val="000000"/>
                <w:sz w:val="22"/>
                <w:szCs w:val="24"/>
              </w:rPr>
              <w:t>Secretaria de Hacienda</w:t>
            </w:r>
          </w:p>
        </w:tc>
        <w:tc>
          <w:tcPr>
            <w:tcW w:w="647" w:type="dxa"/>
            <w:tcBorders>
              <w:left w:val="single" w:sz="8" w:space="0" w:color="000000"/>
              <w:bottom w:val="single" w:sz="4" w:space="0" w:color="000000"/>
            </w:tcBorders>
            <w:shd w:val="clear" w:color="auto" w:fill="auto"/>
            <w:vAlign w:val="center"/>
          </w:tcPr>
          <w:p w:rsidR="007E60D0" w:rsidRDefault="007E60D0">
            <w:pPr>
              <w:snapToGrid w:val="0"/>
              <w:jc w:val="center"/>
              <w:rPr>
                <w:color w:val="000000"/>
                <w:sz w:val="22"/>
                <w:szCs w:val="24"/>
              </w:rPr>
            </w:pPr>
            <w:r>
              <w:rPr>
                <w:color w:val="000000"/>
                <w:sz w:val="22"/>
                <w:szCs w:val="24"/>
              </w:rPr>
              <w:t>x</w:t>
            </w:r>
          </w:p>
        </w:tc>
        <w:tc>
          <w:tcPr>
            <w:tcW w:w="649" w:type="dxa"/>
            <w:gridSpan w:val="2"/>
            <w:tcBorders>
              <w:left w:val="single" w:sz="8" w:space="0" w:color="000000"/>
              <w:bottom w:val="single" w:sz="4" w:space="0" w:color="000000"/>
              <w:right w:val="single" w:sz="8" w:space="0" w:color="000000"/>
            </w:tcBorders>
            <w:shd w:val="clear" w:color="auto" w:fill="auto"/>
            <w:vAlign w:val="center"/>
          </w:tcPr>
          <w:p w:rsidR="007E60D0" w:rsidRDefault="007E60D0">
            <w:pPr>
              <w:snapToGrid w:val="0"/>
              <w:jc w:val="center"/>
              <w:rPr>
                <w:color w:val="000000"/>
                <w:sz w:val="22"/>
                <w:szCs w:val="24"/>
              </w:rPr>
            </w:pPr>
            <w:r>
              <w:rPr>
                <w:color w:val="000000"/>
                <w:sz w:val="22"/>
                <w:szCs w:val="24"/>
              </w:rPr>
              <w:t>x</w:t>
            </w:r>
          </w:p>
        </w:tc>
      </w:tr>
      <w:tr w:rsidR="007E60D0">
        <w:trPr>
          <w:trHeight w:val="1398"/>
        </w:trPr>
        <w:tc>
          <w:tcPr>
            <w:tcW w:w="2083" w:type="dxa"/>
            <w:tcBorders>
              <w:top w:val="single" w:sz="4" w:space="0" w:color="000000"/>
              <w:left w:val="single" w:sz="8" w:space="0" w:color="000000"/>
              <w:bottom w:val="single" w:sz="8" w:space="0" w:color="000000"/>
            </w:tcBorders>
            <w:shd w:val="clear" w:color="auto" w:fill="auto"/>
            <w:vAlign w:val="center"/>
          </w:tcPr>
          <w:p w:rsidR="007E60D0" w:rsidRDefault="007E60D0">
            <w:pPr>
              <w:snapToGrid w:val="0"/>
              <w:jc w:val="center"/>
              <w:rPr>
                <w:color w:val="000000"/>
                <w:sz w:val="22"/>
                <w:szCs w:val="24"/>
              </w:rPr>
            </w:pPr>
            <w:r>
              <w:rPr>
                <w:color w:val="000000"/>
                <w:sz w:val="22"/>
                <w:szCs w:val="24"/>
              </w:rPr>
              <w:t>Manejar expedientes por cada contribuyente por impuesto</w:t>
            </w:r>
          </w:p>
        </w:tc>
        <w:tc>
          <w:tcPr>
            <w:tcW w:w="2202" w:type="dxa"/>
            <w:tcBorders>
              <w:top w:val="single" w:sz="4" w:space="0" w:color="000000"/>
              <w:left w:val="single" w:sz="8" w:space="0" w:color="000000"/>
              <w:bottom w:val="single" w:sz="8" w:space="0" w:color="000000"/>
            </w:tcBorders>
            <w:shd w:val="clear" w:color="auto" w:fill="auto"/>
            <w:vAlign w:val="center"/>
          </w:tcPr>
          <w:p w:rsidR="007E60D0" w:rsidRDefault="007E60D0">
            <w:pPr>
              <w:snapToGrid w:val="0"/>
              <w:jc w:val="center"/>
              <w:rPr>
                <w:color w:val="000000"/>
                <w:sz w:val="22"/>
                <w:szCs w:val="24"/>
              </w:rPr>
            </w:pPr>
            <w:r>
              <w:rPr>
                <w:color w:val="000000"/>
                <w:sz w:val="22"/>
                <w:szCs w:val="24"/>
              </w:rPr>
              <w:t>Organizar el archivo de contribuyentes</w:t>
            </w:r>
          </w:p>
        </w:tc>
        <w:tc>
          <w:tcPr>
            <w:tcW w:w="1832" w:type="dxa"/>
            <w:tcBorders>
              <w:top w:val="single" w:sz="4" w:space="0" w:color="000000"/>
              <w:left w:val="single" w:sz="8" w:space="0" w:color="000000"/>
              <w:bottom w:val="single" w:sz="8" w:space="0" w:color="000000"/>
            </w:tcBorders>
            <w:shd w:val="clear" w:color="auto" w:fill="auto"/>
            <w:vAlign w:val="center"/>
          </w:tcPr>
          <w:p w:rsidR="007E60D0" w:rsidRDefault="007E60D0">
            <w:pPr>
              <w:snapToGrid w:val="0"/>
              <w:jc w:val="center"/>
              <w:rPr>
                <w:color w:val="000000"/>
                <w:sz w:val="22"/>
                <w:szCs w:val="24"/>
              </w:rPr>
            </w:pPr>
            <w:r>
              <w:rPr>
                <w:color w:val="000000"/>
                <w:sz w:val="22"/>
                <w:szCs w:val="24"/>
              </w:rPr>
              <w:t>El 100% de los contribuyentes debe tener expediente.</w:t>
            </w:r>
          </w:p>
        </w:tc>
        <w:tc>
          <w:tcPr>
            <w:tcW w:w="1914" w:type="dxa"/>
            <w:tcBorders>
              <w:top w:val="single" w:sz="4" w:space="0" w:color="000000"/>
              <w:left w:val="single" w:sz="8" w:space="0" w:color="000000"/>
              <w:bottom w:val="single" w:sz="8" w:space="0" w:color="000000"/>
            </w:tcBorders>
            <w:shd w:val="clear" w:color="auto" w:fill="auto"/>
            <w:vAlign w:val="center"/>
          </w:tcPr>
          <w:p w:rsidR="007E60D0" w:rsidRDefault="007E60D0">
            <w:pPr>
              <w:snapToGrid w:val="0"/>
              <w:jc w:val="center"/>
              <w:rPr>
                <w:color w:val="000000"/>
                <w:sz w:val="22"/>
                <w:szCs w:val="24"/>
              </w:rPr>
            </w:pPr>
            <w:r>
              <w:rPr>
                <w:color w:val="000000"/>
                <w:sz w:val="22"/>
                <w:szCs w:val="24"/>
              </w:rPr>
              <w:t>Secretaria de Hacienda</w:t>
            </w:r>
          </w:p>
        </w:tc>
        <w:tc>
          <w:tcPr>
            <w:tcW w:w="647" w:type="dxa"/>
            <w:tcBorders>
              <w:top w:val="single" w:sz="4" w:space="0" w:color="000000"/>
              <w:left w:val="single" w:sz="8" w:space="0" w:color="000000"/>
              <w:bottom w:val="single" w:sz="8" w:space="0" w:color="000000"/>
            </w:tcBorders>
            <w:shd w:val="clear" w:color="auto" w:fill="auto"/>
            <w:vAlign w:val="center"/>
          </w:tcPr>
          <w:p w:rsidR="007E60D0" w:rsidRDefault="007E60D0">
            <w:pPr>
              <w:snapToGrid w:val="0"/>
              <w:jc w:val="center"/>
              <w:rPr>
                <w:color w:val="000000"/>
                <w:sz w:val="22"/>
                <w:szCs w:val="24"/>
              </w:rPr>
            </w:pPr>
            <w:r>
              <w:rPr>
                <w:color w:val="000000"/>
                <w:sz w:val="22"/>
                <w:szCs w:val="24"/>
              </w:rPr>
              <w:t>x</w:t>
            </w:r>
          </w:p>
        </w:tc>
        <w:tc>
          <w:tcPr>
            <w:tcW w:w="649" w:type="dxa"/>
            <w:gridSpan w:val="2"/>
            <w:tcBorders>
              <w:top w:val="single" w:sz="4" w:space="0" w:color="000000"/>
              <w:left w:val="single" w:sz="8" w:space="0" w:color="000000"/>
              <w:bottom w:val="single" w:sz="8" w:space="0" w:color="000000"/>
              <w:right w:val="single" w:sz="8" w:space="0" w:color="000000"/>
            </w:tcBorders>
            <w:shd w:val="clear" w:color="auto" w:fill="auto"/>
            <w:vAlign w:val="center"/>
          </w:tcPr>
          <w:p w:rsidR="007E60D0" w:rsidRDefault="007E60D0">
            <w:pPr>
              <w:snapToGrid w:val="0"/>
              <w:jc w:val="center"/>
              <w:rPr>
                <w:color w:val="000000"/>
                <w:sz w:val="22"/>
                <w:szCs w:val="24"/>
              </w:rPr>
            </w:pPr>
            <w:r>
              <w:rPr>
                <w:color w:val="000000"/>
                <w:sz w:val="22"/>
                <w:szCs w:val="24"/>
              </w:rPr>
              <w:t>x</w:t>
            </w:r>
          </w:p>
        </w:tc>
      </w:tr>
      <w:tr w:rsidR="007E60D0">
        <w:trPr>
          <w:trHeight w:val="968"/>
        </w:trPr>
        <w:tc>
          <w:tcPr>
            <w:tcW w:w="2083" w:type="dxa"/>
            <w:tcBorders>
              <w:left w:val="single" w:sz="8" w:space="0" w:color="000000"/>
              <w:bottom w:val="single" w:sz="4" w:space="0" w:color="000000"/>
            </w:tcBorders>
            <w:shd w:val="clear" w:color="auto" w:fill="auto"/>
            <w:vAlign w:val="center"/>
          </w:tcPr>
          <w:p w:rsidR="007E60D0" w:rsidRDefault="007E60D0">
            <w:pPr>
              <w:snapToGrid w:val="0"/>
              <w:jc w:val="center"/>
              <w:rPr>
                <w:color w:val="000000"/>
                <w:sz w:val="22"/>
                <w:szCs w:val="24"/>
              </w:rPr>
            </w:pPr>
            <w:r>
              <w:rPr>
                <w:color w:val="000000"/>
                <w:sz w:val="22"/>
                <w:szCs w:val="24"/>
              </w:rPr>
              <w:lastRenderedPageBreak/>
              <w:t>Control de la evasión y morosidad en el pago de los impuestos</w:t>
            </w:r>
          </w:p>
        </w:tc>
        <w:tc>
          <w:tcPr>
            <w:tcW w:w="2202" w:type="dxa"/>
            <w:tcBorders>
              <w:left w:val="single" w:sz="8" w:space="0" w:color="000000"/>
              <w:bottom w:val="single" w:sz="4" w:space="0" w:color="000000"/>
            </w:tcBorders>
            <w:shd w:val="clear" w:color="auto" w:fill="auto"/>
            <w:vAlign w:val="center"/>
          </w:tcPr>
          <w:p w:rsidR="007E60D0" w:rsidRDefault="007E60D0">
            <w:pPr>
              <w:snapToGrid w:val="0"/>
              <w:jc w:val="center"/>
              <w:rPr>
                <w:color w:val="000000"/>
                <w:sz w:val="22"/>
                <w:szCs w:val="24"/>
              </w:rPr>
            </w:pPr>
            <w:r>
              <w:rPr>
                <w:color w:val="000000"/>
                <w:sz w:val="22"/>
                <w:szCs w:val="24"/>
              </w:rPr>
              <w:t>Establecer convenios con otras entidades</w:t>
            </w:r>
          </w:p>
        </w:tc>
        <w:tc>
          <w:tcPr>
            <w:tcW w:w="1832" w:type="dxa"/>
            <w:tcBorders>
              <w:left w:val="single" w:sz="8" w:space="0" w:color="000000"/>
              <w:bottom w:val="single" w:sz="4" w:space="0" w:color="000000"/>
            </w:tcBorders>
            <w:shd w:val="clear" w:color="auto" w:fill="auto"/>
            <w:vAlign w:val="center"/>
          </w:tcPr>
          <w:p w:rsidR="007E60D0" w:rsidRDefault="007E60D0">
            <w:pPr>
              <w:snapToGrid w:val="0"/>
              <w:jc w:val="center"/>
              <w:rPr>
                <w:color w:val="000000"/>
                <w:sz w:val="22"/>
                <w:szCs w:val="24"/>
              </w:rPr>
            </w:pPr>
            <w:r>
              <w:rPr>
                <w:color w:val="000000"/>
                <w:sz w:val="22"/>
                <w:szCs w:val="24"/>
              </w:rPr>
              <w:t>Firmar convenio con la DIAN para cruce de información.</w:t>
            </w:r>
          </w:p>
        </w:tc>
        <w:tc>
          <w:tcPr>
            <w:tcW w:w="1914" w:type="dxa"/>
            <w:tcBorders>
              <w:left w:val="single" w:sz="8" w:space="0" w:color="000000"/>
              <w:bottom w:val="single" w:sz="4" w:space="0" w:color="000000"/>
            </w:tcBorders>
            <w:shd w:val="clear" w:color="auto" w:fill="auto"/>
            <w:vAlign w:val="center"/>
          </w:tcPr>
          <w:p w:rsidR="007E60D0" w:rsidRDefault="007E60D0">
            <w:pPr>
              <w:snapToGrid w:val="0"/>
              <w:jc w:val="center"/>
              <w:rPr>
                <w:color w:val="000000"/>
                <w:sz w:val="22"/>
                <w:szCs w:val="24"/>
              </w:rPr>
            </w:pPr>
            <w:r>
              <w:rPr>
                <w:color w:val="000000"/>
                <w:sz w:val="22"/>
                <w:szCs w:val="24"/>
              </w:rPr>
              <w:t>Secretaria de Hacienda</w:t>
            </w:r>
          </w:p>
        </w:tc>
        <w:tc>
          <w:tcPr>
            <w:tcW w:w="647" w:type="dxa"/>
            <w:tcBorders>
              <w:left w:val="single" w:sz="8" w:space="0" w:color="000000"/>
              <w:bottom w:val="single" w:sz="4" w:space="0" w:color="000000"/>
            </w:tcBorders>
            <w:shd w:val="clear" w:color="auto" w:fill="auto"/>
            <w:vAlign w:val="center"/>
          </w:tcPr>
          <w:p w:rsidR="007E60D0" w:rsidRDefault="007E60D0">
            <w:pPr>
              <w:snapToGrid w:val="0"/>
              <w:jc w:val="center"/>
              <w:rPr>
                <w:color w:val="000000"/>
                <w:sz w:val="22"/>
                <w:szCs w:val="24"/>
              </w:rPr>
            </w:pPr>
            <w:r>
              <w:rPr>
                <w:color w:val="000000"/>
                <w:sz w:val="22"/>
                <w:szCs w:val="24"/>
              </w:rPr>
              <w:t>x</w:t>
            </w:r>
          </w:p>
        </w:tc>
        <w:tc>
          <w:tcPr>
            <w:tcW w:w="649" w:type="dxa"/>
            <w:gridSpan w:val="2"/>
            <w:tcBorders>
              <w:left w:val="single" w:sz="8" w:space="0" w:color="000000"/>
              <w:bottom w:val="single" w:sz="4" w:space="0" w:color="000000"/>
              <w:right w:val="single" w:sz="8" w:space="0" w:color="000000"/>
            </w:tcBorders>
            <w:shd w:val="clear" w:color="auto" w:fill="auto"/>
            <w:vAlign w:val="center"/>
          </w:tcPr>
          <w:p w:rsidR="007E60D0" w:rsidRDefault="007E60D0">
            <w:pPr>
              <w:snapToGrid w:val="0"/>
              <w:jc w:val="center"/>
              <w:rPr>
                <w:color w:val="000000"/>
                <w:sz w:val="22"/>
                <w:szCs w:val="24"/>
              </w:rPr>
            </w:pPr>
            <w:r>
              <w:rPr>
                <w:color w:val="000000"/>
                <w:sz w:val="22"/>
                <w:szCs w:val="24"/>
              </w:rPr>
              <w:t>x</w:t>
            </w:r>
          </w:p>
        </w:tc>
      </w:tr>
      <w:tr w:rsidR="007E60D0">
        <w:trPr>
          <w:trHeight w:val="117"/>
        </w:trPr>
        <w:tc>
          <w:tcPr>
            <w:tcW w:w="2083" w:type="dxa"/>
            <w:tcBorders>
              <w:top w:val="single" w:sz="4" w:space="0" w:color="000000"/>
              <w:left w:val="single" w:sz="8" w:space="0" w:color="000000"/>
              <w:bottom w:val="single" w:sz="8" w:space="0" w:color="000000"/>
            </w:tcBorders>
            <w:shd w:val="clear" w:color="auto" w:fill="auto"/>
            <w:vAlign w:val="center"/>
          </w:tcPr>
          <w:p w:rsidR="007E60D0" w:rsidRDefault="007E60D0">
            <w:pPr>
              <w:snapToGrid w:val="0"/>
              <w:jc w:val="center"/>
              <w:rPr>
                <w:color w:val="000000"/>
                <w:sz w:val="22"/>
                <w:szCs w:val="24"/>
              </w:rPr>
            </w:pPr>
            <w:r>
              <w:rPr>
                <w:color w:val="000000"/>
                <w:sz w:val="22"/>
                <w:szCs w:val="24"/>
              </w:rPr>
              <w:t>Actualizar el estatuto de Rentas Municipal</w:t>
            </w:r>
          </w:p>
        </w:tc>
        <w:tc>
          <w:tcPr>
            <w:tcW w:w="2202" w:type="dxa"/>
            <w:tcBorders>
              <w:top w:val="single" w:sz="4" w:space="0" w:color="000000"/>
              <w:left w:val="single" w:sz="8" w:space="0" w:color="000000"/>
              <w:bottom w:val="single" w:sz="8" w:space="0" w:color="000000"/>
            </w:tcBorders>
            <w:shd w:val="clear" w:color="auto" w:fill="auto"/>
            <w:vAlign w:val="center"/>
          </w:tcPr>
          <w:p w:rsidR="007E60D0" w:rsidRDefault="007E60D0">
            <w:pPr>
              <w:snapToGrid w:val="0"/>
              <w:jc w:val="center"/>
              <w:rPr>
                <w:color w:val="000000"/>
                <w:sz w:val="22"/>
                <w:szCs w:val="24"/>
              </w:rPr>
            </w:pPr>
            <w:r>
              <w:rPr>
                <w:color w:val="000000"/>
                <w:sz w:val="22"/>
                <w:szCs w:val="24"/>
              </w:rPr>
              <w:t>Revisar y ajustar el Estatuto de Rentas acorde a la Ley 1066 de 2006</w:t>
            </w:r>
          </w:p>
        </w:tc>
        <w:tc>
          <w:tcPr>
            <w:tcW w:w="1832" w:type="dxa"/>
            <w:tcBorders>
              <w:top w:val="single" w:sz="4" w:space="0" w:color="000000"/>
              <w:left w:val="single" w:sz="8" w:space="0" w:color="000000"/>
              <w:bottom w:val="single" w:sz="8" w:space="0" w:color="000000"/>
            </w:tcBorders>
            <w:shd w:val="clear" w:color="auto" w:fill="auto"/>
            <w:vAlign w:val="center"/>
          </w:tcPr>
          <w:p w:rsidR="007E60D0" w:rsidRDefault="007E60D0">
            <w:pPr>
              <w:snapToGrid w:val="0"/>
              <w:jc w:val="center"/>
              <w:rPr>
                <w:color w:val="000000"/>
                <w:sz w:val="22"/>
                <w:szCs w:val="24"/>
              </w:rPr>
            </w:pPr>
            <w:r>
              <w:rPr>
                <w:color w:val="000000"/>
                <w:sz w:val="22"/>
                <w:szCs w:val="24"/>
              </w:rPr>
              <w:t>Elaborar proyecto de acuerdo de actualización del estatuto de Rentas</w:t>
            </w:r>
          </w:p>
        </w:tc>
        <w:tc>
          <w:tcPr>
            <w:tcW w:w="1914" w:type="dxa"/>
            <w:tcBorders>
              <w:top w:val="single" w:sz="4" w:space="0" w:color="000000"/>
              <w:left w:val="single" w:sz="8" w:space="0" w:color="000000"/>
              <w:bottom w:val="single" w:sz="8" w:space="0" w:color="000000"/>
            </w:tcBorders>
            <w:shd w:val="clear" w:color="auto" w:fill="auto"/>
            <w:vAlign w:val="center"/>
          </w:tcPr>
          <w:p w:rsidR="007E60D0" w:rsidRDefault="007E60D0">
            <w:pPr>
              <w:snapToGrid w:val="0"/>
              <w:jc w:val="center"/>
              <w:rPr>
                <w:color w:val="000000"/>
                <w:sz w:val="22"/>
                <w:szCs w:val="24"/>
              </w:rPr>
            </w:pPr>
            <w:r>
              <w:rPr>
                <w:color w:val="000000"/>
                <w:sz w:val="22"/>
                <w:szCs w:val="24"/>
              </w:rPr>
              <w:t>Secretaria de Hacienda</w:t>
            </w:r>
          </w:p>
        </w:tc>
        <w:tc>
          <w:tcPr>
            <w:tcW w:w="647" w:type="dxa"/>
            <w:tcBorders>
              <w:top w:val="single" w:sz="4" w:space="0" w:color="000000"/>
              <w:left w:val="single" w:sz="8" w:space="0" w:color="000000"/>
              <w:bottom w:val="single" w:sz="8" w:space="0" w:color="000000"/>
            </w:tcBorders>
            <w:shd w:val="clear" w:color="auto" w:fill="auto"/>
            <w:vAlign w:val="center"/>
          </w:tcPr>
          <w:p w:rsidR="007E60D0" w:rsidRDefault="007E60D0">
            <w:pPr>
              <w:snapToGrid w:val="0"/>
              <w:jc w:val="center"/>
              <w:rPr>
                <w:color w:val="000000"/>
                <w:sz w:val="22"/>
                <w:szCs w:val="24"/>
              </w:rPr>
            </w:pPr>
            <w:r>
              <w:rPr>
                <w:color w:val="000000"/>
                <w:sz w:val="22"/>
                <w:szCs w:val="24"/>
              </w:rPr>
              <w:t>x</w:t>
            </w:r>
          </w:p>
        </w:tc>
        <w:tc>
          <w:tcPr>
            <w:tcW w:w="649" w:type="dxa"/>
            <w:gridSpan w:val="2"/>
            <w:tcBorders>
              <w:top w:val="single" w:sz="4" w:space="0" w:color="000000"/>
              <w:left w:val="single" w:sz="8" w:space="0" w:color="000000"/>
              <w:bottom w:val="single" w:sz="8" w:space="0" w:color="000000"/>
              <w:right w:val="single" w:sz="8" w:space="0" w:color="000000"/>
            </w:tcBorders>
            <w:shd w:val="clear" w:color="auto" w:fill="auto"/>
            <w:vAlign w:val="center"/>
          </w:tcPr>
          <w:p w:rsidR="007E60D0" w:rsidRDefault="007E60D0">
            <w:pPr>
              <w:snapToGrid w:val="0"/>
              <w:jc w:val="center"/>
              <w:rPr>
                <w:color w:val="000000"/>
                <w:sz w:val="22"/>
                <w:szCs w:val="24"/>
              </w:rPr>
            </w:pPr>
            <w:r>
              <w:rPr>
                <w:color w:val="000000"/>
                <w:sz w:val="22"/>
                <w:szCs w:val="24"/>
              </w:rPr>
              <w:t>x</w:t>
            </w:r>
          </w:p>
        </w:tc>
      </w:tr>
    </w:tbl>
    <w:p w:rsidR="007E60D0" w:rsidRDefault="007E60D0">
      <w:pPr>
        <w:tabs>
          <w:tab w:val="left" w:pos="2160"/>
        </w:tabs>
        <w:jc w:val="center"/>
        <w:rPr>
          <w:b/>
          <w:szCs w:val="24"/>
          <w:lang w:val="es-ES_tradnl"/>
        </w:rPr>
      </w:pPr>
    </w:p>
    <w:p w:rsidR="007E60D0" w:rsidRDefault="007E60D0">
      <w:pPr>
        <w:tabs>
          <w:tab w:val="left" w:pos="2160"/>
        </w:tabs>
        <w:jc w:val="center"/>
        <w:rPr>
          <w:b/>
          <w:szCs w:val="24"/>
          <w:lang w:val="es-ES_tradnl"/>
        </w:rPr>
      </w:pPr>
    </w:p>
    <w:p w:rsidR="007E60D0" w:rsidRDefault="007E60D0">
      <w:pPr>
        <w:tabs>
          <w:tab w:val="left" w:pos="2160"/>
        </w:tabs>
        <w:jc w:val="center"/>
        <w:rPr>
          <w:b/>
          <w:szCs w:val="24"/>
          <w:lang w:val="es-ES_tradnl"/>
        </w:rPr>
      </w:pPr>
      <w:r>
        <w:rPr>
          <w:b/>
          <w:szCs w:val="24"/>
          <w:lang w:val="es-ES_tradnl"/>
        </w:rPr>
        <w:t>3. ESTIMACIÓN DEL COSTO FISCAL DE LAS EXENCIONES, DEDUCCIONES O DESCUENTOS TRIBUTARIOS EXISTENTES</w:t>
      </w:r>
    </w:p>
    <w:p w:rsidR="007E60D0" w:rsidRDefault="007E60D0">
      <w:pPr>
        <w:tabs>
          <w:tab w:val="left" w:pos="2160"/>
        </w:tabs>
        <w:jc w:val="both"/>
        <w:rPr>
          <w:szCs w:val="24"/>
          <w:lang w:val="es-ES_tradnl"/>
        </w:rPr>
      </w:pPr>
    </w:p>
    <w:p w:rsidR="007E60D0" w:rsidRDefault="007E60D0">
      <w:pPr>
        <w:tabs>
          <w:tab w:val="left" w:pos="2160"/>
        </w:tabs>
        <w:jc w:val="both"/>
        <w:rPr>
          <w:szCs w:val="24"/>
          <w:lang w:val="es-ES_tradnl"/>
        </w:rPr>
      </w:pPr>
      <w:r>
        <w:rPr>
          <w:szCs w:val="24"/>
          <w:lang w:val="es-ES_tradnl"/>
        </w:rPr>
        <w:t>Para efectos del MFMP del municipio, en este capítulo se presentan las normas que establecieron las exenciones y/o descuentos tributarios, incentivos, las condiciones y requisitos exigidos para su otorgamiento; los tributos que comprende, si es total o parcial y el término de duración.</w:t>
      </w:r>
    </w:p>
    <w:p w:rsidR="007E60D0" w:rsidRDefault="007E60D0">
      <w:pPr>
        <w:tabs>
          <w:tab w:val="left" w:pos="2160"/>
        </w:tabs>
        <w:jc w:val="both"/>
        <w:rPr>
          <w:szCs w:val="24"/>
          <w:lang w:val="es-ES_tradnl"/>
        </w:rPr>
      </w:pPr>
    </w:p>
    <w:p w:rsidR="007E60D0" w:rsidRDefault="007E60D0">
      <w:pPr>
        <w:tabs>
          <w:tab w:val="left" w:pos="2160"/>
        </w:tabs>
        <w:jc w:val="both"/>
        <w:rPr>
          <w:szCs w:val="24"/>
          <w:lang w:val="es-ES_tradnl"/>
        </w:rPr>
      </w:pPr>
      <w:r>
        <w:rPr>
          <w:szCs w:val="24"/>
          <w:lang w:val="es-ES_tradnl"/>
        </w:rPr>
        <w:t>Durante la vigencia 2009 y 2010, se aprobó el siguiente acuerdo:</w:t>
      </w:r>
    </w:p>
    <w:p w:rsidR="007E60D0" w:rsidRDefault="007E60D0">
      <w:pPr>
        <w:tabs>
          <w:tab w:val="left" w:pos="2160"/>
        </w:tabs>
        <w:jc w:val="both"/>
        <w:rPr>
          <w:szCs w:val="24"/>
          <w:lang w:val="es-ES_tradnl"/>
        </w:rPr>
      </w:pPr>
    </w:p>
    <w:p w:rsidR="007E60D0" w:rsidRDefault="007E60D0">
      <w:pPr>
        <w:tabs>
          <w:tab w:val="left" w:pos="2160"/>
        </w:tabs>
        <w:jc w:val="both"/>
        <w:rPr>
          <w:szCs w:val="24"/>
          <w:lang w:val="es-ES_tradnl"/>
        </w:rPr>
      </w:pPr>
    </w:p>
    <w:tbl>
      <w:tblPr>
        <w:tblW w:w="0" w:type="auto"/>
        <w:tblInd w:w="70" w:type="dxa"/>
        <w:tblLayout w:type="fixed"/>
        <w:tblCellMar>
          <w:left w:w="70" w:type="dxa"/>
          <w:right w:w="70" w:type="dxa"/>
        </w:tblCellMar>
        <w:tblLook w:val="0000"/>
      </w:tblPr>
      <w:tblGrid>
        <w:gridCol w:w="527"/>
        <w:gridCol w:w="1405"/>
        <w:gridCol w:w="4111"/>
        <w:gridCol w:w="2144"/>
        <w:gridCol w:w="2248"/>
        <w:gridCol w:w="10"/>
      </w:tblGrid>
      <w:tr w:rsidR="007E60D0">
        <w:trPr>
          <w:gridAfter w:val="1"/>
          <w:wAfter w:w="10" w:type="dxa"/>
          <w:trHeight w:val="315"/>
        </w:trPr>
        <w:tc>
          <w:tcPr>
            <w:tcW w:w="10435" w:type="dxa"/>
            <w:gridSpan w:val="5"/>
            <w:shd w:val="clear" w:color="auto" w:fill="auto"/>
            <w:vAlign w:val="bottom"/>
          </w:tcPr>
          <w:p w:rsidR="007E60D0" w:rsidRDefault="007E60D0">
            <w:pPr>
              <w:snapToGrid w:val="0"/>
              <w:jc w:val="center"/>
              <w:rPr>
                <w:b/>
                <w:bCs/>
                <w:sz w:val="22"/>
                <w:szCs w:val="24"/>
              </w:rPr>
            </w:pPr>
            <w:r>
              <w:rPr>
                <w:b/>
                <w:bCs/>
                <w:sz w:val="22"/>
                <w:szCs w:val="24"/>
              </w:rPr>
              <w:t>CUADRO No. 13</w:t>
            </w:r>
          </w:p>
        </w:tc>
      </w:tr>
      <w:tr w:rsidR="007E60D0">
        <w:trPr>
          <w:gridAfter w:val="1"/>
          <w:wAfter w:w="10" w:type="dxa"/>
          <w:trHeight w:val="315"/>
        </w:trPr>
        <w:tc>
          <w:tcPr>
            <w:tcW w:w="10435" w:type="dxa"/>
            <w:gridSpan w:val="5"/>
            <w:shd w:val="clear" w:color="auto" w:fill="auto"/>
            <w:vAlign w:val="bottom"/>
          </w:tcPr>
          <w:p w:rsidR="007E60D0" w:rsidRDefault="007E60D0">
            <w:pPr>
              <w:snapToGrid w:val="0"/>
              <w:jc w:val="center"/>
              <w:rPr>
                <w:b/>
                <w:bCs/>
                <w:sz w:val="22"/>
                <w:szCs w:val="24"/>
              </w:rPr>
            </w:pPr>
            <w:r>
              <w:rPr>
                <w:b/>
                <w:bCs/>
                <w:sz w:val="22"/>
                <w:szCs w:val="24"/>
              </w:rPr>
              <w:t>RELACIÓN DE ACUERDOS SANCIONADOS EN LA VIGENCIA 2009</w:t>
            </w:r>
          </w:p>
          <w:p w:rsidR="007E60D0" w:rsidRDefault="007E60D0">
            <w:pPr>
              <w:jc w:val="center"/>
              <w:rPr>
                <w:b/>
                <w:bCs/>
                <w:sz w:val="22"/>
                <w:szCs w:val="24"/>
              </w:rPr>
            </w:pPr>
          </w:p>
        </w:tc>
      </w:tr>
      <w:tr w:rsidR="007E60D0">
        <w:trPr>
          <w:gridAfter w:val="1"/>
          <w:wAfter w:w="10" w:type="dxa"/>
          <w:trHeight w:val="270"/>
        </w:trPr>
        <w:tc>
          <w:tcPr>
            <w:tcW w:w="527" w:type="dxa"/>
            <w:tcBorders>
              <w:bottom w:val="single" w:sz="4" w:space="0" w:color="000000"/>
            </w:tcBorders>
            <w:shd w:val="clear" w:color="auto" w:fill="auto"/>
            <w:vAlign w:val="bottom"/>
          </w:tcPr>
          <w:p w:rsidR="007E60D0" w:rsidRDefault="007E60D0">
            <w:pPr>
              <w:snapToGrid w:val="0"/>
              <w:rPr>
                <w:sz w:val="22"/>
                <w:szCs w:val="24"/>
              </w:rPr>
            </w:pPr>
          </w:p>
        </w:tc>
        <w:tc>
          <w:tcPr>
            <w:tcW w:w="1405" w:type="dxa"/>
            <w:tcBorders>
              <w:bottom w:val="single" w:sz="4" w:space="0" w:color="000000"/>
            </w:tcBorders>
            <w:shd w:val="clear" w:color="auto" w:fill="auto"/>
            <w:vAlign w:val="bottom"/>
          </w:tcPr>
          <w:p w:rsidR="007E60D0" w:rsidRDefault="007E60D0">
            <w:pPr>
              <w:snapToGrid w:val="0"/>
              <w:rPr>
                <w:sz w:val="22"/>
                <w:szCs w:val="24"/>
              </w:rPr>
            </w:pPr>
          </w:p>
        </w:tc>
        <w:tc>
          <w:tcPr>
            <w:tcW w:w="4111" w:type="dxa"/>
            <w:tcBorders>
              <w:bottom w:val="single" w:sz="4" w:space="0" w:color="000000"/>
            </w:tcBorders>
            <w:shd w:val="clear" w:color="auto" w:fill="auto"/>
            <w:vAlign w:val="bottom"/>
          </w:tcPr>
          <w:p w:rsidR="007E60D0" w:rsidRDefault="007E60D0">
            <w:pPr>
              <w:snapToGrid w:val="0"/>
              <w:rPr>
                <w:sz w:val="22"/>
                <w:szCs w:val="24"/>
              </w:rPr>
            </w:pPr>
          </w:p>
        </w:tc>
        <w:tc>
          <w:tcPr>
            <w:tcW w:w="2144" w:type="dxa"/>
            <w:tcBorders>
              <w:bottom w:val="single" w:sz="4" w:space="0" w:color="000000"/>
            </w:tcBorders>
            <w:shd w:val="clear" w:color="auto" w:fill="auto"/>
            <w:vAlign w:val="bottom"/>
          </w:tcPr>
          <w:p w:rsidR="007E60D0" w:rsidRDefault="007E60D0">
            <w:pPr>
              <w:snapToGrid w:val="0"/>
              <w:rPr>
                <w:sz w:val="22"/>
                <w:szCs w:val="24"/>
              </w:rPr>
            </w:pPr>
          </w:p>
        </w:tc>
        <w:tc>
          <w:tcPr>
            <w:tcW w:w="2248" w:type="dxa"/>
            <w:tcBorders>
              <w:bottom w:val="single" w:sz="4" w:space="0" w:color="000000"/>
            </w:tcBorders>
            <w:shd w:val="clear" w:color="auto" w:fill="auto"/>
            <w:vAlign w:val="bottom"/>
          </w:tcPr>
          <w:p w:rsidR="007E60D0" w:rsidRDefault="007E60D0">
            <w:pPr>
              <w:snapToGrid w:val="0"/>
              <w:rPr>
                <w:sz w:val="22"/>
                <w:szCs w:val="24"/>
              </w:rPr>
            </w:pPr>
          </w:p>
        </w:tc>
      </w:tr>
      <w:tr w:rsidR="007E60D0">
        <w:trPr>
          <w:trHeight w:val="270"/>
        </w:trPr>
        <w:tc>
          <w:tcPr>
            <w:tcW w:w="527" w:type="dxa"/>
            <w:tcBorders>
              <w:top w:val="single" w:sz="4" w:space="0" w:color="000000"/>
              <w:left w:val="single" w:sz="4" w:space="0" w:color="000000"/>
              <w:bottom w:val="single" w:sz="8" w:space="0" w:color="000000"/>
            </w:tcBorders>
            <w:shd w:val="clear" w:color="auto" w:fill="auto"/>
            <w:vAlign w:val="bottom"/>
          </w:tcPr>
          <w:p w:rsidR="007E60D0" w:rsidRDefault="007E60D0">
            <w:pPr>
              <w:snapToGrid w:val="0"/>
              <w:rPr>
                <w:b/>
                <w:bCs/>
                <w:sz w:val="22"/>
                <w:szCs w:val="24"/>
              </w:rPr>
            </w:pPr>
            <w:r>
              <w:rPr>
                <w:b/>
                <w:bCs/>
                <w:sz w:val="22"/>
                <w:szCs w:val="24"/>
              </w:rPr>
              <w:t>No.</w:t>
            </w:r>
          </w:p>
        </w:tc>
        <w:tc>
          <w:tcPr>
            <w:tcW w:w="1405" w:type="dxa"/>
            <w:tcBorders>
              <w:top w:val="single" w:sz="4" w:space="0" w:color="000000"/>
              <w:left w:val="single" w:sz="8" w:space="0" w:color="000000"/>
              <w:bottom w:val="single" w:sz="8" w:space="0" w:color="000000"/>
            </w:tcBorders>
            <w:shd w:val="clear" w:color="auto" w:fill="auto"/>
            <w:vAlign w:val="bottom"/>
          </w:tcPr>
          <w:p w:rsidR="007E60D0" w:rsidRDefault="007E60D0">
            <w:pPr>
              <w:snapToGrid w:val="0"/>
              <w:jc w:val="center"/>
              <w:rPr>
                <w:b/>
                <w:bCs/>
                <w:sz w:val="22"/>
                <w:szCs w:val="24"/>
              </w:rPr>
            </w:pPr>
            <w:r>
              <w:rPr>
                <w:b/>
                <w:bCs/>
                <w:sz w:val="22"/>
                <w:szCs w:val="24"/>
              </w:rPr>
              <w:t>FECHA</w:t>
            </w:r>
          </w:p>
        </w:tc>
        <w:tc>
          <w:tcPr>
            <w:tcW w:w="4111" w:type="dxa"/>
            <w:tcBorders>
              <w:top w:val="single" w:sz="4" w:space="0" w:color="000000"/>
              <w:left w:val="single" w:sz="8" w:space="0" w:color="000000"/>
              <w:bottom w:val="single" w:sz="8" w:space="0" w:color="000000"/>
            </w:tcBorders>
            <w:shd w:val="clear" w:color="auto" w:fill="auto"/>
            <w:vAlign w:val="bottom"/>
          </w:tcPr>
          <w:p w:rsidR="007E60D0" w:rsidRDefault="007E60D0">
            <w:pPr>
              <w:snapToGrid w:val="0"/>
              <w:jc w:val="center"/>
              <w:rPr>
                <w:b/>
                <w:bCs/>
                <w:sz w:val="22"/>
                <w:szCs w:val="24"/>
              </w:rPr>
            </w:pPr>
            <w:r>
              <w:rPr>
                <w:b/>
                <w:bCs/>
                <w:sz w:val="22"/>
                <w:szCs w:val="24"/>
              </w:rPr>
              <w:t>NOMBRE DEL ACUERDO</w:t>
            </w:r>
          </w:p>
        </w:tc>
        <w:tc>
          <w:tcPr>
            <w:tcW w:w="2144" w:type="dxa"/>
            <w:tcBorders>
              <w:top w:val="single" w:sz="4" w:space="0" w:color="000000"/>
              <w:left w:val="single" w:sz="8" w:space="0" w:color="000000"/>
              <w:bottom w:val="single" w:sz="8" w:space="0" w:color="000000"/>
            </w:tcBorders>
            <w:shd w:val="clear" w:color="auto" w:fill="auto"/>
            <w:vAlign w:val="bottom"/>
          </w:tcPr>
          <w:p w:rsidR="007E60D0" w:rsidRDefault="007E60D0">
            <w:pPr>
              <w:snapToGrid w:val="0"/>
              <w:jc w:val="center"/>
              <w:rPr>
                <w:b/>
                <w:bCs/>
                <w:sz w:val="22"/>
                <w:szCs w:val="24"/>
              </w:rPr>
            </w:pPr>
            <w:r>
              <w:rPr>
                <w:b/>
                <w:bCs/>
                <w:sz w:val="22"/>
                <w:szCs w:val="24"/>
              </w:rPr>
              <w:t>MONTO</w:t>
            </w:r>
          </w:p>
        </w:tc>
        <w:tc>
          <w:tcPr>
            <w:tcW w:w="2258" w:type="dxa"/>
            <w:gridSpan w:val="2"/>
            <w:tcBorders>
              <w:top w:val="single" w:sz="4" w:space="0" w:color="000000"/>
              <w:left w:val="single" w:sz="8" w:space="0" w:color="000000"/>
              <w:bottom w:val="single" w:sz="8" w:space="0" w:color="000000"/>
              <w:right w:val="single" w:sz="4" w:space="0" w:color="000000"/>
            </w:tcBorders>
            <w:shd w:val="clear" w:color="auto" w:fill="auto"/>
            <w:vAlign w:val="bottom"/>
          </w:tcPr>
          <w:p w:rsidR="007E60D0" w:rsidRDefault="007E60D0">
            <w:pPr>
              <w:snapToGrid w:val="0"/>
              <w:jc w:val="center"/>
              <w:rPr>
                <w:b/>
                <w:bCs/>
                <w:sz w:val="22"/>
                <w:szCs w:val="24"/>
              </w:rPr>
            </w:pPr>
            <w:r>
              <w:rPr>
                <w:b/>
                <w:bCs/>
                <w:sz w:val="22"/>
                <w:szCs w:val="24"/>
              </w:rPr>
              <w:t>OBSERVACIONES</w:t>
            </w:r>
          </w:p>
        </w:tc>
      </w:tr>
      <w:tr w:rsidR="007E60D0">
        <w:trPr>
          <w:trHeight w:val="765"/>
        </w:trPr>
        <w:tc>
          <w:tcPr>
            <w:tcW w:w="527" w:type="dxa"/>
            <w:tcBorders>
              <w:left w:val="single" w:sz="4" w:space="0" w:color="000000"/>
              <w:bottom w:val="single" w:sz="4" w:space="0" w:color="000000"/>
            </w:tcBorders>
            <w:shd w:val="clear" w:color="auto" w:fill="auto"/>
            <w:vAlign w:val="center"/>
          </w:tcPr>
          <w:p w:rsidR="007E60D0" w:rsidRDefault="007E60D0">
            <w:pPr>
              <w:snapToGrid w:val="0"/>
              <w:jc w:val="center"/>
              <w:rPr>
                <w:b/>
                <w:sz w:val="22"/>
                <w:szCs w:val="24"/>
              </w:rPr>
            </w:pPr>
            <w:bookmarkStart w:id="0" w:name="_Hlk271623294"/>
            <w:bookmarkEnd w:id="0"/>
            <w:r>
              <w:rPr>
                <w:b/>
                <w:sz w:val="22"/>
                <w:szCs w:val="24"/>
              </w:rPr>
              <w:t>1</w:t>
            </w:r>
          </w:p>
        </w:tc>
        <w:tc>
          <w:tcPr>
            <w:tcW w:w="1405" w:type="dxa"/>
            <w:tcBorders>
              <w:left w:val="single" w:sz="4" w:space="0" w:color="000000"/>
              <w:bottom w:val="single" w:sz="4" w:space="0" w:color="000000"/>
            </w:tcBorders>
            <w:shd w:val="clear" w:color="auto" w:fill="auto"/>
            <w:vAlign w:val="center"/>
          </w:tcPr>
          <w:p w:rsidR="007E60D0" w:rsidRDefault="007E60D0">
            <w:pPr>
              <w:snapToGrid w:val="0"/>
              <w:jc w:val="center"/>
              <w:rPr>
                <w:sz w:val="22"/>
                <w:szCs w:val="24"/>
              </w:rPr>
            </w:pPr>
            <w:r>
              <w:rPr>
                <w:sz w:val="22"/>
                <w:szCs w:val="24"/>
              </w:rPr>
              <w:t>30-10-2009</w:t>
            </w:r>
          </w:p>
        </w:tc>
        <w:tc>
          <w:tcPr>
            <w:tcW w:w="4111" w:type="dxa"/>
            <w:tcBorders>
              <w:left w:val="single" w:sz="4" w:space="0" w:color="000000"/>
              <w:bottom w:val="single" w:sz="4" w:space="0" w:color="000000"/>
            </w:tcBorders>
            <w:shd w:val="clear" w:color="auto" w:fill="auto"/>
          </w:tcPr>
          <w:p w:rsidR="007E60D0" w:rsidRDefault="007E60D0">
            <w:pPr>
              <w:snapToGrid w:val="0"/>
              <w:jc w:val="both"/>
              <w:rPr>
                <w:sz w:val="22"/>
                <w:szCs w:val="24"/>
              </w:rPr>
            </w:pPr>
            <w:r>
              <w:rPr>
                <w:sz w:val="22"/>
                <w:szCs w:val="24"/>
              </w:rPr>
              <w:t>Por el cual se otorgan unos incentivos para la inversión y generación de empleo del Municipio de Palermo – Huila.</w:t>
            </w:r>
          </w:p>
        </w:tc>
        <w:tc>
          <w:tcPr>
            <w:tcW w:w="2144" w:type="dxa"/>
            <w:tcBorders>
              <w:left w:val="single" w:sz="4" w:space="0" w:color="000000"/>
              <w:bottom w:val="single" w:sz="4" w:space="0" w:color="000000"/>
            </w:tcBorders>
            <w:shd w:val="clear" w:color="auto" w:fill="auto"/>
            <w:vAlign w:val="center"/>
          </w:tcPr>
          <w:p w:rsidR="007E60D0" w:rsidRDefault="007E60D0">
            <w:pPr>
              <w:snapToGrid w:val="0"/>
              <w:jc w:val="center"/>
              <w:rPr>
                <w:sz w:val="22"/>
                <w:szCs w:val="24"/>
              </w:rPr>
            </w:pPr>
            <w:r>
              <w:rPr>
                <w:sz w:val="22"/>
                <w:szCs w:val="24"/>
              </w:rPr>
              <w:t>0</w:t>
            </w:r>
          </w:p>
        </w:tc>
        <w:tc>
          <w:tcPr>
            <w:tcW w:w="2258" w:type="dxa"/>
            <w:gridSpan w:val="2"/>
            <w:tcBorders>
              <w:left w:val="single" w:sz="4" w:space="0" w:color="000000"/>
              <w:bottom w:val="single" w:sz="4" w:space="0" w:color="000000"/>
              <w:right w:val="single" w:sz="4" w:space="0" w:color="000000"/>
            </w:tcBorders>
            <w:shd w:val="clear" w:color="auto" w:fill="auto"/>
            <w:vAlign w:val="center"/>
          </w:tcPr>
          <w:p w:rsidR="007E60D0" w:rsidRDefault="007E60D0">
            <w:pPr>
              <w:snapToGrid w:val="0"/>
              <w:rPr>
                <w:sz w:val="22"/>
                <w:szCs w:val="24"/>
              </w:rPr>
            </w:pPr>
            <w:r>
              <w:rPr>
                <w:sz w:val="22"/>
                <w:szCs w:val="24"/>
              </w:rPr>
              <w:t>Acuerdo 099</w:t>
            </w:r>
          </w:p>
          <w:p w:rsidR="007E60D0" w:rsidRDefault="007E60D0">
            <w:pPr>
              <w:rPr>
                <w:sz w:val="22"/>
                <w:szCs w:val="24"/>
              </w:rPr>
            </w:pPr>
          </w:p>
        </w:tc>
      </w:tr>
    </w:tbl>
    <w:p w:rsidR="007E60D0" w:rsidRDefault="007E60D0">
      <w:pPr>
        <w:tabs>
          <w:tab w:val="left" w:pos="2160"/>
        </w:tabs>
        <w:jc w:val="both"/>
        <w:rPr>
          <w:szCs w:val="24"/>
        </w:rPr>
      </w:pPr>
    </w:p>
    <w:p w:rsidR="007E60D0" w:rsidRDefault="007E60D0">
      <w:pPr>
        <w:tabs>
          <w:tab w:val="left" w:pos="2160"/>
        </w:tabs>
        <w:jc w:val="both"/>
        <w:rPr>
          <w:b/>
          <w:szCs w:val="24"/>
          <w:lang w:val="es-ES_tradnl"/>
        </w:rPr>
      </w:pPr>
    </w:p>
    <w:p w:rsidR="007E60D0" w:rsidRDefault="007E60D0">
      <w:pPr>
        <w:tabs>
          <w:tab w:val="left" w:pos="2160"/>
        </w:tabs>
        <w:jc w:val="both"/>
        <w:rPr>
          <w:b/>
          <w:szCs w:val="24"/>
          <w:lang w:val="es-ES_tradnl"/>
        </w:rPr>
      </w:pPr>
      <w:r>
        <w:rPr>
          <w:b/>
          <w:szCs w:val="24"/>
          <w:lang w:val="es-ES_tradnl"/>
        </w:rPr>
        <w:t>3.1 INCENTIVOS TRIBUTARIOS</w:t>
      </w:r>
    </w:p>
    <w:p w:rsidR="007E60D0" w:rsidRDefault="007E60D0">
      <w:pPr>
        <w:tabs>
          <w:tab w:val="left" w:pos="2160"/>
        </w:tabs>
        <w:jc w:val="both"/>
        <w:rPr>
          <w:szCs w:val="24"/>
          <w:lang w:val="es-ES_tradnl"/>
        </w:rPr>
      </w:pPr>
    </w:p>
    <w:p w:rsidR="007E60D0" w:rsidRDefault="007E60D0">
      <w:pPr>
        <w:tabs>
          <w:tab w:val="left" w:pos="2160"/>
        </w:tabs>
        <w:jc w:val="both"/>
      </w:pPr>
      <w:r>
        <w:t>La transparencia en los procesos y el acceso a la información son características fundamentales y necesarias que deben estar presentes en la gestión pública y particularmente en la política fiscal.</w:t>
      </w:r>
    </w:p>
    <w:p w:rsidR="007E60D0" w:rsidRDefault="007E60D0">
      <w:pPr>
        <w:tabs>
          <w:tab w:val="left" w:pos="2160"/>
        </w:tabs>
        <w:jc w:val="both"/>
      </w:pPr>
    </w:p>
    <w:p w:rsidR="007E60D0" w:rsidRDefault="007E60D0">
      <w:pPr>
        <w:tabs>
          <w:tab w:val="left" w:pos="2160"/>
        </w:tabs>
        <w:jc w:val="both"/>
      </w:pPr>
      <w:r>
        <w:t xml:space="preserve">Esta intención, trasladada al terreno tributario, se manifiesta específicamente en la necesidad de identificar los beneficios y beneficiarios de los tratamientos impositivos preferenciales, así como la estimación del costo fiscal que estos comportan. A continuación, se presenta los estimativos de los principales beneficios tributarios que tuvieron  los contribuyentes durante el año 2010.            </w:t>
      </w:r>
    </w:p>
    <w:p w:rsidR="007E60D0" w:rsidRDefault="007E60D0">
      <w:pPr>
        <w:tabs>
          <w:tab w:val="left" w:pos="2160"/>
        </w:tabs>
        <w:jc w:val="both"/>
      </w:pPr>
    </w:p>
    <w:p w:rsidR="007E60D0" w:rsidRDefault="007E60D0">
      <w:pPr>
        <w:tabs>
          <w:tab w:val="left" w:pos="2160"/>
        </w:tabs>
        <w:jc w:val="center"/>
        <w:rPr>
          <w:b/>
        </w:rPr>
      </w:pPr>
    </w:p>
    <w:p w:rsidR="007E60D0" w:rsidRDefault="007E60D0">
      <w:pPr>
        <w:tabs>
          <w:tab w:val="left" w:pos="2160"/>
        </w:tabs>
        <w:jc w:val="center"/>
        <w:rPr>
          <w:b/>
        </w:rPr>
      </w:pPr>
      <w:r>
        <w:rPr>
          <w:b/>
        </w:rPr>
        <w:lastRenderedPageBreak/>
        <w:t>CUADRO NO. 14</w:t>
      </w:r>
    </w:p>
    <w:p w:rsidR="007E60D0" w:rsidRDefault="007E60D0">
      <w:pPr>
        <w:tabs>
          <w:tab w:val="left" w:pos="2160"/>
        </w:tabs>
        <w:jc w:val="center"/>
        <w:rPr>
          <w:b/>
        </w:rPr>
      </w:pPr>
      <w:r>
        <w:rPr>
          <w:b/>
        </w:rPr>
        <w:t>INCENTIVOS TRIBUTARIOS</w:t>
      </w:r>
    </w:p>
    <w:p w:rsidR="007E60D0" w:rsidRDefault="007E60D0">
      <w:pPr>
        <w:tabs>
          <w:tab w:val="left" w:pos="2160"/>
        </w:tabs>
        <w:jc w:val="center"/>
        <w:rPr>
          <w:b/>
        </w:rPr>
      </w:pPr>
    </w:p>
    <w:tbl>
      <w:tblPr>
        <w:tblW w:w="0" w:type="auto"/>
        <w:tblInd w:w="70" w:type="dxa"/>
        <w:tblLayout w:type="fixed"/>
        <w:tblCellMar>
          <w:left w:w="70" w:type="dxa"/>
          <w:right w:w="70" w:type="dxa"/>
        </w:tblCellMar>
        <w:tblLook w:val="0000"/>
      </w:tblPr>
      <w:tblGrid>
        <w:gridCol w:w="4608"/>
        <w:gridCol w:w="1993"/>
      </w:tblGrid>
      <w:tr w:rsidR="007E60D0">
        <w:tc>
          <w:tcPr>
            <w:tcW w:w="4608" w:type="dxa"/>
            <w:tcBorders>
              <w:top w:val="single" w:sz="4" w:space="0" w:color="000000"/>
              <w:left w:val="single" w:sz="4" w:space="0" w:color="000000"/>
              <w:bottom w:val="single" w:sz="4" w:space="0" w:color="000000"/>
            </w:tcBorders>
            <w:shd w:val="clear" w:color="auto" w:fill="auto"/>
          </w:tcPr>
          <w:p w:rsidR="007E60D0" w:rsidRDefault="007E60D0">
            <w:pPr>
              <w:tabs>
                <w:tab w:val="left" w:pos="2160"/>
              </w:tabs>
              <w:snapToGrid w:val="0"/>
              <w:jc w:val="both"/>
              <w:rPr>
                <w:b/>
                <w:sz w:val="22"/>
                <w:szCs w:val="22"/>
              </w:rPr>
            </w:pPr>
            <w:r>
              <w:rPr>
                <w:b/>
                <w:sz w:val="22"/>
                <w:szCs w:val="22"/>
              </w:rPr>
              <w:t>CONCEPTO</w:t>
            </w:r>
          </w:p>
        </w:tc>
        <w:tc>
          <w:tcPr>
            <w:tcW w:w="1993"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tabs>
                <w:tab w:val="left" w:pos="2160"/>
              </w:tabs>
              <w:snapToGrid w:val="0"/>
              <w:jc w:val="both"/>
              <w:rPr>
                <w:b/>
                <w:sz w:val="22"/>
                <w:szCs w:val="22"/>
              </w:rPr>
            </w:pPr>
            <w:r>
              <w:rPr>
                <w:b/>
                <w:sz w:val="22"/>
                <w:szCs w:val="22"/>
              </w:rPr>
              <w:t>COSTO FISCAL</w:t>
            </w:r>
          </w:p>
        </w:tc>
      </w:tr>
      <w:tr w:rsidR="007E60D0">
        <w:tc>
          <w:tcPr>
            <w:tcW w:w="4608" w:type="dxa"/>
            <w:tcBorders>
              <w:top w:val="single" w:sz="4" w:space="0" w:color="000000"/>
              <w:left w:val="single" w:sz="4" w:space="0" w:color="000000"/>
              <w:bottom w:val="single" w:sz="4" w:space="0" w:color="000000"/>
            </w:tcBorders>
            <w:shd w:val="clear" w:color="auto" w:fill="auto"/>
          </w:tcPr>
          <w:p w:rsidR="007E60D0" w:rsidRDefault="007E60D0">
            <w:pPr>
              <w:tabs>
                <w:tab w:val="left" w:pos="2160"/>
              </w:tabs>
              <w:snapToGrid w:val="0"/>
              <w:jc w:val="both"/>
              <w:rPr>
                <w:sz w:val="22"/>
                <w:szCs w:val="22"/>
              </w:rPr>
            </w:pPr>
            <w:r>
              <w:rPr>
                <w:sz w:val="22"/>
                <w:szCs w:val="22"/>
              </w:rPr>
              <w:t>INDUSTRIA Y COMERCIO</w:t>
            </w:r>
          </w:p>
        </w:tc>
        <w:tc>
          <w:tcPr>
            <w:tcW w:w="1993"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tabs>
                <w:tab w:val="left" w:pos="2160"/>
              </w:tabs>
              <w:snapToGrid w:val="0"/>
              <w:jc w:val="both"/>
              <w:rPr>
                <w:sz w:val="22"/>
                <w:szCs w:val="22"/>
              </w:rPr>
            </w:pPr>
            <w:r>
              <w:rPr>
                <w:sz w:val="22"/>
                <w:szCs w:val="22"/>
              </w:rPr>
              <w:t>$ 118.000.000.00</w:t>
            </w:r>
          </w:p>
        </w:tc>
      </w:tr>
      <w:tr w:rsidR="007E60D0">
        <w:tc>
          <w:tcPr>
            <w:tcW w:w="4608" w:type="dxa"/>
            <w:tcBorders>
              <w:top w:val="single" w:sz="4" w:space="0" w:color="000000"/>
              <w:left w:val="single" w:sz="4" w:space="0" w:color="000000"/>
              <w:bottom w:val="single" w:sz="4" w:space="0" w:color="000000"/>
            </w:tcBorders>
            <w:shd w:val="clear" w:color="auto" w:fill="auto"/>
          </w:tcPr>
          <w:p w:rsidR="007E60D0" w:rsidRDefault="007E60D0">
            <w:pPr>
              <w:tabs>
                <w:tab w:val="left" w:pos="2160"/>
              </w:tabs>
              <w:snapToGrid w:val="0"/>
              <w:jc w:val="both"/>
              <w:rPr>
                <w:sz w:val="22"/>
                <w:szCs w:val="22"/>
              </w:rPr>
            </w:pPr>
            <w:r>
              <w:rPr>
                <w:sz w:val="22"/>
                <w:szCs w:val="22"/>
              </w:rPr>
              <w:t>DESCUENTOS TRIBUTARIOS (PREDIAL)</w:t>
            </w:r>
          </w:p>
        </w:tc>
        <w:tc>
          <w:tcPr>
            <w:tcW w:w="1993"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tabs>
                <w:tab w:val="left" w:pos="2160"/>
              </w:tabs>
              <w:snapToGrid w:val="0"/>
              <w:jc w:val="both"/>
              <w:rPr>
                <w:sz w:val="22"/>
                <w:szCs w:val="22"/>
              </w:rPr>
            </w:pPr>
            <w:r>
              <w:rPr>
                <w:sz w:val="22"/>
                <w:szCs w:val="22"/>
              </w:rPr>
              <w:t xml:space="preserve">$   95.000.000.00 </w:t>
            </w:r>
          </w:p>
        </w:tc>
      </w:tr>
    </w:tbl>
    <w:p w:rsidR="007E60D0" w:rsidRDefault="007E60D0">
      <w:pPr>
        <w:tabs>
          <w:tab w:val="left" w:pos="2160"/>
        </w:tabs>
        <w:jc w:val="both"/>
      </w:pPr>
    </w:p>
    <w:p w:rsidR="007E60D0" w:rsidRDefault="007E60D0">
      <w:pPr>
        <w:tabs>
          <w:tab w:val="left" w:pos="2160"/>
        </w:tabs>
        <w:jc w:val="both"/>
      </w:pPr>
    </w:p>
    <w:p w:rsidR="007E60D0" w:rsidRDefault="007E60D0">
      <w:pPr>
        <w:tabs>
          <w:tab w:val="left" w:pos="2160"/>
        </w:tabs>
        <w:jc w:val="both"/>
      </w:pPr>
      <w:r>
        <w:t xml:space="preserve">En la actualidad esta administración tiene vigente el Acuerdo No. 099 de 2009 por medio del cual se otorgan unos incentivos tributarios en materia de Industria y comercio, al cual se han  acogido quince empresas.         </w:t>
      </w:r>
    </w:p>
    <w:p w:rsidR="007E60D0" w:rsidRDefault="007E60D0">
      <w:pPr>
        <w:tabs>
          <w:tab w:val="left" w:pos="2160"/>
        </w:tabs>
        <w:jc w:val="both"/>
      </w:pPr>
    </w:p>
    <w:p w:rsidR="007E60D0" w:rsidRDefault="007E60D0">
      <w:pPr>
        <w:tabs>
          <w:tab w:val="left" w:pos="2160"/>
        </w:tabs>
        <w:jc w:val="both"/>
        <w:rPr>
          <w:szCs w:val="24"/>
          <w:lang w:val="es-ES_tradnl"/>
        </w:rPr>
      </w:pPr>
    </w:p>
    <w:p w:rsidR="007E60D0" w:rsidRDefault="007E60D0">
      <w:pPr>
        <w:tabs>
          <w:tab w:val="left" w:pos="2160"/>
        </w:tabs>
        <w:ind w:left="360"/>
        <w:jc w:val="both"/>
        <w:rPr>
          <w:szCs w:val="24"/>
          <w:shd w:val="clear" w:color="auto" w:fill="00FF00"/>
          <w:lang w:val="es-ES_tradnl"/>
        </w:rPr>
      </w:pPr>
    </w:p>
    <w:p w:rsidR="007E60D0" w:rsidRDefault="007E60D0">
      <w:pPr>
        <w:jc w:val="center"/>
        <w:rPr>
          <w:b/>
          <w:szCs w:val="24"/>
          <w:lang w:val="es-ES_tradnl"/>
        </w:rPr>
      </w:pPr>
      <w:r>
        <w:rPr>
          <w:b/>
          <w:szCs w:val="24"/>
          <w:lang w:val="es-ES_tradnl"/>
        </w:rPr>
        <w:t>Gráfica No. 9</w:t>
      </w:r>
    </w:p>
    <w:p w:rsidR="007E60D0" w:rsidRDefault="007E60D0">
      <w:pPr>
        <w:jc w:val="center"/>
        <w:rPr>
          <w:b/>
          <w:szCs w:val="24"/>
          <w:lang w:val="es-ES_tradnl"/>
        </w:rPr>
      </w:pPr>
      <w:r>
        <w:rPr>
          <w:b/>
          <w:szCs w:val="24"/>
          <w:lang w:val="es-ES_tradnl"/>
        </w:rPr>
        <w:t>Estimación del Costo Fiscal de los Descuentos Tributarios</w:t>
      </w:r>
    </w:p>
    <w:p w:rsidR="007E60D0" w:rsidRDefault="007E60D0">
      <w:pPr>
        <w:jc w:val="center"/>
        <w:rPr>
          <w:b/>
          <w:szCs w:val="24"/>
          <w:lang w:val="es-ES_tradnl"/>
        </w:rPr>
      </w:pPr>
      <w:r>
        <w:rPr>
          <w:b/>
          <w:szCs w:val="24"/>
          <w:lang w:val="es-ES_tradnl"/>
        </w:rPr>
        <w:t>Año 2010</w:t>
      </w:r>
    </w:p>
    <w:p w:rsidR="007E60D0" w:rsidRDefault="007E60D0">
      <w:pPr>
        <w:tabs>
          <w:tab w:val="left" w:pos="2160"/>
        </w:tabs>
        <w:jc w:val="both"/>
        <w:rPr>
          <w:szCs w:val="24"/>
          <w:shd w:val="clear" w:color="auto" w:fill="00FF00"/>
          <w:lang w:val="es-ES_tradnl"/>
        </w:rPr>
      </w:pPr>
    </w:p>
    <w:p w:rsidR="007E60D0" w:rsidRDefault="00944E93">
      <w:pPr>
        <w:tabs>
          <w:tab w:val="left" w:pos="2160"/>
        </w:tabs>
        <w:jc w:val="center"/>
        <w:rPr>
          <w:b/>
          <w:szCs w:val="24"/>
          <w:lang w:val="es-ES_tradnl"/>
        </w:rPr>
      </w:pPr>
      <w:r>
        <w:rPr>
          <w:noProof/>
          <w:szCs w:val="24"/>
          <w:lang w:val="es-CO" w:eastAsia="es-CO"/>
        </w:rPr>
        <w:drawing>
          <wp:inline distT="0" distB="0" distL="0" distR="0">
            <wp:extent cx="4591050" cy="2752725"/>
            <wp:effectExtent l="1905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a:srcRect/>
                    <a:stretch>
                      <a:fillRect/>
                    </a:stretch>
                  </pic:blipFill>
                  <pic:spPr bwMode="auto">
                    <a:xfrm>
                      <a:off x="0" y="0"/>
                      <a:ext cx="4591050" cy="2752725"/>
                    </a:xfrm>
                    <a:prstGeom prst="rect">
                      <a:avLst/>
                    </a:prstGeom>
                    <a:solidFill>
                      <a:srgbClr val="FFFFFF"/>
                    </a:solidFill>
                    <a:ln w="9525">
                      <a:noFill/>
                      <a:miter lim="800000"/>
                      <a:headEnd/>
                      <a:tailEnd/>
                    </a:ln>
                  </pic:spPr>
                </pic:pic>
              </a:graphicData>
            </a:graphic>
          </wp:inline>
        </w:drawing>
      </w:r>
    </w:p>
    <w:p w:rsidR="007E60D0" w:rsidRDefault="007E60D0">
      <w:pPr>
        <w:tabs>
          <w:tab w:val="left" w:pos="2160"/>
        </w:tabs>
        <w:jc w:val="center"/>
        <w:rPr>
          <w:b/>
          <w:szCs w:val="24"/>
          <w:lang w:val="es-ES_tradnl"/>
        </w:rPr>
      </w:pPr>
    </w:p>
    <w:p w:rsidR="007E60D0" w:rsidRDefault="007E60D0">
      <w:pPr>
        <w:tabs>
          <w:tab w:val="left" w:pos="2160"/>
        </w:tabs>
        <w:jc w:val="center"/>
        <w:rPr>
          <w:b/>
          <w:szCs w:val="24"/>
          <w:lang w:val="es-ES_tradnl"/>
        </w:rPr>
      </w:pPr>
    </w:p>
    <w:p w:rsidR="007E60D0" w:rsidRDefault="007E60D0">
      <w:pPr>
        <w:tabs>
          <w:tab w:val="left" w:pos="2160"/>
        </w:tabs>
        <w:jc w:val="center"/>
        <w:rPr>
          <w:b/>
          <w:szCs w:val="24"/>
          <w:lang w:val="es-ES_tradnl"/>
        </w:rPr>
      </w:pPr>
      <w:r>
        <w:rPr>
          <w:b/>
          <w:szCs w:val="24"/>
          <w:lang w:val="es-ES_tradnl"/>
        </w:rPr>
        <w:t>4. RELACIÓN DE LOS PASIVOS CONTINGENTES QUE PUDIERAN AFECTAR LA SITUACIÓN FINANCIERA DEL MUNICIPIO</w:t>
      </w:r>
    </w:p>
    <w:p w:rsidR="007E60D0" w:rsidRDefault="007E60D0">
      <w:pPr>
        <w:tabs>
          <w:tab w:val="left" w:pos="2160"/>
        </w:tabs>
        <w:rPr>
          <w:b/>
          <w:szCs w:val="24"/>
          <w:lang w:val="es-ES_tradnl"/>
        </w:rPr>
      </w:pPr>
    </w:p>
    <w:p w:rsidR="007E60D0" w:rsidRDefault="007E60D0">
      <w:pPr>
        <w:tabs>
          <w:tab w:val="left" w:pos="2160"/>
        </w:tabs>
        <w:jc w:val="both"/>
        <w:rPr>
          <w:szCs w:val="24"/>
          <w:lang w:val="es-ES_tradnl"/>
        </w:rPr>
      </w:pPr>
      <w:r>
        <w:rPr>
          <w:szCs w:val="24"/>
          <w:lang w:val="es-ES_tradnl"/>
        </w:rPr>
        <w:t>En términos generales los pasivos contingentes son las obligaciones pecuniarias sometidas a condición, o la ocurrencia de un hecho futuro; tiene su origen en hechos específicos e independientes que pueden ocurrir o no. Estos pasivos pueden ser explícitos o implícitos:</w:t>
      </w:r>
    </w:p>
    <w:p w:rsidR="007E60D0" w:rsidRDefault="007E60D0">
      <w:pPr>
        <w:tabs>
          <w:tab w:val="left" w:pos="2160"/>
        </w:tabs>
        <w:jc w:val="both"/>
        <w:rPr>
          <w:szCs w:val="24"/>
          <w:lang w:val="es-ES_tradnl"/>
        </w:rPr>
      </w:pPr>
    </w:p>
    <w:p w:rsidR="007E60D0" w:rsidRDefault="007E60D0">
      <w:pPr>
        <w:tabs>
          <w:tab w:val="left" w:pos="2160"/>
        </w:tabs>
        <w:jc w:val="both"/>
        <w:rPr>
          <w:szCs w:val="24"/>
          <w:lang w:val="es-ES_tradnl"/>
        </w:rPr>
      </w:pPr>
      <w:r>
        <w:rPr>
          <w:szCs w:val="24"/>
          <w:lang w:val="es-ES_tradnl"/>
        </w:rPr>
        <w:lastRenderedPageBreak/>
        <w:t xml:space="preserve">Explícitos: Acuerdos financieros contractuales que dan origen a obligaciones condicionales para efectuar pagos con valor económico (origen ley o contrato) </w:t>
      </w:r>
    </w:p>
    <w:p w:rsidR="007E60D0" w:rsidRDefault="007E60D0">
      <w:pPr>
        <w:tabs>
          <w:tab w:val="left" w:pos="2160"/>
        </w:tabs>
        <w:jc w:val="both"/>
        <w:rPr>
          <w:szCs w:val="24"/>
          <w:lang w:val="es-ES_tradnl"/>
        </w:rPr>
      </w:pPr>
    </w:p>
    <w:p w:rsidR="007E60D0" w:rsidRDefault="007E60D0">
      <w:pPr>
        <w:tabs>
          <w:tab w:val="left" w:pos="2160"/>
        </w:tabs>
        <w:jc w:val="both"/>
        <w:rPr>
          <w:szCs w:val="24"/>
          <w:lang w:val="es-ES_tradnl"/>
        </w:rPr>
      </w:pPr>
      <w:r>
        <w:rPr>
          <w:szCs w:val="24"/>
          <w:lang w:val="es-ES_tradnl"/>
        </w:rPr>
        <w:t>Implícitos: No tienen origen jurídico, un contractual se reconocen después de cumplirse una cierta condición o producirse determinado hecho.</w:t>
      </w:r>
    </w:p>
    <w:p w:rsidR="007E60D0" w:rsidRDefault="007E60D0">
      <w:pPr>
        <w:tabs>
          <w:tab w:val="left" w:pos="2160"/>
        </w:tabs>
        <w:jc w:val="both"/>
        <w:rPr>
          <w:szCs w:val="24"/>
          <w:lang w:val="es-ES_tradnl"/>
        </w:rPr>
      </w:pPr>
    </w:p>
    <w:p w:rsidR="007E60D0" w:rsidRDefault="007E60D0">
      <w:pPr>
        <w:tabs>
          <w:tab w:val="left" w:pos="2160"/>
        </w:tabs>
        <w:jc w:val="both"/>
        <w:rPr>
          <w:szCs w:val="24"/>
          <w:lang w:val="es-ES_tradnl"/>
        </w:rPr>
      </w:pPr>
      <w:r>
        <w:rPr>
          <w:szCs w:val="24"/>
          <w:lang w:val="es-ES_tradnl"/>
        </w:rPr>
        <w:t>Los pasivos exigibles de las entidades territoriales se originan principalmente en sentencias y/o conciliaciones por diversos pleitos, ya sean laborales, contractuales, etc. De acuerdo con la valoración hecha por el propio municipio, se han estimado pasivos contingentes y exigibles con el siguiente detalle:</w:t>
      </w:r>
    </w:p>
    <w:p w:rsidR="007E60D0" w:rsidRDefault="007E60D0">
      <w:pPr>
        <w:tabs>
          <w:tab w:val="left" w:pos="2160"/>
        </w:tabs>
        <w:jc w:val="both"/>
        <w:rPr>
          <w:szCs w:val="24"/>
          <w:lang w:val="es-ES_tradnl"/>
        </w:rPr>
      </w:pPr>
    </w:p>
    <w:p w:rsidR="007E60D0" w:rsidRDefault="007E60D0">
      <w:pPr>
        <w:tabs>
          <w:tab w:val="left" w:pos="2160"/>
        </w:tabs>
        <w:jc w:val="both"/>
        <w:rPr>
          <w:szCs w:val="24"/>
          <w:lang w:val="es-ES_tradnl"/>
        </w:rPr>
      </w:pPr>
    </w:p>
    <w:p w:rsidR="007E60D0" w:rsidRDefault="007E60D0">
      <w:pPr>
        <w:tabs>
          <w:tab w:val="left" w:pos="2160"/>
        </w:tabs>
        <w:jc w:val="both"/>
        <w:rPr>
          <w:szCs w:val="24"/>
          <w:lang w:val="es-ES_tradnl"/>
        </w:rPr>
      </w:pPr>
    </w:p>
    <w:p w:rsidR="007E60D0" w:rsidRDefault="007E60D0">
      <w:pPr>
        <w:tabs>
          <w:tab w:val="left" w:pos="2160"/>
        </w:tabs>
        <w:jc w:val="both"/>
        <w:rPr>
          <w:szCs w:val="24"/>
          <w:lang w:val="es-ES_tradnl"/>
        </w:rPr>
      </w:pPr>
    </w:p>
    <w:p w:rsidR="007E60D0" w:rsidRDefault="007E60D0">
      <w:pPr>
        <w:tabs>
          <w:tab w:val="left" w:pos="2160"/>
        </w:tabs>
        <w:jc w:val="both"/>
        <w:rPr>
          <w:szCs w:val="24"/>
          <w:lang w:val="es-ES_tradnl"/>
        </w:rPr>
      </w:pPr>
    </w:p>
    <w:p w:rsidR="007E60D0" w:rsidRDefault="007E60D0">
      <w:pPr>
        <w:jc w:val="both"/>
        <w:rPr>
          <w:b/>
          <w:szCs w:val="24"/>
          <w:lang w:val="es-ES_tradnl"/>
        </w:rPr>
      </w:pPr>
      <w:r>
        <w:rPr>
          <w:b/>
          <w:szCs w:val="24"/>
          <w:lang w:val="es-ES_tradnl"/>
        </w:rPr>
        <w:t>4.1 PASIVOS EXIGIBLES (PASIVOS PENSIONALES)</w:t>
      </w:r>
    </w:p>
    <w:p w:rsidR="007E60D0" w:rsidRDefault="007E60D0">
      <w:pPr>
        <w:tabs>
          <w:tab w:val="left" w:pos="2160"/>
        </w:tabs>
        <w:jc w:val="both"/>
        <w:rPr>
          <w:b/>
          <w:szCs w:val="24"/>
          <w:lang w:val="es-ES_tradnl"/>
        </w:rPr>
      </w:pPr>
    </w:p>
    <w:p w:rsidR="007E60D0" w:rsidRDefault="007E60D0">
      <w:pPr>
        <w:tabs>
          <w:tab w:val="left" w:pos="2160"/>
        </w:tabs>
        <w:jc w:val="both"/>
        <w:rPr>
          <w:szCs w:val="24"/>
          <w:lang w:val="es-ES_tradnl"/>
        </w:rPr>
      </w:pPr>
      <w:r>
        <w:rPr>
          <w:szCs w:val="24"/>
          <w:lang w:val="es-ES_tradnl"/>
        </w:rPr>
        <w:t>Dentro de los pasivos exigibles a la fecha se deben incluir las reservas por la suma de $3</w:t>
      </w:r>
      <w:r>
        <w:rPr>
          <w:szCs w:val="24"/>
        </w:rPr>
        <w:t xml:space="preserve">.030 millones </w:t>
      </w:r>
      <w:r>
        <w:rPr>
          <w:szCs w:val="24"/>
          <w:lang w:val="es-ES_tradnl"/>
        </w:rPr>
        <w:t>correspondientes al pasivo pensional no provisionado y que le puede causar serios problemas de funcionamiento al municipio en el inmediato futuro.</w:t>
      </w:r>
    </w:p>
    <w:p w:rsidR="007E60D0" w:rsidRDefault="007E60D0">
      <w:pPr>
        <w:tabs>
          <w:tab w:val="left" w:pos="2160"/>
        </w:tabs>
        <w:jc w:val="both"/>
        <w:rPr>
          <w:szCs w:val="24"/>
          <w:lang w:val="es-ES_tradnl"/>
        </w:rPr>
      </w:pPr>
    </w:p>
    <w:p w:rsidR="007E60D0" w:rsidRDefault="007E60D0">
      <w:pPr>
        <w:tabs>
          <w:tab w:val="left" w:pos="2160"/>
        </w:tabs>
        <w:jc w:val="both"/>
        <w:rPr>
          <w:szCs w:val="24"/>
        </w:rPr>
      </w:pPr>
      <w:r>
        <w:rPr>
          <w:szCs w:val="24"/>
          <w:lang w:val="es-ES_tradnl"/>
        </w:rPr>
        <w:t>El valor total del pasivo pensional del municipio para diciembre de 2010 asciende a $14.903 millones</w:t>
      </w:r>
      <w:r>
        <w:rPr>
          <w:szCs w:val="24"/>
        </w:rPr>
        <w:t>; de los cuales el municipio posee en la cuenta del FONPET la suma de $11.873 millones</w:t>
      </w:r>
      <w:r>
        <w:rPr>
          <w:rStyle w:val="Caracteresdenotaalpie"/>
          <w:szCs w:val="24"/>
        </w:rPr>
        <w:footnoteReference w:id="2"/>
      </w:r>
      <w:r>
        <w:rPr>
          <w:szCs w:val="24"/>
        </w:rPr>
        <w:t xml:space="preserve">. </w:t>
      </w:r>
    </w:p>
    <w:p w:rsidR="007E60D0" w:rsidRDefault="007E60D0">
      <w:pPr>
        <w:tabs>
          <w:tab w:val="left" w:pos="2160"/>
        </w:tabs>
        <w:jc w:val="both"/>
        <w:rPr>
          <w:szCs w:val="24"/>
          <w:lang w:val="es-CO"/>
        </w:rPr>
      </w:pPr>
    </w:p>
    <w:p w:rsidR="007E60D0" w:rsidRDefault="007E60D0">
      <w:pPr>
        <w:jc w:val="both"/>
        <w:rPr>
          <w:b/>
          <w:szCs w:val="24"/>
          <w:lang w:val="es-ES_tradnl"/>
        </w:rPr>
      </w:pPr>
      <w:r>
        <w:rPr>
          <w:b/>
          <w:szCs w:val="24"/>
          <w:lang w:val="es-ES_tradnl"/>
        </w:rPr>
        <w:t>4.2 PROCESOS JUDICIALES CONTRA LA ADMINISTRACIÓN (SENTENCIAS Y CONCILIACIONES)</w:t>
      </w:r>
    </w:p>
    <w:p w:rsidR="007E60D0" w:rsidRDefault="007E60D0">
      <w:pPr>
        <w:ind w:left="2160"/>
        <w:jc w:val="both"/>
        <w:rPr>
          <w:b/>
          <w:szCs w:val="24"/>
          <w:lang w:val="es-ES_tradnl"/>
        </w:rPr>
      </w:pPr>
    </w:p>
    <w:p w:rsidR="007E60D0" w:rsidRDefault="007E60D0">
      <w:pPr>
        <w:jc w:val="both"/>
        <w:rPr>
          <w:szCs w:val="24"/>
          <w:lang w:val="es-ES_tradnl"/>
        </w:rPr>
      </w:pPr>
      <w:r>
        <w:rPr>
          <w:szCs w:val="24"/>
          <w:lang w:val="es-ES_tradnl"/>
        </w:rPr>
        <w:t>El siguiente informe muestra los procesos judiciales del municipio de Palermo a diciembre del año 2010:</w:t>
      </w:r>
    </w:p>
    <w:p w:rsidR="007E60D0" w:rsidRDefault="007E60D0">
      <w:pPr>
        <w:pStyle w:val="Epgrafe1"/>
        <w:rPr>
          <w:rFonts w:ascii="Times New Roman" w:hAnsi="Times New Roman" w:cs="Times New Roman"/>
          <w:sz w:val="22"/>
          <w:szCs w:val="22"/>
        </w:rPr>
      </w:pPr>
    </w:p>
    <w:p w:rsidR="007E60D0" w:rsidRDefault="007E60D0">
      <w:pPr>
        <w:pStyle w:val="Epgrafe1"/>
        <w:rPr>
          <w:rFonts w:ascii="Times New Roman" w:hAnsi="Times New Roman" w:cs="Times New Roman"/>
          <w:sz w:val="22"/>
          <w:szCs w:val="22"/>
        </w:rPr>
      </w:pPr>
      <w:r>
        <w:rPr>
          <w:rFonts w:ascii="Times New Roman" w:hAnsi="Times New Roman" w:cs="Times New Roman"/>
          <w:sz w:val="22"/>
          <w:szCs w:val="22"/>
        </w:rPr>
        <w:t>PROCESOS JUDICIALES DEL MUNICIPIO DE PALERMO</w:t>
      </w:r>
    </w:p>
    <w:p w:rsidR="007E60D0" w:rsidRDefault="007E60D0">
      <w:pPr>
        <w:jc w:val="center"/>
        <w:rPr>
          <w:b/>
          <w:bCs/>
          <w:sz w:val="22"/>
          <w:szCs w:val="22"/>
        </w:rPr>
      </w:pPr>
    </w:p>
    <w:tbl>
      <w:tblPr>
        <w:tblW w:w="0" w:type="auto"/>
        <w:tblInd w:w="-5" w:type="dxa"/>
        <w:tblLayout w:type="fixed"/>
        <w:tblLook w:val="0000"/>
      </w:tblPr>
      <w:tblGrid>
        <w:gridCol w:w="2518"/>
        <w:gridCol w:w="2268"/>
        <w:gridCol w:w="4202"/>
      </w:tblGrid>
      <w:tr w:rsidR="007E60D0">
        <w:tc>
          <w:tcPr>
            <w:tcW w:w="2518"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b/>
                <w:bCs/>
                <w:sz w:val="22"/>
                <w:szCs w:val="22"/>
              </w:rPr>
            </w:pPr>
            <w:r>
              <w:rPr>
                <w:b/>
                <w:bCs/>
                <w:sz w:val="22"/>
                <w:szCs w:val="22"/>
              </w:rPr>
              <w:t>DEMANDANTE</w:t>
            </w:r>
          </w:p>
        </w:tc>
        <w:tc>
          <w:tcPr>
            <w:tcW w:w="2268"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b/>
                <w:bCs/>
                <w:sz w:val="22"/>
                <w:szCs w:val="22"/>
              </w:rPr>
            </w:pPr>
            <w:r>
              <w:rPr>
                <w:b/>
                <w:bCs/>
                <w:sz w:val="22"/>
                <w:szCs w:val="22"/>
              </w:rPr>
              <w:t>RADICACIÓN</w:t>
            </w:r>
          </w:p>
        </w:tc>
        <w:tc>
          <w:tcPr>
            <w:tcW w:w="4202"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center"/>
              <w:rPr>
                <w:b/>
                <w:bCs/>
                <w:sz w:val="22"/>
                <w:szCs w:val="22"/>
              </w:rPr>
            </w:pPr>
            <w:r>
              <w:rPr>
                <w:b/>
                <w:bCs/>
                <w:sz w:val="22"/>
                <w:szCs w:val="22"/>
              </w:rPr>
              <w:t>ESTADO PROCESAL</w:t>
            </w:r>
          </w:p>
        </w:tc>
      </w:tr>
      <w:tr w:rsidR="007E60D0">
        <w:tc>
          <w:tcPr>
            <w:tcW w:w="2518" w:type="dxa"/>
            <w:tcBorders>
              <w:top w:val="single" w:sz="4" w:space="0" w:color="000000"/>
              <w:left w:val="single" w:sz="4" w:space="0" w:color="000000"/>
              <w:bottom w:val="single" w:sz="4" w:space="0" w:color="000000"/>
            </w:tcBorders>
            <w:shd w:val="clear" w:color="auto" w:fill="auto"/>
          </w:tcPr>
          <w:p w:rsidR="007E60D0" w:rsidRDefault="007E60D0">
            <w:pPr>
              <w:snapToGrid w:val="0"/>
              <w:jc w:val="both"/>
              <w:rPr>
                <w:sz w:val="22"/>
                <w:szCs w:val="22"/>
              </w:rPr>
            </w:pPr>
            <w:r>
              <w:rPr>
                <w:sz w:val="22"/>
                <w:szCs w:val="22"/>
              </w:rPr>
              <w:t>María Eugenia Laverde</w:t>
            </w:r>
          </w:p>
        </w:tc>
        <w:tc>
          <w:tcPr>
            <w:tcW w:w="2268" w:type="dxa"/>
            <w:tcBorders>
              <w:top w:val="single" w:sz="4" w:space="0" w:color="000000"/>
              <w:left w:val="single" w:sz="4" w:space="0" w:color="000000"/>
              <w:bottom w:val="single" w:sz="4" w:space="0" w:color="000000"/>
            </w:tcBorders>
            <w:shd w:val="clear" w:color="auto" w:fill="auto"/>
          </w:tcPr>
          <w:p w:rsidR="007E60D0" w:rsidRDefault="007E60D0">
            <w:pPr>
              <w:pStyle w:val="Ttulo2"/>
              <w:snapToGrid w:val="0"/>
              <w:jc w:val="center"/>
              <w:rPr>
                <w:rFonts w:ascii="Times New Roman" w:hAnsi="Times New Roman" w:cs="Times New Roman"/>
                <w:b w:val="0"/>
                <w:bCs w:val="0"/>
                <w:i w:val="0"/>
                <w:sz w:val="22"/>
                <w:szCs w:val="22"/>
                <w:lang w:val="es-CO"/>
              </w:rPr>
            </w:pPr>
            <w:r>
              <w:rPr>
                <w:rFonts w:ascii="Times New Roman" w:hAnsi="Times New Roman" w:cs="Times New Roman"/>
                <w:b w:val="0"/>
                <w:bCs w:val="0"/>
                <w:i w:val="0"/>
                <w:sz w:val="22"/>
                <w:szCs w:val="22"/>
                <w:lang w:val="es-CO"/>
              </w:rPr>
              <w:t>2005 – 2215</w:t>
            </w:r>
          </w:p>
          <w:p w:rsidR="007E60D0" w:rsidRDefault="007E60D0">
            <w:pPr>
              <w:jc w:val="center"/>
              <w:rPr>
                <w:sz w:val="22"/>
                <w:szCs w:val="22"/>
              </w:rPr>
            </w:pPr>
            <w:r>
              <w:rPr>
                <w:sz w:val="22"/>
                <w:szCs w:val="22"/>
              </w:rPr>
              <w:t>R. D</w:t>
            </w:r>
          </w:p>
        </w:tc>
        <w:tc>
          <w:tcPr>
            <w:tcW w:w="4202"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both"/>
              <w:rPr>
                <w:sz w:val="22"/>
                <w:szCs w:val="22"/>
              </w:rPr>
            </w:pPr>
            <w:r>
              <w:rPr>
                <w:sz w:val="22"/>
                <w:szCs w:val="22"/>
              </w:rPr>
              <w:t>Se encuentra en el Consejo de Estado.</w:t>
            </w:r>
          </w:p>
        </w:tc>
      </w:tr>
      <w:tr w:rsidR="007E60D0">
        <w:tc>
          <w:tcPr>
            <w:tcW w:w="2518" w:type="dxa"/>
            <w:tcBorders>
              <w:top w:val="single" w:sz="4" w:space="0" w:color="000000"/>
              <w:left w:val="single" w:sz="4" w:space="0" w:color="000000"/>
              <w:bottom w:val="single" w:sz="4" w:space="0" w:color="000000"/>
            </w:tcBorders>
            <w:shd w:val="clear" w:color="auto" w:fill="auto"/>
          </w:tcPr>
          <w:p w:rsidR="007E60D0" w:rsidRDefault="007E60D0">
            <w:pPr>
              <w:snapToGrid w:val="0"/>
              <w:jc w:val="both"/>
              <w:rPr>
                <w:sz w:val="22"/>
                <w:szCs w:val="22"/>
              </w:rPr>
            </w:pPr>
            <w:r>
              <w:rPr>
                <w:sz w:val="22"/>
                <w:szCs w:val="22"/>
              </w:rPr>
              <w:t>Lázaro Salazar</w:t>
            </w:r>
          </w:p>
        </w:tc>
        <w:tc>
          <w:tcPr>
            <w:tcW w:w="2268" w:type="dxa"/>
            <w:tcBorders>
              <w:top w:val="single" w:sz="4" w:space="0" w:color="000000"/>
              <w:left w:val="single" w:sz="4" w:space="0" w:color="000000"/>
              <w:bottom w:val="single" w:sz="4" w:space="0" w:color="000000"/>
            </w:tcBorders>
            <w:shd w:val="clear" w:color="auto" w:fill="auto"/>
          </w:tcPr>
          <w:p w:rsidR="007E60D0" w:rsidRDefault="007E60D0">
            <w:pPr>
              <w:pStyle w:val="Ttulo2"/>
              <w:snapToGrid w:val="0"/>
              <w:jc w:val="center"/>
              <w:rPr>
                <w:rFonts w:ascii="Times New Roman" w:hAnsi="Times New Roman" w:cs="Times New Roman"/>
                <w:b w:val="0"/>
                <w:bCs w:val="0"/>
                <w:i w:val="0"/>
                <w:sz w:val="22"/>
                <w:szCs w:val="22"/>
                <w:lang w:val="es-CO"/>
              </w:rPr>
            </w:pPr>
            <w:r>
              <w:rPr>
                <w:rFonts w:ascii="Times New Roman" w:hAnsi="Times New Roman" w:cs="Times New Roman"/>
                <w:b w:val="0"/>
                <w:bCs w:val="0"/>
                <w:i w:val="0"/>
                <w:sz w:val="22"/>
                <w:szCs w:val="22"/>
                <w:lang w:val="es-CO"/>
              </w:rPr>
              <w:t>2006 – 303</w:t>
            </w:r>
          </w:p>
          <w:p w:rsidR="007E60D0" w:rsidRDefault="007E60D0">
            <w:pPr>
              <w:jc w:val="center"/>
              <w:rPr>
                <w:sz w:val="22"/>
                <w:szCs w:val="22"/>
              </w:rPr>
            </w:pPr>
            <w:r>
              <w:rPr>
                <w:sz w:val="22"/>
                <w:szCs w:val="22"/>
              </w:rPr>
              <w:t>R. D</w:t>
            </w:r>
          </w:p>
        </w:tc>
        <w:tc>
          <w:tcPr>
            <w:tcW w:w="4202"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both"/>
              <w:rPr>
                <w:sz w:val="22"/>
                <w:szCs w:val="22"/>
              </w:rPr>
            </w:pPr>
            <w:r>
              <w:rPr>
                <w:sz w:val="22"/>
                <w:szCs w:val="22"/>
              </w:rPr>
              <w:t>Al despacho para fallo.</w:t>
            </w:r>
          </w:p>
        </w:tc>
      </w:tr>
      <w:tr w:rsidR="007E60D0">
        <w:tc>
          <w:tcPr>
            <w:tcW w:w="2518" w:type="dxa"/>
            <w:tcBorders>
              <w:top w:val="single" w:sz="4" w:space="0" w:color="000000"/>
              <w:left w:val="single" w:sz="4" w:space="0" w:color="000000"/>
              <w:bottom w:val="single" w:sz="4" w:space="0" w:color="000000"/>
            </w:tcBorders>
            <w:shd w:val="clear" w:color="auto" w:fill="auto"/>
          </w:tcPr>
          <w:p w:rsidR="007E60D0" w:rsidRDefault="007E60D0">
            <w:pPr>
              <w:snapToGrid w:val="0"/>
              <w:jc w:val="both"/>
              <w:rPr>
                <w:sz w:val="22"/>
                <w:szCs w:val="22"/>
              </w:rPr>
            </w:pPr>
            <w:r>
              <w:rPr>
                <w:sz w:val="22"/>
                <w:szCs w:val="22"/>
              </w:rPr>
              <w:lastRenderedPageBreak/>
              <w:t>Marleny Quintero</w:t>
            </w:r>
          </w:p>
        </w:tc>
        <w:tc>
          <w:tcPr>
            <w:tcW w:w="2268" w:type="dxa"/>
            <w:tcBorders>
              <w:top w:val="single" w:sz="4" w:space="0" w:color="000000"/>
              <w:left w:val="single" w:sz="4" w:space="0" w:color="000000"/>
              <w:bottom w:val="single" w:sz="4" w:space="0" w:color="000000"/>
            </w:tcBorders>
            <w:shd w:val="clear" w:color="auto" w:fill="auto"/>
          </w:tcPr>
          <w:p w:rsidR="007E60D0" w:rsidRDefault="007E60D0">
            <w:pPr>
              <w:pStyle w:val="Ttulo2"/>
              <w:snapToGrid w:val="0"/>
              <w:jc w:val="center"/>
              <w:rPr>
                <w:rFonts w:ascii="Times New Roman" w:hAnsi="Times New Roman" w:cs="Times New Roman"/>
                <w:b w:val="0"/>
                <w:bCs w:val="0"/>
                <w:i w:val="0"/>
                <w:sz w:val="22"/>
                <w:szCs w:val="22"/>
                <w:lang w:val="es-CO"/>
              </w:rPr>
            </w:pPr>
            <w:r>
              <w:rPr>
                <w:rFonts w:ascii="Times New Roman" w:hAnsi="Times New Roman" w:cs="Times New Roman"/>
                <w:b w:val="0"/>
                <w:bCs w:val="0"/>
                <w:i w:val="0"/>
                <w:sz w:val="22"/>
                <w:szCs w:val="22"/>
                <w:lang w:val="es-CO"/>
              </w:rPr>
              <w:t>2007 196</w:t>
            </w:r>
          </w:p>
          <w:p w:rsidR="007E60D0" w:rsidRDefault="007E60D0">
            <w:pPr>
              <w:jc w:val="center"/>
              <w:rPr>
                <w:sz w:val="22"/>
                <w:szCs w:val="22"/>
              </w:rPr>
            </w:pPr>
            <w:r>
              <w:rPr>
                <w:sz w:val="22"/>
                <w:szCs w:val="22"/>
              </w:rPr>
              <w:t>R. D</w:t>
            </w:r>
          </w:p>
        </w:tc>
        <w:tc>
          <w:tcPr>
            <w:tcW w:w="4202"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both"/>
              <w:rPr>
                <w:sz w:val="22"/>
                <w:szCs w:val="22"/>
              </w:rPr>
            </w:pPr>
            <w:r>
              <w:rPr>
                <w:sz w:val="22"/>
                <w:szCs w:val="22"/>
              </w:rPr>
              <w:t>Al despacho para fallo.</w:t>
            </w:r>
          </w:p>
        </w:tc>
      </w:tr>
      <w:tr w:rsidR="007E60D0">
        <w:tc>
          <w:tcPr>
            <w:tcW w:w="2518" w:type="dxa"/>
            <w:tcBorders>
              <w:top w:val="single" w:sz="4" w:space="0" w:color="000000"/>
              <w:left w:val="single" w:sz="4" w:space="0" w:color="000000"/>
              <w:bottom w:val="single" w:sz="4" w:space="0" w:color="000000"/>
            </w:tcBorders>
            <w:shd w:val="clear" w:color="auto" w:fill="auto"/>
          </w:tcPr>
          <w:p w:rsidR="007E60D0" w:rsidRDefault="007E60D0">
            <w:pPr>
              <w:snapToGrid w:val="0"/>
              <w:jc w:val="both"/>
              <w:rPr>
                <w:sz w:val="22"/>
                <w:szCs w:val="22"/>
              </w:rPr>
            </w:pPr>
            <w:r>
              <w:rPr>
                <w:sz w:val="22"/>
                <w:szCs w:val="22"/>
              </w:rPr>
              <w:t>Marco Antonio Vela</w:t>
            </w:r>
          </w:p>
        </w:tc>
        <w:tc>
          <w:tcPr>
            <w:tcW w:w="2268" w:type="dxa"/>
            <w:tcBorders>
              <w:top w:val="single" w:sz="4" w:space="0" w:color="000000"/>
              <w:left w:val="single" w:sz="4" w:space="0" w:color="000000"/>
              <w:bottom w:val="single" w:sz="4" w:space="0" w:color="000000"/>
            </w:tcBorders>
            <w:shd w:val="clear" w:color="auto" w:fill="auto"/>
          </w:tcPr>
          <w:p w:rsidR="007E60D0" w:rsidRDefault="007E60D0">
            <w:pPr>
              <w:pStyle w:val="Ttulo2"/>
              <w:snapToGrid w:val="0"/>
              <w:jc w:val="center"/>
              <w:rPr>
                <w:rFonts w:ascii="Times New Roman" w:hAnsi="Times New Roman" w:cs="Times New Roman"/>
                <w:b w:val="0"/>
                <w:bCs w:val="0"/>
                <w:i w:val="0"/>
                <w:sz w:val="22"/>
                <w:szCs w:val="22"/>
                <w:lang w:val="es-CO"/>
              </w:rPr>
            </w:pPr>
            <w:r>
              <w:rPr>
                <w:rFonts w:ascii="Times New Roman" w:hAnsi="Times New Roman" w:cs="Times New Roman"/>
                <w:b w:val="0"/>
                <w:bCs w:val="0"/>
                <w:i w:val="0"/>
                <w:sz w:val="22"/>
                <w:szCs w:val="22"/>
                <w:lang w:val="es-CO"/>
              </w:rPr>
              <w:t>2005 – 2215</w:t>
            </w:r>
          </w:p>
          <w:p w:rsidR="007E60D0" w:rsidRDefault="007E60D0">
            <w:pPr>
              <w:jc w:val="center"/>
              <w:rPr>
                <w:sz w:val="22"/>
                <w:szCs w:val="22"/>
              </w:rPr>
            </w:pPr>
            <w:r>
              <w:rPr>
                <w:sz w:val="22"/>
                <w:szCs w:val="22"/>
              </w:rPr>
              <w:t>R. D</w:t>
            </w:r>
          </w:p>
        </w:tc>
        <w:tc>
          <w:tcPr>
            <w:tcW w:w="4202"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both"/>
              <w:rPr>
                <w:sz w:val="22"/>
                <w:szCs w:val="22"/>
              </w:rPr>
            </w:pPr>
            <w:r>
              <w:rPr>
                <w:sz w:val="22"/>
                <w:szCs w:val="22"/>
              </w:rPr>
              <w:t>Se encuentra en apelación en el Consejo de Estado</w:t>
            </w:r>
          </w:p>
        </w:tc>
      </w:tr>
      <w:tr w:rsidR="007E60D0">
        <w:tc>
          <w:tcPr>
            <w:tcW w:w="2518" w:type="dxa"/>
            <w:tcBorders>
              <w:top w:val="single" w:sz="4" w:space="0" w:color="000000"/>
              <w:left w:val="single" w:sz="4" w:space="0" w:color="000000"/>
              <w:bottom w:val="single" w:sz="4" w:space="0" w:color="000000"/>
            </w:tcBorders>
            <w:shd w:val="clear" w:color="auto" w:fill="auto"/>
          </w:tcPr>
          <w:p w:rsidR="007E60D0" w:rsidRDefault="007E60D0">
            <w:pPr>
              <w:snapToGrid w:val="0"/>
              <w:jc w:val="both"/>
              <w:rPr>
                <w:sz w:val="22"/>
                <w:szCs w:val="22"/>
              </w:rPr>
            </w:pPr>
            <w:r>
              <w:rPr>
                <w:sz w:val="22"/>
                <w:szCs w:val="22"/>
              </w:rPr>
              <w:t>Claudia Polanco Camacho</w:t>
            </w:r>
          </w:p>
        </w:tc>
        <w:tc>
          <w:tcPr>
            <w:tcW w:w="2268" w:type="dxa"/>
            <w:tcBorders>
              <w:top w:val="single" w:sz="4" w:space="0" w:color="000000"/>
              <w:left w:val="single" w:sz="4" w:space="0" w:color="000000"/>
              <w:bottom w:val="single" w:sz="4" w:space="0" w:color="000000"/>
            </w:tcBorders>
            <w:shd w:val="clear" w:color="auto" w:fill="auto"/>
          </w:tcPr>
          <w:p w:rsidR="007E60D0" w:rsidRDefault="007E60D0">
            <w:pPr>
              <w:pStyle w:val="Ttulo2"/>
              <w:snapToGrid w:val="0"/>
              <w:jc w:val="center"/>
              <w:rPr>
                <w:rFonts w:ascii="Times New Roman" w:hAnsi="Times New Roman" w:cs="Times New Roman"/>
                <w:b w:val="0"/>
                <w:bCs w:val="0"/>
                <w:i w:val="0"/>
                <w:sz w:val="22"/>
                <w:szCs w:val="22"/>
                <w:lang w:val="es-CO"/>
              </w:rPr>
            </w:pPr>
            <w:r>
              <w:rPr>
                <w:rFonts w:ascii="Times New Roman" w:hAnsi="Times New Roman" w:cs="Times New Roman"/>
                <w:b w:val="0"/>
                <w:bCs w:val="0"/>
                <w:i w:val="0"/>
                <w:sz w:val="22"/>
                <w:szCs w:val="22"/>
                <w:lang w:val="es-CO"/>
              </w:rPr>
              <w:t>2006 – 303</w:t>
            </w:r>
          </w:p>
          <w:p w:rsidR="007E60D0" w:rsidRDefault="007E60D0">
            <w:pPr>
              <w:jc w:val="center"/>
              <w:rPr>
                <w:sz w:val="22"/>
                <w:szCs w:val="22"/>
              </w:rPr>
            </w:pPr>
            <w:r>
              <w:rPr>
                <w:sz w:val="22"/>
                <w:szCs w:val="22"/>
              </w:rPr>
              <w:t>R. D</w:t>
            </w:r>
          </w:p>
        </w:tc>
        <w:tc>
          <w:tcPr>
            <w:tcW w:w="4202"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both"/>
              <w:rPr>
                <w:sz w:val="22"/>
                <w:szCs w:val="22"/>
              </w:rPr>
            </w:pPr>
            <w:r>
              <w:rPr>
                <w:sz w:val="22"/>
                <w:szCs w:val="22"/>
              </w:rPr>
              <w:t>La parte demandante apelo la sentencia y el Tribunal negó el recurso, por lo que se está surtiendo el recuro de queja. El 28-11-09- auto pone en conocimiento la decisión tomada por el consejo de estado donde niega la apelación. Surtida.</w:t>
            </w:r>
          </w:p>
        </w:tc>
      </w:tr>
      <w:tr w:rsidR="007E60D0">
        <w:tc>
          <w:tcPr>
            <w:tcW w:w="2518" w:type="dxa"/>
            <w:tcBorders>
              <w:top w:val="single" w:sz="4" w:space="0" w:color="000000"/>
              <w:left w:val="single" w:sz="4" w:space="0" w:color="000000"/>
              <w:bottom w:val="single" w:sz="4" w:space="0" w:color="000000"/>
            </w:tcBorders>
            <w:shd w:val="clear" w:color="auto" w:fill="auto"/>
          </w:tcPr>
          <w:p w:rsidR="007E60D0" w:rsidRDefault="007E60D0">
            <w:pPr>
              <w:snapToGrid w:val="0"/>
              <w:jc w:val="both"/>
              <w:rPr>
                <w:sz w:val="22"/>
                <w:szCs w:val="22"/>
              </w:rPr>
            </w:pPr>
            <w:r>
              <w:rPr>
                <w:sz w:val="22"/>
                <w:szCs w:val="22"/>
              </w:rPr>
              <w:t>Carmen Laguna</w:t>
            </w:r>
          </w:p>
        </w:tc>
        <w:tc>
          <w:tcPr>
            <w:tcW w:w="2268" w:type="dxa"/>
            <w:tcBorders>
              <w:top w:val="single" w:sz="4" w:space="0" w:color="000000"/>
              <w:left w:val="single" w:sz="4" w:space="0" w:color="000000"/>
              <w:bottom w:val="single" w:sz="4" w:space="0" w:color="000000"/>
            </w:tcBorders>
            <w:shd w:val="clear" w:color="auto" w:fill="auto"/>
          </w:tcPr>
          <w:p w:rsidR="007E60D0" w:rsidRDefault="007E60D0">
            <w:pPr>
              <w:pStyle w:val="Ttulo2"/>
              <w:snapToGrid w:val="0"/>
              <w:jc w:val="center"/>
              <w:rPr>
                <w:rFonts w:ascii="Times New Roman" w:hAnsi="Times New Roman" w:cs="Times New Roman"/>
                <w:b w:val="0"/>
                <w:bCs w:val="0"/>
                <w:i w:val="0"/>
                <w:sz w:val="22"/>
                <w:szCs w:val="22"/>
                <w:lang w:val="es-CO"/>
              </w:rPr>
            </w:pPr>
            <w:r>
              <w:rPr>
                <w:rFonts w:ascii="Times New Roman" w:hAnsi="Times New Roman" w:cs="Times New Roman"/>
                <w:b w:val="0"/>
                <w:bCs w:val="0"/>
                <w:i w:val="0"/>
                <w:sz w:val="22"/>
                <w:szCs w:val="22"/>
                <w:lang w:val="es-CO"/>
              </w:rPr>
              <w:t>2007 196</w:t>
            </w:r>
          </w:p>
          <w:p w:rsidR="007E60D0" w:rsidRDefault="007E60D0">
            <w:pPr>
              <w:jc w:val="center"/>
              <w:rPr>
                <w:sz w:val="22"/>
                <w:szCs w:val="22"/>
              </w:rPr>
            </w:pPr>
            <w:r>
              <w:rPr>
                <w:sz w:val="22"/>
                <w:szCs w:val="22"/>
              </w:rPr>
              <w:t>R. D</w:t>
            </w:r>
          </w:p>
        </w:tc>
        <w:tc>
          <w:tcPr>
            <w:tcW w:w="4202"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both"/>
              <w:rPr>
                <w:sz w:val="22"/>
                <w:szCs w:val="22"/>
              </w:rPr>
            </w:pPr>
            <w:r>
              <w:rPr>
                <w:sz w:val="22"/>
                <w:szCs w:val="22"/>
              </w:rPr>
              <w:t>Al despacho para fallo.</w:t>
            </w:r>
          </w:p>
        </w:tc>
      </w:tr>
    </w:tbl>
    <w:p w:rsidR="007E60D0" w:rsidRDefault="007E60D0">
      <w:pPr>
        <w:rPr>
          <w:b/>
          <w:sz w:val="22"/>
          <w:szCs w:val="22"/>
        </w:rPr>
      </w:pPr>
    </w:p>
    <w:p w:rsidR="007E60D0" w:rsidRDefault="007E60D0">
      <w:pPr>
        <w:rPr>
          <w:b/>
          <w:sz w:val="22"/>
          <w:szCs w:val="22"/>
        </w:rPr>
      </w:pPr>
    </w:p>
    <w:p w:rsidR="007E60D0" w:rsidRDefault="007E60D0">
      <w:pPr>
        <w:rPr>
          <w:b/>
          <w:sz w:val="22"/>
          <w:szCs w:val="22"/>
        </w:rPr>
      </w:pPr>
    </w:p>
    <w:p w:rsidR="007E60D0" w:rsidRDefault="007E60D0">
      <w:pPr>
        <w:rPr>
          <w:b/>
          <w:sz w:val="22"/>
          <w:szCs w:val="22"/>
        </w:rPr>
      </w:pPr>
      <w:r>
        <w:rPr>
          <w:b/>
          <w:sz w:val="22"/>
          <w:szCs w:val="22"/>
        </w:rPr>
        <w:t>TRIBUNAL ADMINISTRATIVO DEL HUILA</w:t>
      </w:r>
    </w:p>
    <w:p w:rsidR="007E60D0" w:rsidRDefault="007E60D0">
      <w:pPr>
        <w:rPr>
          <w:lang w:val="es-CO"/>
        </w:rPr>
      </w:pPr>
    </w:p>
    <w:tbl>
      <w:tblPr>
        <w:tblW w:w="0" w:type="auto"/>
        <w:tblInd w:w="-5" w:type="dxa"/>
        <w:tblLayout w:type="fixed"/>
        <w:tblLook w:val="0000"/>
      </w:tblPr>
      <w:tblGrid>
        <w:gridCol w:w="2518"/>
        <w:gridCol w:w="2268"/>
        <w:gridCol w:w="4202"/>
      </w:tblGrid>
      <w:tr w:rsidR="007E60D0">
        <w:tc>
          <w:tcPr>
            <w:tcW w:w="2518"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b/>
                <w:bCs/>
                <w:sz w:val="22"/>
                <w:szCs w:val="22"/>
              </w:rPr>
            </w:pPr>
            <w:r>
              <w:rPr>
                <w:b/>
                <w:bCs/>
                <w:sz w:val="22"/>
                <w:szCs w:val="22"/>
              </w:rPr>
              <w:t>DEMANDANTE</w:t>
            </w:r>
          </w:p>
        </w:tc>
        <w:tc>
          <w:tcPr>
            <w:tcW w:w="2268"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b/>
                <w:bCs/>
                <w:sz w:val="22"/>
                <w:szCs w:val="22"/>
              </w:rPr>
            </w:pPr>
            <w:r>
              <w:rPr>
                <w:b/>
                <w:bCs/>
                <w:sz w:val="22"/>
                <w:szCs w:val="22"/>
              </w:rPr>
              <w:t>RADICACIÓN</w:t>
            </w:r>
          </w:p>
        </w:tc>
        <w:tc>
          <w:tcPr>
            <w:tcW w:w="4202"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center"/>
              <w:rPr>
                <w:b/>
                <w:bCs/>
                <w:sz w:val="22"/>
                <w:szCs w:val="22"/>
              </w:rPr>
            </w:pPr>
            <w:r>
              <w:rPr>
                <w:b/>
                <w:bCs/>
                <w:sz w:val="22"/>
                <w:szCs w:val="22"/>
              </w:rPr>
              <w:t>ESTADO PROCESAL</w:t>
            </w:r>
          </w:p>
        </w:tc>
      </w:tr>
      <w:tr w:rsidR="007E60D0">
        <w:trPr>
          <w:trHeight w:val="598"/>
        </w:trPr>
        <w:tc>
          <w:tcPr>
            <w:tcW w:w="2518" w:type="dxa"/>
            <w:tcBorders>
              <w:top w:val="single" w:sz="4" w:space="0" w:color="000000"/>
              <w:left w:val="single" w:sz="4" w:space="0" w:color="000000"/>
              <w:bottom w:val="single" w:sz="4" w:space="0" w:color="000000"/>
            </w:tcBorders>
            <w:shd w:val="clear" w:color="auto" w:fill="auto"/>
          </w:tcPr>
          <w:p w:rsidR="007E60D0" w:rsidRDefault="007E60D0">
            <w:pPr>
              <w:pStyle w:val="Ttulo2"/>
              <w:snapToGrid w:val="0"/>
              <w:rPr>
                <w:rFonts w:ascii="Times New Roman" w:hAnsi="Times New Roman" w:cs="Times New Roman"/>
                <w:b w:val="0"/>
                <w:bCs w:val="0"/>
                <w:i w:val="0"/>
                <w:sz w:val="22"/>
                <w:szCs w:val="22"/>
                <w:lang w:val="es-CO"/>
              </w:rPr>
            </w:pPr>
            <w:r>
              <w:rPr>
                <w:rFonts w:ascii="Times New Roman" w:hAnsi="Times New Roman" w:cs="Times New Roman"/>
                <w:b w:val="0"/>
                <w:bCs w:val="0"/>
                <w:i w:val="0"/>
                <w:sz w:val="22"/>
                <w:szCs w:val="22"/>
                <w:lang w:val="es-CO"/>
              </w:rPr>
              <w:t>Gentil Ramírez</w:t>
            </w:r>
          </w:p>
        </w:tc>
        <w:tc>
          <w:tcPr>
            <w:tcW w:w="2268" w:type="dxa"/>
            <w:tcBorders>
              <w:top w:val="single" w:sz="4" w:space="0" w:color="000000"/>
              <w:left w:val="single" w:sz="4" w:space="0" w:color="000000"/>
              <w:bottom w:val="single" w:sz="4" w:space="0" w:color="000000"/>
            </w:tcBorders>
            <w:shd w:val="clear" w:color="auto" w:fill="auto"/>
          </w:tcPr>
          <w:p w:rsidR="007E60D0" w:rsidRDefault="007E60D0">
            <w:pPr>
              <w:pStyle w:val="Ttulo2"/>
              <w:snapToGrid w:val="0"/>
              <w:jc w:val="center"/>
              <w:rPr>
                <w:rFonts w:ascii="Times New Roman" w:hAnsi="Times New Roman" w:cs="Times New Roman"/>
                <w:b w:val="0"/>
                <w:bCs w:val="0"/>
                <w:i w:val="0"/>
                <w:sz w:val="22"/>
                <w:szCs w:val="22"/>
                <w:lang w:val="es-CO"/>
              </w:rPr>
            </w:pPr>
            <w:r>
              <w:rPr>
                <w:rFonts w:ascii="Times New Roman" w:hAnsi="Times New Roman" w:cs="Times New Roman"/>
                <w:b w:val="0"/>
                <w:bCs w:val="0"/>
                <w:i w:val="0"/>
                <w:sz w:val="22"/>
                <w:szCs w:val="22"/>
                <w:lang w:val="es-CO"/>
              </w:rPr>
              <w:t>2005 – 821</w:t>
            </w:r>
          </w:p>
          <w:p w:rsidR="007E60D0" w:rsidRDefault="007E60D0">
            <w:pPr>
              <w:jc w:val="center"/>
              <w:rPr>
                <w:sz w:val="22"/>
                <w:szCs w:val="22"/>
              </w:rPr>
            </w:pPr>
            <w:r>
              <w:rPr>
                <w:sz w:val="22"/>
                <w:szCs w:val="22"/>
              </w:rPr>
              <w:t xml:space="preserve">A.N </w:t>
            </w:r>
          </w:p>
        </w:tc>
        <w:tc>
          <w:tcPr>
            <w:tcW w:w="4202"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pStyle w:val="Ttulo2"/>
              <w:snapToGrid w:val="0"/>
              <w:jc w:val="both"/>
              <w:rPr>
                <w:rFonts w:ascii="Times New Roman" w:hAnsi="Times New Roman" w:cs="Times New Roman"/>
                <w:b w:val="0"/>
                <w:bCs w:val="0"/>
                <w:i w:val="0"/>
                <w:sz w:val="22"/>
                <w:szCs w:val="22"/>
                <w:lang w:val="es-CO"/>
              </w:rPr>
            </w:pPr>
            <w:r>
              <w:rPr>
                <w:rFonts w:ascii="Times New Roman" w:hAnsi="Times New Roman" w:cs="Times New Roman"/>
                <w:b w:val="0"/>
                <w:bCs w:val="0"/>
                <w:i w:val="0"/>
                <w:sz w:val="22"/>
                <w:szCs w:val="22"/>
                <w:lang w:val="es-CO"/>
              </w:rPr>
              <w:t>Se profirió sentencia desfavorable al Municipio.</w:t>
            </w:r>
          </w:p>
        </w:tc>
      </w:tr>
      <w:tr w:rsidR="007E60D0">
        <w:tc>
          <w:tcPr>
            <w:tcW w:w="2518" w:type="dxa"/>
            <w:tcBorders>
              <w:top w:val="single" w:sz="4" w:space="0" w:color="000000"/>
              <w:left w:val="single" w:sz="4" w:space="0" w:color="000000"/>
              <w:bottom w:val="single" w:sz="4" w:space="0" w:color="000000"/>
            </w:tcBorders>
            <w:shd w:val="clear" w:color="auto" w:fill="auto"/>
          </w:tcPr>
          <w:p w:rsidR="007E60D0" w:rsidRDefault="007E60D0">
            <w:pPr>
              <w:pStyle w:val="Ttulo2"/>
              <w:snapToGrid w:val="0"/>
              <w:rPr>
                <w:rFonts w:ascii="Times New Roman" w:hAnsi="Times New Roman" w:cs="Times New Roman"/>
                <w:b w:val="0"/>
                <w:bCs w:val="0"/>
                <w:i w:val="0"/>
                <w:sz w:val="22"/>
                <w:szCs w:val="22"/>
                <w:lang w:val="es-CO"/>
              </w:rPr>
            </w:pPr>
            <w:r>
              <w:rPr>
                <w:rFonts w:ascii="Times New Roman" w:hAnsi="Times New Roman" w:cs="Times New Roman"/>
                <w:b w:val="0"/>
                <w:bCs w:val="0"/>
                <w:i w:val="0"/>
                <w:sz w:val="22"/>
                <w:szCs w:val="22"/>
                <w:lang w:val="es-CO"/>
              </w:rPr>
              <w:t>Jaime Hernando Guío Andrade</w:t>
            </w:r>
          </w:p>
        </w:tc>
        <w:tc>
          <w:tcPr>
            <w:tcW w:w="2268" w:type="dxa"/>
            <w:tcBorders>
              <w:top w:val="single" w:sz="4" w:space="0" w:color="000000"/>
              <w:left w:val="single" w:sz="4" w:space="0" w:color="000000"/>
              <w:bottom w:val="single" w:sz="4" w:space="0" w:color="000000"/>
            </w:tcBorders>
            <w:shd w:val="clear" w:color="auto" w:fill="auto"/>
          </w:tcPr>
          <w:p w:rsidR="007E60D0" w:rsidRDefault="007E60D0">
            <w:pPr>
              <w:pStyle w:val="Ttulo2"/>
              <w:snapToGrid w:val="0"/>
              <w:jc w:val="center"/>
              <w:rPr>
                <w:rFonts w:ascii="Times New Roman" w:hAnsi="Times New Roman" w:cs="Times New Roman"/>
                <w:b w:val="0"/>
                <w:bCs w:val="0"/>
                <w:i w:val="0"/>
                <w:sz w:val="22"/>
                <w:szCs w:val="22"/>
                <w:lang w:val="es-CO"/>
              </w:rPr>
            </w:pPr>
            <w:r>
              <w:rPr>
                <w:rFonts w:ascii="Times New Roman" w:hAnsi="Times New Roman" w:cs="Times New Roman"/>
                <w:b w:val="0"/>
                <w:bCs w:val="0"/>
                <w:i w:val="0"/>
                <w:sz w:val="22"/>
                <w:szCs w:val="22"/>
                <w:lang w:val="es-CO"/>
              </w:rPr>
              <w:t>2005 – 2215</w:t>
            </w:r>
          </w:p>
          <w:p w:rsidR="007E60D0" w:rsidRDefault="007E60D0">
            <w:pPr>
              <w:jc w:val="center"/>
              <w:rPr>
                <w:sz w:val="22"/>
                <w:szCs w:val="22"/>
              </w:rPr>
            </w:pPr>
            <w:r>
              <w:rPr>
                <w:sz w:val="22"/>
                <w:szCs w:val="22"/>
              </w:rPr>
              <w:t xml:space="preserve">R. D </w:t>
            </w:r>
          </w:p>
        </w:tc>
        <w:tc>
          <w:tcPr>
            <w:tcW w:w="4202"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both"/>
              <w:rPr>
                <w:sz w:val="22"/>
                <w:szCs w:val="22"/>
              </w:rPr>
            </w:pPr>
            <w:r>
              <w:rPr>
                <w:sz w:val="22"/>
                <w:szCs w:val="22"/>
              </w:rPr>
              <w:t>Al Despacho para fallo</w:t>
            </w:r>
          </w:p>
        </w:tc>
      </w:tr>
      <w:tr w:rsidR="007E60D0">
        <w:tc>
          <w:tcPr>
            <w:tcW w:w="2518" w:type="dxa"/>
            <w:tcBorders>
              <w:top w:val="single" w:sz="4" w:space="0" w:color="000000"/>
              <w:left w:val="single" w:sz="4" w:space="0" w:color="000000"/>
              <w:bottom w:val="single" w:sz="4" w:space="0" w:color="000000"/>
            </w:tcBorders>
            <w:shd w:val="clear" w:color="auto" w:fill="auto"/>
          </w:tcPr>
          <w:p w:rsidR="007E60D0" w:rsidRDefault="007E60D0">
            <w:pPr>
              <w:pStyle w:val="Ttulo2"/>
              <w:snapToGrid w:val="0"/>
              <w:rPr>
                <w:rFonts w:ascii="Times New Roman" w:hAnsi="Times New Roman" w:cs="Times New Roman"/>
                <w:b w:val="0"/>
                <w:bCs w:val="0"/>
                <w:i w:val="0"/>
                <w:sz w:val="22"/>
                <w:szCs w:val="22"/>
                <w:lang w:val="es-CO"/>
              </w:rPr>
            </w:pPr>
            <w:r>
              <w:rPr>
                <w:rFonts w:ascii="Times New Roman" w:hAnsi="Times New Roman" w:cs="Times New Roman"/>
                <w:b w:val="0"/>
                <w:bCs w:val="0"/>
                <w:i w:val="0"/>
                <w:sz w:val="22"/>
                <w:szCs w:val="22"/>
                <w:lang w:val="es-CO"/>
              </w:rPr>
              <w:t>Fernando Chila</w:t>
            </w:r>
          </w:p>
        </w:tc>
        <w:tc>
          <w:tcPr>
            <w:tcW w:w="2268" w:type="dxa"/>
            <w:tcBorders>
              <w:top w:val="single" w:sz="4" w:space="0" w:color="000000"/>
              <w:left w:val="single" w:sz="4" w:space="0" w:color="000000"/>
              <w:bottom w:val="single" w:sz="4" w:space="0" w:color="000000"/>
            </w:tcBorders>
            <w:shd w:val="clear" w:color="auto" w:fill="auto"/>
          </w:tcPr>
          <w:p w:rsidR="007E60D0" w:rsidRDefault="007E60D0">
            <w:pPr>
              <w:pStyle w:val="Ttulo2"/>
              <w:snapToGrid w:val="0"/>
              <w:jc w:val="center"/>
              <w:rPr>
                <w:rFonts w:ascii="Times New Roman" w:hAnsi="Times New Roman" w:cs="Times New Roman"/>
                <w:b w:val="0"/>
                <w:bCs w:val="0"/>
                <w:i w:val="0"/>
                <w:sz w:val="22"/>
                <w:szCs w:val="22"/>
                <w:lang w:val="es-CO"/>
              </w:rPr>
            </w:pPr>
            <w:r>
              <w:rPr>
                <w:rFonts w:ascii="Times New Roman" w:hAnsi="Times New Roman" w:cs="Times New Roman"/>
                <w:b w:val="0"/>
                <w:bCs w:val="0"/>
                <w:i w:val="0"/>
                <w:sz w:val="22"/>
                <w:szCs w:val="22"/>
                <w:lang w:val="es-CO"/>
              </w:rPr>
              <w:t>2006 – 303</w:t>
            </w:r>
          </w:p>
          <w:p w:rsidR="007E60D0" w:rsidRDefault="007E60D0">
            <w:pPr>
              <w:jc w:val="center"/>
              <w:rPr>
                <w:sz w:val="22"/>
                <w:szCs w:val="22"/>
              </w:rPr>
            </w:pPr>
            <w:r>
              <w:rPr>
                <w:sz w:val="22"/>
                <w:szCs w:val="22"/>
              </w:rPr>
              <w:t xml:space="preserve">R. D </w:t>
            </w:r>
          </w:p>
        </w:tc>
        <w:tc>
          <w:tcPr>
            <w:tcW w:w="4202"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both"/>
              <w:rPr>
                <w:sz w:val="22"/>
                <w:szCs w:val="22"/>
              </w:rPr>
            </w:pPr>
            <w:r>
              <w:rPr>
                <w:sz w:val="22"/>
                <w:szCs w:val="22"/>
              </w:rPr>
              <w:t xml:space="preserve">Está en etapa probatoria. </w:t>
            </w:r>
          </w:p>
        </w:tc>
      </w:tr>
      <w:tr w:rsidR="007E60D0">
        <w:tc>
          <w:tcPr>
            <w:tcW w:w="2518" w:type="dxa"/>
            <w:tcBorders>
              <w:top w:val="single" w:sz="4" w:space="0" w:color="000000"/>
              <w:left w:val="single" w:sz="4" w:space="0" w:color="000000"/>
              <w:bottom w:val="single" w:sz="4" w:space="0" w:color="000000"/>
            </w:tcBorders>
            <w:shd w:val="clear" w:color="auto" w:fill="auto"/>
          </w:tcPr>
          <w:p w:rsidR="007E60D0" w:rsidRDefault="007E60D0">
            <w:pPr>
              <w:pStyle w:val="Ttulo2"/>
              <w:snapToGrid w:val="0"/>
              <w:rPr>
                <w:rFonts w:ascii="Times New Roman" w:hAnsi="Times New Roman" w:cs="Times New Roman"/>
                <w:b w:val="0"/>
                <w:bCs w:val="0"/>
                <w:i w:val="0"/>
                <w:sz w:val="22"/>
                <w:szCs w:val="22"/>
                <w:lang w:val="es-CO"/>
              </w:rPr>
            </w:pPr>
            <w:r>
              <w:rPr>
                <w:rFonts w:ascii="Times New Roman" w:hAnsi="Times New Roman" w:cs="Times New Roman"/>
                <w:b w:val="0"/>
                <w:bCs w:val="0"/>
                <w:i w:val="0"/>
                <w:sz w:val="22"/>
                <w:szCs w:val="22"/>
                <w:lang w:val="es-CO"/>
              </w:rPr>
              <w:t xml:space="preserve">Nuevo Siglo Constructores </w:t>
            </w:r>
          </w:p>
        </w:tc>
        <w:tc>
          <w:tcPr>
            <w:tcW w:w="2268" w:type="dxa"/>
            <w:tcBorders>
              <w:top w:val="single" w:sz="4" w:space="0" w:color="000000"/>
              <w:left w:val="single" w:sz="4" w:space="0" w:color="000000"/>
              <w:bottom w:val="single" w:sz="4" w:space="0" w:color="000000"/>
            </w:tcBorders>
            <w:shd w:val="clear" w:color="auto" w:fill="auto"/>
          </w:tcPr>
          <w:p w:rsidR="007E60D0" w:rsidRDefault="007E60D0">
            <w:pPr>
              <w:pStyle w:val="Ttulo2"/>
              <w:snapToGrid w:val="0"/>
              <w:jc w:val="center"/>
              <w:rPr>
                <w:rFonts w:ascii="Times New Roman" w:hAnsi="Times New Roman" w:cs="Times New Roman"/>
                <w:b w:val="0"/>
                <w:bCs w:val="0"/>
                <w:i w:val="0"/>
                <w:sz w:val="22"/>
                <w:szCs w:val="22"/>
                <w:lang w:val="es-CO"/>
              </w:rPr>
            </w:pPr>
            <w:r>
              <w:rPr>
                <w:rFonts w:ascii="Times New Roman" w:hAnsi="Times New Roman" w:cs="Times New Roman"/>
                <w:b w:val="0"/>
                <w:bCs w:val="0"/>
                <w:i w:val="0"/>
                <w:sz w:val="22"/>
                <w:szCs w:val="22"/>
                <w:lang w:val="es-CO"/>
              </w:rPr>
              <w:t xml:space="preserve">2007 196 </w:t>
            </w:r>
          </w:p>
          <w:p w:rsidR="007E60D0" w:rsidRDefault="007E60D0">
            <w:pPr>
              <w:jc w:val="center"/>
              <w:rPr>
                <w:sz w:val="22"/>
                <w:szCs w:val="22"/>
              </w:rPr>
            </w:pPr>
            <w:r>
              <w:rPr>
                <w:sz w:val="22"/>
                <w:szCs w:val="22"/>
              </w:rPr>
              <w:t>R. D</w:t>
            </w:r>
          </w:p>
        </w:tc>
        <w:tc>
          <w:tcPr>
            <w:tcW w:w="4202"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both"/>
              <w:rPr>
                <w:sz w:val="22"/>
                <w:szCs w:val="22"/>
              </w:rPr>
            </w:pPr>
            <w:r>
              <w:rPr>
                <w:sz w:val="22"/>
                <w:szCs w:val="22"/>
              </w:rPr>
              <w:t>Al despacho para fallo</w:t>
            </w:r>
          </w:p>
        </w:tc>
      </w:tr>
      <w:tr w:rsidR="007E60D0">
        <w:tc>
          <w:tcPr>
            <w:tcW w:w="2518" w:type="dxa"/>
            <w:tcBorders>
              <w:top w:val="single" w:sz="4" w:space="0" w:color="000000"/>
              <w:left w:val="single" w:sz="4" w:space="0" w:color="000000"/>
              <w:bottom w:val="single" w:sz="4" w:space="0" w:color="000000"/>
            </w:tcBorders>
            <w:shd w:val="clear" w:color="auto" w:fill="auto"/>
          </w:tcPr>
          <w:p w:rsidR="007E60D0" w:rsidRDefault="007E60D0">
            <w:pPr>
              <w:pStyle w:val="Ttulo2"/>
              <w:snapToGrid w:val="0"/>
              <w:rPr>
                <w:rFonts w:ascii="Times New Roman" w:hAnsi="Times New Roman" w:cs="Times New Roman"/>
                <w:b w:val="0"/>
                <w:bCs w:val="0"/>
                <w:i w:val="0"/>
                <w:sz w:val="22"/>
                <w:szCs w:val="22"/>
                <w:lang w:val="es-CO"/>
              </w:rPr>
            </w:pPr>
            <w:r>
              <w:rPr>
                <w:rFonts w:ascii="Times New Roman" w:hAnsi="Times New Roman" w:cs="Times New Roman"/>
                <w:b w:val="0"/>
                <w:bCs w:val="0"/>
                <w:i w:val="0"/>
                <w:sz w:val="22"/>
                <w:szCs w:val="22"/>
                <w:lang w:val="es-CO"/>
              </w:rPr>
              <w:t>José Eulises Cerquera</w:t>
            </w:r>
          </w:p>
        </w:tc>
        <w:tc>
          <w:tcPr>
            <w:tcW w:w="2268" w:type="dxa"/>
            <w:tcBorders>
              <w:top w:val="single" w:sz="4" w:space="0" w:color="000000"/>
              <w:left w:val="single" w:sz="4" w:space="0" w:color="000000"/>
              <w:bottom w:val="single" w:sz="4" w:space="0" w:color="000000"/>
            </w:tcBorders>
            <w:shd w:val="clear" w:color="auto" w:fill="auto"/>
          </w:tcPr>
          <w:p w:rsidR="007E60D0" w:rsidRDefault="007E60D0">
            <w:pPr>
              <w:pStyle w:val="Ttulo2"/>
              <w:snapToGrid w:val="0"/>
              <w:jc w:val="center"/>
              <w:rPr>
                <w:rFonts w:ascii="Times New Roman" w:hAnsi="Times New Roman" w:cs="Times New Roman"/>
                <w:b w:val="0"/>
                <w:bCs w:val="0"/>
                <w:i w:val="0"/>
                <w:sz w:val="22"/>
                <w:szCs w:val="22"/>
                <w:lang w:val="es-CO"/>
              </w:rPr>
            </w:pPr>
            <w:r>
              <w:rPr>
                <w:rFonts w:ascii="Times New Roman" w:hAnsi="Times New Roman" w:cs="Times New Roman"/>
                <w:b w:val="0"/>
                <w:bCs w:val="0"/>
                <w:i w:val="0"/>
                <w:sz w:val="22"/>
                <w:szCs w:val="22"/>
                <w:lang w:val="es-CO"/>
              </w:rPr>
              <w:t>2010-602</w:t>
            </w:r>
          </w:p>
          <w:p w:rsidR="007E60D0" w:rsidRDefault="007E60D0">
            <w:pPr>
              <w:jc w:val="center"/>
              <w:rPr>
                <w:sz w:val="22"/>
                <w:szCs w:val="22"/>
              </w:rPr>
            </w:pPr>
            <w:r>
              <w:rPr>
                <w:sz w:val="22"/>
                <w:szCs w:val="22"/>
              </w:rPr>
              <w:t>A.P.</w:t>
            </w:r>
          </w:p>
        </w:tc>
        <w:tc>
          <w:tcPr>
            <w:tcW w:w="4202"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both"/>
              <w:rPr>
                <w:sz w:val="22"/>
                <w:szCs w:val="22"/>
              </w:rPr>
            </w:pPr>
            <w:r>
              <w:rPr>
                <w:sz w:val="22"/>
                <w:szCs w:val="22"/>
              </w:rPr>
              <w:t>El 25-08-2011 se contestó la demanda.</w:t>
            </w:r>
          </w:p>
        </w:tc>
      </w:tr>
    </w:tbl>
    <w:p w:rsidR="007E60D0" w:rsidRDefault="007E60D0">
      <w:pPr>
        <w:rPr>
          <w:lang w:val="es-CO"/>
        </w:rPr>
      </w:pPr>
    </w:p>
    <w:p w:rsidR="007E60D0" w:rsidRDefault="007E60D0">
      <w:pPr>
        <w:rPr>
          <w:b/>
          <w:sz w:val="22"/>
          <w:szCs w:val="22"/>
        </w:rPr>
      </w:pPr>
      <w:r>
        <w:rPr>
          <w:b/>
          <w:sz w:val="22"/>
          <w:szCs w:val="22"/>
        </w:rPr>
        <w:t xml:space="preserve">PROCESOS INICIADOS POR EL MUNICIPIO </w:t>
      </w:r>
    </w:p>
    <w:p w:rsidR="007E60D0" w:rsidRDefault="007E60D0">
      <w:pPr>
        <w:rPr>
          <w:b/>
          <w:sz w:val="22"/>
          <w:szCs w:val="22"/>
        </w:rPr>
      </w:pPr>
    </w:p>
    <w:tbl>
      <w:tblPr>
        <w:tblW w:w="0" w:type="auto"/>
        <w:tblInd w:w="-5" w:type="dxa"/>
        <w:tblLayout w:type="fixed"/>
        <w:tblCellMar>
          <w:left w:w="70" w:type="dxa"/>
          <w:right w:w="70" w:type="dxa"/>
        </w:tblCellMar>
        <w:tblLook w:val="0000"/>
      </w:tblPr>
      <w:tblGrid>
        <w:gridCol w:w="2480"/>
        <w:gridCol w:w="2268"/>
        <w:gridCol w:w="4263"/>
      </w:tblGrid>
      <w:tr w:rsidR="007E60D0">
        <w:trPr>
          <w:trHeight w:val="90"/>
        </w:trPr>
        <w:tc>
          <w:tcPr>
            <w:tcW w:w="2480"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b/>
                <w:bCs/>
                <w:sz w:val="22"/>
                <w:szCs w:val="22"/>
              </w:rPr>
            </w:pPr>
            <w:r>
              <w:rPr>
                <w:b/>
                <w:bCs/>
                <w:sz w:val="22"/>
                <w:szCs w:val="22"/>
              </w:rPr>
              <w:t xml:space="preserve">Demandado </w:t>
            </w:r>
          </w:p>
        </w:tc>
        <w:tc>
          <w:tcPr>
            <w:tcW w:w="2268"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b/>
                <w:bCs/>
                <w:sz w:val="22"/>
                <w:szCs w:val="22"/>
              </w:rPr>
            </w:pPr>
            <w:r>
              <w:rPr>
                <w:b/>
                <w:bCs/>
                <w:sz w:val="22"/>
                <w:szCs w:val="22"/>
              </w:rPr>
              <w:t>Rad / Acción.</w:t>
            </w:r>
          </w:p>
        </w:tc>
        <w:tc>
          <w:tcPr>
            <w:tcW w:w="4263"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center"/>
              <w:rPr>
                <w:b/>
                <w:bCs/>
                <w:sz w:val="22"/>
                <w:szCs w:val="22"/>
              </w:rPr>
            </w:pPr>
            <w:r>
              <w:rPr>
                <w:b/>
                <w:bCs/>
                <w:sz w:val="22"/>
                <w:szCs w:val="22"/>
              </w:rPr>
              <w:t>ESTADO PROCESAL</w:t>
            </w:r>
          </w:p>
        </w:tc>
      </w:tr>
      <w:tr w:rsidR="007E60D0">
        <w:trPr>
          <w:trHeight w:val="990"/>
        </w:trPr>
        <w:tc>
          <w:tcPr>
            <w:tcW w:w="2480" w:type="dxa"/>
            <w:tcBorders>
              <w:top w:val="single" w:sz="4" w:space="0" w:color="000000"/>
              <w:left w:val="single" w:sz="4" w:space="0" w:color="000000"/>
              <w:bottom w:val="single" w:sz="4" w:space="0" w:color="000000"/>
            </w:tcBorders>
            <w:shd w:val="clear" w:color="auto" w:fill="auto"/>
          </w:tcPr>
          <w:p w:rsidR="007E60D0" w:rsidRDefault="007E60D0">
            <w:pPr>
              <w:snapToGrid w:val="0"/>
              <w:rPr>
                <w:sz w:val="22"/>
                <w:szCs w:val="22"/>
              </w:rPr>
            </w:pPr>
            <w:r>
              <w:rPr>
                <w:sz w:val="22"/>
                <w:szCs w:val="22"/>
              </w:rPr>
              <w:t>Juan Antonio Carrera</w:t>
            </w:r>
          </w:p>
        </w:tc>
        <w:tc>
          <w:tcPr>
            <w:tcW w:w="2268"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sz w:val="22"/>
                <w:szCs w:val="22"/>
              </w:rPr>
            </w:pPr>
            <w:r>
              <w:rPr>
                <w:sz w:val="22"/>
                <w:szCs w:val="22"/>
              </w:rPr>
              <w:t>2003 - 303</w:t>
            </w:r>
          </w:p>
          <w:p w:rsidR="007E60D0" w:rsidRDefault="007E60D0">
            <w:pPr>
              <w:jc w:val="center"/>
              <w:rPr>
                <w:sz w:val="22"/>
                <w:szCs w:val="22"/>
              </w:rPr>
            </w:pPr>
            <w:r>
              <w:rPr>
                <w:sz w:val="22"/>
                <w:szCs w:val="22"/>
              </w:rPr>
              <w:t>Acción de Repetición</w:t>
            </w:r>
          </w:p>
        </w:tc>
        <w:tc>
          <w:tcPr>
            <w:tcW w:w="4263"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both"/>
              <w:rPr>
                <w:sz w:val="22"/>
                <w:szCs w:val="22"/>
              </w:rPr>
            </w:pPr>
            <w:r>
              <w:rPr>
                <w:sz w:val="22"/>
                <w:szCs w:val="22"/>
              </w:rPr>
              <w:t>Pasa el despacho para fallo</w:t>
            </w:r>
          </w:p>
        </w:tc>
      </w:tr>
    </w:tbl>
    <w:p w:rsidR="007E60D0" w:rsidRDefault="007E60D0">
      <w:pPr>
        <w:pStyle w:val="Ttulo3"/>
        <w:rPr>
          <w:rFonts w:ascii="Times New Roman" w:hAnsi="Times New Roman" w:cs="Times New Roman"/>
        </w:rPr>
      </w:pPr>
    </w:p>
    <w:p w:rsidR="007E60D0" w:rsidRDefault="007E60D0"/>
    <w:p w:rsidR="007E60D0" w:rsidRDefault="007E60D0">
      <w:pPr>
        <w:pStyle w:val="Ttulo3"/>
        <w:rPr>
          <w:rFonts w:ascii="Times New Roman" w:hAnsi="Times New Roman" w:cs="Times New Roman"/>
        </w:rPr>
      </w:pPr>
      <w:r>
        <w:rPr>
          <w:rFonts w:ascii="Times New Roman" w:hAnsi="Times New Roman" w:cs="Times New Roman"/>
        </w:rPr>
        <w:t>JUZGADO PRIMERO ADMINISTRATIVO DE NEIVA</w:t>
      </w:r>
    </w:p>
    <w:p w:rsidR="007E60D0" w:rsidRDefault="007E60D0">
      <w:pPr>
        <w:rPr>
          <w:b/>
          <w:sz w:val="22"/>
          <w:szCs w:val="22"/>
        </w:rPr>
      </w:pPr>
    </w:p>
    <w:tbl>
      <w:tblPr>
        <w:tblW w:w="0" w:type="auto"/>
        <w:tblInd w:w="70" w:type="dxa"/>
        <w:tblLayout w:type="fixed"/>
        <w:tblCellMar>
          <w:left w:w="70" w:type="dxa"/>
          <w:right w:w="70" w:type="dxa"/>
        </w:tblCellMar>
        <w:tblLook w:val="0000"/>
      </w:tblPr>
      <w:tblGrid>
        <w:gridCol w:w="2541"/>
        <w:gridCol w:w="2268"/>
        <w:gridCol w:w="4310"/>
      </w:tblGrid>
      <w:tr w:rsidR="007E60D0">
        <w:trPr>
          <w:trHeight w:val="750"/>
        </w:trPr>
        <w:tc>
          <w:tcPr>
            <w:tcW w:w="2541" w:type="dxa"/>
            <w:vMerge w:val="restart"/>
            <w:tcBorders>
              <w:top w:val="single" w:sz="8" w:space="0" w:color="000000"/>
              <w:left w:val="single" w:sz="8" w:space="0" w:color="000000"/>
              <w:bottom w:val="single" w:sz="8" w:space="0" w:color="000000"/>
            </w:tcBorders>
            <w:shd w:val="clear" w:color="auto" w:fill="auto"/>
          </w:tcPr>
          <w:p w:rsidR="007E60D0" w:rsidRDefault="007E60D0">
            <w:pPr>
              <w:snapToGrid w:val="0"/>
              <w:rPr>
                <w:color w:val="000000"/>
                <w:sz w:val="22"/>
                <w:szCs w:val="22"/>
              </w:rPr>
            </w:pPr>
            <w:r>
              <w:rPr>
                <w:color w:val="000000"/>
                <w:sz w:val="22"/>
                <w:szCs w:val="22"/>
              </w:rPr>
              <w:t xml:space="preserve">Diana Patricia Sandoval </w:t>
            </w:r>
          </w:p>
        </w:tc>
        <w:tc>
          <w:tcPr>
            <w:tcW w:w="2268" w:type="dxa"/>
            <w:tcBorders>
              <w:top w:val="single" w:sz="8" w:space="0" w:color="000000"/>
              <w:left w:val="single" w:sz="8" w:space="0" w:color="000000"/>
            </w:tcBorders>
            <w:shd w:val="clear" w:color="auto" w:fill="auto"/>
          </w:tcPr>
          <w:p w:rsidR="007E60D0" w:rsidRDefault="007E60D0">
            <w:pPr>
              <w:snapToGrid w:val="0"/>
              <w:jc w:val="center"/>
              <w:rPr>
                <w:color w:val="000000"/>
                <w:sz w:val="22"/>
                <w:szCs w:val="22"/>
              </w:rPr>
            </w:pPr>
            <w:r>
              <w:rPr>
                <w:color w:val="000000"/>
                <w:sz w:val="22"/>
                <w:szCs w:val="22"/>
              </w:rPr>
              <w:t xml:space="preserve">2006 – 035 </w:t>
            </w:r>
          </w:p>
        </w:tc>
        <w:tc>
          <w:tcPr>
            <w:tcW w:w="4310" w:type="dxa"/>
            <w:vMerge w:val="restart"/>
            <w:tcBorders>
              <w:top w:val="single" w:sz="8" w:space="0" w:color="000000"/>
              <w:left w:val="single" w:sz="8" w:space="0" w:color="000000"/>
              <w:bottom w:val="single" w:sz="8" w:space="0" w:color="000000"/>
              <w:right w:val="single" w:sz="8" w:space="0" w:color="000000"/>
            </w:tcBorders>
            <w:shd w:val="clear" w:color="auto" w:fill="auto"/>
          </w:tcPr>
          <w:p w:rsidR="007E60D0" w:rsidRDefault="007E60D0">
            <w:pPr>
              <w:snapToGrid w:val="0"/>
              <w:jc w:val="both"/>
              <w:rPr>
                <w:color w:val="000000"/>
                <w:sz w:val="22"/>
                <w:szCs w:val="22"/>
              </w:rPr>
            </w:pPr>
            <w:r>
              <w:rPr>
                <w:color w:val="000000"/>
                <w:sz w:val="22"/>
                <w:szCs w:val="22"/>
              </w:rPr>
              <w:t>Están todas las pruebas recaudadas. El actor solicitó alegatos</w:t>
            </w:r>
          </w:p>
        </w:tc>
      </w:tr>
      <w:tr w:rsidR="007E60D0">
        <w:trPr>
          <w:trHeight w:val="315"/>
        </w:trPr>
        <w:tc>
          <w:tcPr>
            <w:tcW w:w="2541" w:type="dxa"/>
            <w:vMerge/>
            <w:tcBorders>
              <w:top w:val="single" w:sz="8" w:space="0" w:color="000000"/>
              <w:left w:val="single" w:sz="8" w:space="0" w:color="000000"/>
              <w:bottom w:val="single" w:sz="8" w:space="0" w:color="000000"/>
            </w:tcBorders>
            <w:shd w:val="clear" w:color="auto" w:fill="auto"/>
            <w:vAlign w:val="center"/>
          </w:tcPr>
          <w:p w:rsidR="007E60D0" w:rsidRDefault="007E60D0">
            <w:pPr>
              <w:snapToGrid w:val="0"/>
              <w:rPr>
                <w:color w:val="000000"/>
                <w:sz w:val="22"/>
                <w:szCs w:val="22"/>
              </w:rPr>
            </w:pPr>
          </w:p>
        </w:tc>
        <w:tc>
          <w:tcPr>
            <w:tcW w:w="2268" w:type="dxa"/>
            <w:tcBorders>
              <w:left w:val="single" w:sz="8" w:space="0" w:color="000000"/>
              <w:bottom w:val="single" w:sz="8" w:space="0" w:color="000000"/>
            </w:tcBorders>
            <w:shd w:val="clear" w:color="auto" w:fill="auto"/>
          </w:tcPr>
          <w:p w:rsidR="007E60D0" w:rsidRDefault="007E60D0">
            <w:pPr>
              <w:snapToGrid w:val="0"/>
              <w:jc w:val="center"/>
              <w:rPr>
                <w:color w:val="000000"/>
                <w:sz w:val="22"/>
                <w:szCs w:val="22"/>
              </w:rPr>
            </w:pPr>
            <w:r>
              <w:rPr>
                <w:color w:val="000000"/>
                <w:sz w:val="22"/>
                <w:szCs w:val="22"/>
              </w:rPr>
              <w:t>A. N. R. D</w:t>
            </w:r>
          </w:p>
        </w:tc>
        <w:tc>
          <w:tcPr>
            <w:tcW w:w="4310" w:type="dxa"/>
            <w:vMerge/>
            <w:tcBorders>
              <w:top w:val="single" w:sz="8" w:space="0" w:color="000000"/>
              <w:left w:val="single" w:sz="8" w:space="0" w:color="000000"/>
              <w:bottom w:val="single" w:sz="8" w:space="0" w:color="000000"/>
              <w:right w:val="single" w:sz="8" w:space="0" w:color="000000"/>
            </w:tcBorders>
            <w:shd w:val="clear" w:color="auto" w:fill="auto"/>
            <w:vAlign w:val="center"/>
          </w:tcPr>
          <w:p w:rsidR="007E60D0" w:rsidRDefault="007E60D0">
            <w:pPr>
              <w:snapToGrid w:val="0"/>
              <w:jc w:val="both"/>
              <w:rPr>
                <w:color w:val="000000"/>
                <w:sz w:val="22"/>
                <w:szCs w:val="22"/>
              </w:rPr>
            </w:pPr>
          </w:p>
        </w:tc>
      </w:tr>
      <w:tr w:rsidR="007E60D0">
        <w:trPr>
          <w:trHeight w:val="900"/>
        </w:trPr>
        <w:tc>
          <w:tcPr>
            <w:tcW w:w="2541" w:type="dxa"/>
            <w:vMerge w:val="restart"/>
            <w:tcBorders>
              <w:left w:val="single" w:sz="8" w:space="0" w:color="000000"/>
              <w:bottom w:val="single" w:sz="8" w:space="0" w:color="000000"/>
            </w:tcBorders>
            <w:shd w:val="clear" w:color="auto" w:fill="auto"/>
          </w:tcPr>
          <w:p w:rsidR="007E60D0" w:rsidRDefault="007E60D0">
            <w:pPr>
              <w:snapToGrid w:val="0"/>
              <w:rPr>
                <w:color w:val="000000"/>
                <w:sz w:val="22"/>
                <w:szCs w:val="22"/>
              </w:rPr>
            </w:pPr>
            <w:r>
              <w:rPr>
                <w:color w:val="000000"/>
                <w:sz w:val="22"/>
                <w:szCs w:val="22"/>
              </w:rPr>
              <w:t xml:space="preserve">Fernando Lozada </w:t>
            </w:r>
          </w:p>
        </w:tc>
        <w:tc>
          <w:tcPr>
            <w:tcW w:w="2268" w:type="dxa"/>
            <w:tcBorders>
              <w:left w:val="single" w:sz="8" w:space="0" w:color="000000"/>
            </w:tcBorders>
            <w:shd w:val="clear" w:color="auto" w:fill="auto"/>
          </w:tcPr>
          <w:p w:rsidR="007E60D0" w:rsidRDefault="007E60D0">
            <w:pPr>
              <w:snapToGrid w:val="0"/>
              <w:jc w:val="center"/>
              <w:rPr>
                <w:color w:val="000000"/>
                <w:sz w:val="22"/>
                <w:szCs w:val="22"/>
              </w:rPr>
            </w:pPr>
            <w:r>
              <w:rPr>
                <w:color w:val="000000"/>
                <w:sz w:val="22"/>
                <w:szCs w:val="22"/>
              </w:rPr>
              <w:t xml:space="preserve">2006 – 051 </w:t>
            </w:r>
          </w:p>
        </w:tc>
        <w:tc>
          <w:tcPr>
            <w:tcW w:w="4310" w:type="dxa"/>
            <w:vMerge w:val="restart"/>
            <w:tcBorders>
              <w:left w:val="single" w:sz="8" w:space="0" w:color="000000"/>
              <w:bottom w:val="single" w:sz="8" w:space="0" w:color="000000"/>
              <w:right w:val="single" w:sz="8" w:space="0" w:color="000000"/>
            </w:tcBorders>
            <w:shd w:val="clear" w:color="auto" w:fill="auto"/>
          </w:tcPr>
          <w:p w:rsidR="007E60D0" w:rsidRDefault="007E60D0">
            <w:pPr>
              <w:snapToGrid w:val="0"/>
              <w:jc w:val="both"/>
              <w:rPr>
                <w:color w:val="000000"/>
                <w:sz w:val="22"/>
                <w:szCs w:val="22"/>
              </w:rPr>
            </w:pPr>
            <w:r>
              <w:rPr>
                <w:color w:val="000000"/>
                <w:sz w:val="22"/>
                <w:szCs w:val="22"/>
              </w:rPr>
              <w:t>Están todas las pruebas recaudadas. El actor solicitó alegatos. El 26-09-2011 se presentó alegatos de conclusión.</w:t>
            </w:r>
          </w:p>
        </w:tc>
      </w:tr>
      <w:tr w:rsidR="007E60D0">
        <w:trPr>
          <w:trHeight w:val="315"/>
        </w:trPr>
        <w:tc>
          <w:tcPr>
            <w:tcW w:w="2541" w:type="dxa"/>
            <w:vMerge/>
            <w:tcBorders>
              <w:left w:val="single" w:sz="8" w:space="0" w:color="000000"/>
              <w:bottom w:val="single" w:sz="8" w:space="0" w:color="000000"/>
            </w:tcBorders>
            <w:shd w:val="clear" w:color="auto" w:fill="auto"/>
            <w:vAlign w:val="center"/>
          </w:tcPr>
          <w:p w:rsidR="007E60D0" w:rsidRDefault="007E60D0">
            <w:pPr>
              <w:snapToGrid w:val="0"/>
              <w:rPr>
                <w:color w:val="000000"/>
                <w:sz w:val="22"/>
                <w:szCs w:val="22"/>
              </w:rPr>
            </w:pPr>
          </w:p>
        </w:tc>
        <w:tc>
          <w:tcPr>
            <w:tcW w:w="2268" w:type="dxa"/>
            <w:tcBorders>
              <w:left w:val="single" w:sz="8" w:space="0" w:color="000000"/>
              <w:bottom w:val="single" w:sz="8" w:space="0" w:color="000000"/>
            </w:tcBorders>
            <w:shd w:val="clear" w:color="auto" w:fill="auto"/>
          </w:tcPr>
          <w:p w:rsidR="007E60D0" w:rsidRDefault="007E60D0">
            <w:pPr>
              <w:snapToGrid w:val="0"/>
              <w:jc w:val="center"/>
              <w:rPr>
                <w:color w:val="000000"/>
                <w:sz w:val="22"/>
                <w:szCs w:val="22"/>
              </w:rPr>
            </w:pPr>
            <w:r>
              <w:rPr>
                <w:color w:val="000000"/>
                <w:sz w:val="22"/>
                <w:szCs w:val="22"/>
              </w:rPr>
              <w:t>A. N. R. D</w:t>
            </w:r>
          </w:p>
        </w:tc>
        <w:tc>
          <w:tcPr>
            <w:tcW w:w="4310" w:type="dxa"/>
            <w:vMerge/>
            <w:tcBorders>
              <w:left w:val="single" w:sz="8" w:space="0" w:color="000000"/>
              <w:bottom w:val="single" w:sz="8" w:space="0" w:color="000000"/>
              <w:right w:val="single" w:sz="8" w:space="0" w:color="000000"/>
            </w:tcBorders>
            <w:shd w:val="clear" w:color="auto" w:fill="auto"/>
            <w:vAlign w:val="center"/>
          </w:tcPr>
          <w:p w:rsidR="007E60D0" w:rsidRDefault="007E60D0">
            <w:pPr>
              <w:snapToGrid w:val="0"/>
              <w:jc w:val="both"/>
              <w:rPr>
                <w:color w:val="000000"/>
                <w:sz w:val="22"/>
                <w:szCs w:val="22"/>
              </w:rPr>
            </w:pPr>
          </w:p>
        </w:tc>
      </w:tr>
      <w:tr w:rsidR="007E60D0">
        <w:trPr>
          <w:trHeight w:val="600"/>
        </w:trPr>
        <w:tc>
          <w:tcPr>
            <w:tcW w:w="2541" w:type="dxa"/>
            <w:vMerge w:val="restart"/>
            <w:tcBorders>
              <w:left w:val="single" w:sz="8" w:space="0" w:color="000000"/>
              <w:bottom w:val="single" w:sz="8" w:space="0" w:color="000000"/>
            </w:tcBorders>
            <w:shd w:val="clear" w:color="auto" w:fill="auto"/>
          </w:tcPr>
          <w:p w:rsidR="007E60D0" w:rsidRDefault="007E60D0">
            <w:pPr>
              <w:snapToGrid w:val="0"/>
              <w:rPr>
                <w:color w:val="000000"/>
                <w:sz w:val="22"/>
                <w:szCs w:val="22"/>
              </w:rPr>
            </w:pPr>
            <w:r>
              <w:rPr>
                <w:color w:val="000000"/>
                <w:sz w:val="22"/>
                <w:szCs w:val="22"/>
              </w:rPr>
              <w:t>María Nelly Bahamon</w:t>
            </w:r>
          </w:p>
        </w:tc>
        <w:tc>
          <w:tcPr>
            <w:tcW w:w="2268" w:type="dxa"/>
            <w:tcBorders>
              <w:left w:val="single" w:sz="8" w:space="0" w:color="000000"/>
            </w:tcBorders>
            <w:shd w:val="clear" w:color="auto" w:fill="auto"/>
          </w:tcPr>
          <w:p w:rsidR="007E60D0" w:rsidRDefault="007E60D0">
            <w:pPr>
              <w:snapToGrid w:val="0"/>
              <w:jc w:val="center"/>
              <w:rPr>
                <w:color w:val="000000"/>
                <w:sz w:val="22"/>
                <w:szCs w:val="22"/>
              </w:rPr>
            </w:pPr>
            <w:r>
              <w:rPr>
                <w:color w:val="000000"/>
                <w:sz w:val="22"/>
                <w:szCs w:val="22"/>
              </w:rPr>
              <w:t xml:space="preserve">2006 – 050 </w:t>
            </w:r>
          </w:p>
        </w:tc>
        <w:tc>
          <w:tcPr>
            <w:tcW w:w="4310" w:type="dxa"/>
            <w:vMerge w:val="restart"/>
            <w:tcBorders>
              <w:left w:val="single" w:sz="8" w:space="0" w:color="000000"/>
              <w:bottom w:val="single" w:sz="8" w:space="0" w:color="000000"/>
              <w:right w:val="single" w:sz="8" w:space="0" w:color="000000"/>
            </w:tcBorders>
            <w:shd w:val="clear" w:color="auto" w:fill="auto"/>
          </w:tcPr>
          <w:p w:rsidR="007E60D0" w:rsidRDefault="007E60D0">
            <w:pPr>
              <w:snapToGrid w:val="0"/>
              <w:jc w:val="both"/>
              <w:rPr>
                <w:color w:val="000000"/>
                <w:sz w:val="22"/>
                <w:szCs w:val="22"/>
              </w:rPr>
            </w:pPr>
            <w:r>
              <w:rPr>
                <w:color w:val="000000"/>
                <w:sz w:val="22"/>
                <w:szCs w:val="22"/>
              </w:rPr>
              <w:t>Falló a favor del municipio. El 26/04/2011 auto concede recurso de Apelación.</w:t>
            </w:r>
          </w:p>
        </w:tc>
      </w:tr>
      <w:tr w:rsidR="007E60D0">
        <w:trPr>
          <w:trHeight w:val="315"/>
        </w:trPr>
        <w:tc>
          <w:tcPr>
            <w:tcW w:w="2541" w:type="dxa"/>
            <w:vMerge/>
            <w:tcBorders>
              <w:left w:val="single" w:sz="8" w:space="0" w:color="000000"/>
              <w:bottom w:val="single" w:sz="8" w:space="0" w:color="000000"/>
            </w:tcBorders>
            <w:shd w:val="clear" w:color="auto" w:fill="auto"/>
            <w:vAlign w:val="center"/>
          </w:tcPr>
          <w:p w:rsidR="007E60D0" w:rsidRDefault="007E60D0">
            <w:pPr>
              <w:snapToGrid w:val="0"/>
              <w:rPr>
                <w:color w:val="000000"/>
                <w:sz w:val="22"/>
                <w:szCs w:val="22"/>
              </w:rPr>
            </w:pPr>
          </w:p>
        </w:tc>
        <w:tc>
          <w:tcPr>
            <w:tcW w:w="2268" w:type="dxa"/>
            <w:tcBorders>
              <w:left w:val="single" w:sz="8" w:space="0" w:color="000000"/>
              <w:bottom w:val="single" w:sz="8" w:space="0" w:color="000000"/>
            </w:tcBorders>
            <w:shd w:val="clear" w:color="auto" w:fill="auto"/>
          </w:tcPr>
          <w:p w:rsidR="007E60D0" w:rsidRDefault="007E60D0">
            <w:pPr>
              <w:snapToGrid w:val="0"/>
              <w:jc w:val="center"/>
              <w:rPr>
                <w:color w:val="000000"/>
                <w:sz w:val="22"/>
                <w:szCs w:val="22"/>
              </w:rPr>
            </w:pPr>
            <w:r>
              <w:rPr>
                <w:color w:val="000000"/>
                <w:sz w:val="22"/>
                <w:szCs w:val="22"/>
              </w:rPr>
              <w:t>A. N. R. D</w:t>
            </w:r>
          </w:p>
        </w:tc>
        <w:tc>
          <w:tcPr>
            <w:tcW w:w="4310" w:type="dxa"/>
            <w:vMerge/>
            <w:tcBorders>
              <w:left w:val="single" w:sz="8" w:space="0" w:color="000000"/>
              <w:bottom w:val="single" w:sz="8" w:space="0" w:color="000000"/>
              <w:right w:val="single" w:sz="8" w:space="0" w:color="000000"/>
            </w:tcBorders>
            <w:shd w:val="clear" w:color="auto" w:fill="auto"/>
            <w:vAlign w:val="center"/>
          </w:tcPr>
          <w:p w:rsidR="007E60D0" w:rsidRDefault="007E60D0">
            <w:pPr>
              <w:snapToGrid w:val="0"/>
              <w:jc w:val="both"/>
              <w:rPr>
                <w:color w:val="000000"/>
                <w:sz w:val="22"/>
                <w:szCs w:val="22"/>
              </w:rPr>
            </w:pPr>
          </w:p>
        </w:tc>
      </w:tr>
      <w:tr w:rsidR="007E60D0">
        <w:trPr>
          <w:trHeight w:val="300"/>
        </w:trPr>
        <w:tc>
          <w:tcPr>
            <w:tcW w:w="2541" w:type="dxa"/>
            <w:vMerge w:val="restart"/>
            <w:tcBorders>
              <w:left w:val="single" w:sz="8" w:space="0" w:color="000000"/>
              <w:bottom w:val="single" w:sz="8" w:space="0" w:color="000000"/>
            </w:tcBorders>
            <w:shd w:val="clear" w:color="auto" w:fill="auto"/>
          </w:tcPr>
          <w:p w:rsidR="007E60D0" w:rsidRDefault="007E60D0">
            <w:pPr>
              <w:snapToGrid w:val="0"/>
              <w:rPr>
                <w:color w:val="000000"/>
                <w:sz w:val="22"/>
                <w:szCs w:val="22"/>
              </w:rPr>
            </w:pPr>
            <w:r>
              <w:rPr>
                <w:color w:val="000000"/>
                <w:sz w:val="22"/>
                <w:szCs w:val="22"/>
              </w:rPr>
              <w:t xml:space="preserve">Jacqueline Rojas </w:t>
            </w:r>
          </w:p>
        </w:tc>
        <w:tc>
          <w:tcPr>
            <w:tcW w:w="2268" w:type="dxa"/>
            <w:tcBorders>
              <w:left w:val="single" w:sz="8" w:space="0" w:color="000000"/>
            </w:tcBorders>
            <w:shd w:val="clear" w:color="auto" w:fill="auto"/>
          </w:tcPr>
          <w:p w:rsidR="007E60D0" w:rsidRDefault="007E60D0">
            <w:pPr>
              <w:snapToGrid w:val="0"/>
              <w:jc w:val="center"/>
              <w:rPr>
                <w:color w:val="000000"/>
                <w:sz w:val="22"/>
                <w:szCs w:val="22"/>
              </w:rPr>
            </w:pPr>
            <w:r>
              <w:rPr>
                <w:color w:val="000000"/>
                <w:sz w:val="22"/>
                <w:szCs w:val="22"/>
              </w:rPr>
              <w:t xml:space="preserve">2006 – 030 </w:t>
            </w:r>
          </w:p>
        </w:tc>
        <w:tc>
          <w:tcPr>
            <w:tcW w:w="4310" w:type="dxa"/>
            <w:vMerge w:val="restart"/>
            <w:tcBorders>
              <w:left w:val="single" w:sz="8" w:space="0" w:color="000000"/>
              <w:bottom w:val="single" w:sz="8" w:space="0" w:color="000000"/>
              <w:right w:val="single" w:sz="8" w:space="0" w:color="000000"/>
            </w:tcBorders>
            <w:shd w:val="clear" w:color="auto" w:fill="auto"/>
          </w:tcPr>
          <w:p w:rsidR="007E60D0" w:rsidRDefault="007E60D0">
            <w:pPr>
              <w:snapToGrid w:val="0"/>
              <w:jc w:val="both"/>
              <w:rPr>
                <w:color w:val="000000"/>
                <w:sz w:val="22"/>
                <w:szCs w:val="22"/>
              </w:rPr>
            </w:pPr>
            <w:r>
              <w:rPr>
                <w:color w:val="000000"/>
                <w:sz w:val="22"/>
                <w:szCs w:val="22"/>
              </w:rPr>
              <w:t xml:space="preserve">Al despacho para fallo. </w:t>
            </w:r>
          </w:p>
        </w:tc>
      </w:tr>
      <w:tr w:rsidR="007E60D0">
        <w:trPr>
          <w:trHeight w:val="315"/>
        </w:trPr>
        <w:tc>
          <w:tcPr>
            <w:tcW w:w="2541" w:type="dxa"/>
            <w:vMerge/>
            <w:tcBorders>
              <w:left w:val="single" w:sz="8" w:space="0" w:color="000000"/>
              <w:bottom w:val="single" w:sz="4" w:space="0" w:color="000000"/>
            </w:tcBorders>
            <w:shd w:val="clear" w:color="auto" w:fill="auto"/>
            <w:vAlign w:val="center"/>
          </w:tcPr>
          <w:p w:rsidR="007E60D0" w:rsidRDefault="007E60D0">
            <w:pPr>
              <w:snapToGrid w:val="0"/>
              <w:rPr>
                <w:color w:val="000000"/>
                <w:sz w:val="22"/>
                <w:szCs w:val="22"/>
              </w:rPr>
            </w:pPr>
          </w:p>
        </w:tc>
        <w:tc>
          <w:tcPr>
            <w:tcW w:w="2268" w:type="dxa"/>
            <w:tcBorders>
              <w:left w:val="single" w:sz="8" w:space="0" w:color="000000"/>
              <w:bottom w:val="single" w:sz="4" w:space="0" w:color="000000"/>
            </w:tcBorders>
            <w:shd w:val="clear" w:color="auto" w:fill="auto"/>
          </w:tcPr>
          <w:p w:rsidR="007E60D0" w:rsidRDefault="007E60D0">
            <w:pPr>
              <w:snapToGrid w:val="0"/>
              <w:jc w:val="center"/>
              <w:rPr>
                <w:color w:val="000000"/>
                <w:sz w:val="22"/>
                <w:szCs w:val="22"/>
              </w:rPr>
            </w:pPr>
            <w:r>
              <w:rPr>
                <w:color w:val="000000"/>
                <w:sz w:val="22"/>
                <w:szCs w:val="22"/>
              </w:rPr>
              <w:t>A. N. R. D</w:t>
            </w:r>
          </w:p>
        </w:tc>
        <w:tc>
          <w:tcPr>
            <w:tcW w:w="4310" w:type="dxa"/>
            <w:vMerge/>
            <w:tcBorders>
              <w:left w:val="single" w:sz="8" w:space="0" w:color="000000"/>
              <w:bottom w:val="single" w:sz="4" w:space="0" w:color="000000"/>
              <w:right w:val="single" w:sz="8" w:space="0" w:color="000000"/>
            </w:tcBorders>
            <w:shd w:val="clear" w:color="auto" w:fill="auto"/>
            <w:vAlign w:val="center"/>
          </w:tcPr>
          <w:p w:rsidR="007E60D0" w:rsidRDefault="007E60D0">
            <w:pPr>
              <w:snapToGrid w:val="0"/>
              <w:jc w:val="both"/>
              <w:rPr>
                <w:color w:val="000000"/>
                <w:sz w:val="22"/>
                <w:szCs w:val="22"/>
              </w:rPr>
            </w:pPr>
          </w:p>
        </w:tc>
      </w:tr>
      <w:tr w:rsidR="007E60D0">
        <w:trPr>
          <w:trHeight w:val="900"/>
        </w:trPr>
        <w:tc>
          <w:tcPr>
            <w:tcW w:w="2541" w:type="dxa"/>
            <w:vMerge w:val="restart"/>
            <w:tcBorders>
              <w:top w:val="single" w:sz="4" w:space="0" w:color="000000"/>
              <w:left w:val="single" w:sz="8" w:space="0" w:color="000000"/>
              <w:bottom w:val="single" w:sz="8" w:space="0" w:color="000000"/>
            </w:tcBorders>
            <w:shd w:val="clear" w:color="auto" w:fill="auto"/>
          </w:tcPr>
          <w:p w:rsidR="007E60D0" w:rsidRDefault="007E60D0">
            <w:pPr>
              <w:snapToGrid w:val="0"/>
              <w:rPr>
                <w:color w:val="000000"/>
                <w:sz w:val="22"/>
                <w:szCs w:val="22"/>
              </w:rPr>
            </w:pPr>
            <w:r>
              <w:rPr>
                <w:color w:val="000000"/>
                <w:sz w:val="22"/>
                <w:szCs w:val="22"/>
              </w:rPr>
              <w:t xml:space="preserve">Rosalbina Canacue </w:t>
            </w:r>
          </w:p>
        </w:tc>
        <w:tc>
          <w:tcPr>
            <w:tcW w:w="2268" w:type="dxa"/>
            <w:tcBorders>
              <w:top w:val="single" w:sz="4" w:space="0" w:color="000000"/>
              <w:left w:val="single" w:sz="8" w:space="0" w:color="000000"/>
            </w:tcBorders>
            <w:shd w:val="clear" w:color="auto" w:fill="auto"/>
          </w:tcPr>
          <w:p w:rsidR="007E60D0" w:rsidRDefault="007E60D0">
            <w:pPr>
              <w:snapToGrid w:val="0"/>
              <w:jc w:val="center"/>
              <w:rPr>
                <w:color w:val="000000"/>
                <w:sz w:val="22"/>
                <w:szCs w:val="22"/>
              </w:rPr>
            </w:pPr>
            <w:r>
              <w:rPr>
                <w:color w:val="000000"/>
                <w:sz w:val="22"/>
                <w:szCs w:val="22"/>
              </w:rPr>
              <w:t xml:space="preserve">2006 – 028 </w:t>
            </w:r>
          </w:p>
        </w:tc>
        <w:tc>
          <w:tcPr>
            <w:tcW w:w="4310" w:type="dxa"/>
            <w:vMerge w:val="restart"/>
            <w:tcBorders>
              <w:top w:val="single" w:sz="4" w:space="0" w:color="000000"/>
              <w:left w:val="single" w:sz="8" w:space="0" w:color="000000"/>
              <w:bottom w:val="single" w:sz="8" w:space="0" w:color="000000"/>
              <w:right w:val="single" w:sz="8" w:space="0" w:color="000000"/>
            </w:tcBorders>
            <w:shd w:val="clear" w:color="auto" w:fill="auto"/>
          </w:tcPr>
          <w:p w:rsidR="007E60D0" w:rsidRDefault="007E60D0">
            <w:pPr>
              <w:snapToGrid w:val="0"/>
              <w:jc w:val="both"/>
              <w:rPr>
                <w:color w:val="000000"/>
                <w:sz w:val="22"/>
                <w:szCs w:val="22"/>
              </w:rPr>
            </w:pPr>
            <w:r>
              <w:rPr>
                <w:color w:val="000000"/>
                <w:sz w:val="22"/>
                <w:szCs w:val="22"/>
              </w:rPr>
              <w:t>Se presentaron alegatos de conclusión el 23-02-2011. El 30-06-2011 se Profirió fallo a favor del municipio.</w:t>
            </w:r>
          </w:p>
        </w:tc>
      </w:tr>
      <w:tr w:rsidR="007E60D0">
        <w:trPr>
          <w:trHeight w:val="315"/>
        </w:trPr>
        <w:tc>
          <w:tcPr>
            <w:tcW w:w="2541" w:type="dxa"/>
            <w:vMerge/>
            <w:tcBorders>
              <w:left w:val="single" w:sz="8" w:space="0" w:color="000000"/>
              <w:bottom w:val="single" w:sz="8" w:space="0" w:color="000000"/>
            </w:tcBorders>
            <w:shd w:val="clear" w:color="auto" w:fill="auto"/>
            <w:vAlign w:val="center"/>
          </w:tcPr>
          <w:p w:rsidR="007E60D0" w:rsidRDefault="007E60D0">
            <w:pPr>
              <w:snapToGrid w:val="0"/>
              <w:rPr>
                <w:color w:val="000000"/>
                <w:sz w:val="22"/>
                <w:szCs w:val="22"/>
              </w:rPr>
            </w:pPr>
          </w:p>
        </w:tc>
        <w:tc>
          <w:tcPr>
            <w:tcW w:w="2268" w:type="dxa"/>
            <w:tcBorders>
              <w:left w:val="single" w:sz="8" w:space="0" w:color="000000"/>
              <w:bottom w:val="single" w:sz="8" w:space="0" w:color="000000"/>
            </w:tcBorders>
            <w:shd w:val="clear" w:color="auto" w:fill="auto"/>
          </w:tcPr>
          <w:p w:rsidR="007E60D0" w:rsidRDefault="007E60D0">
            <w:pPr>
              <w:snapToGrid w:val="0"/>
              <w:jc w:val="center"/>
              <w:rPr>
                <w:color w:val="000000"/>
                <w:sz w:val="22"/>
                <w:szCs w:val="22"/>
              </w:rPr>
            </w:pPr>
            <w:r>
              <w:rPr>
                <w:color w:val="000000"/>
                <w:sz w:val="22"/>
                <w:szCs w:val="22"/>
              </w:rPr>
              <w:t>A. N. R. D</w:t>
            </w:r>
          </w:p>
        </w:tc>
        <w:tc>
          <w:tcPr>
            <w:tcW w:w="4310" w:type="dxa"/>
            <w:vMerge/>
            <w:tcBorders>
              <w:left w:val="single" w:sz="8" w:space="0" w:color="000000"/>
              <w:bottom w:val="single" w:sz="8" w:space="0" w:color="000000"/>
              <w:right w:val="single" w:sz="8" w:space="0" w:color="000000"/>
            </w:tcBorders>
            <w:shd w:val="clear" w:color="auto" w:fill="auto"/>
            <w:vAlign w:val="center"/>
          </w:tcPr>
          <w:p w:rsidR="007E60D0" w:rsidRDefault="007E60D0">
            <w:pPr>
              <w:snapToGrid w:val="0"/>
              <w:jc w:val="both"/>
              <w:rPr>
                <w:color w:val="000000"/>
                <w:sz w:val="22"/>
                <w:szCs w:val="22"/>
              </w:rPr>
            </w:pPr>
          </w:p>
        </w:tc>
      </w:tr>
      <w:tr w:rsidR="007E60D0">
        <w:trPr>
          <w:trHeight w:val="585"/>
        </w:trPr>
        <w:tc>
          <w:tcPr>
            <w:tcW w:w="2541" w:type="dxa"/>
            <w:vMerge w:val="restart"/>
            <w:tcBorders>
              <w:left w:val="single" w:sz="8" w:space="0" w:color="000000"/>
              <w:bottom w:val="single" w:sz="8" w:space="0" w:color="000000"/>
            </w:tcBorders>
            <w:shd w:val="clear" w:color="auto" w:fill="auto"/>
          </w:tcPr>
          <w:p w:rsidR="007E60D0" w:rsidRDefault="007E60D0">
            <w:pPr>
              <w:snapToGrid w:val="0"/>
              <w:rPr>
                <w:color w:val="000000"/>
                <w:sz w:val="22"/>
                <w:szCs w:val="22"/>
              </w:rPr>
            </w:pPr>
            <w:r>
              <w:rPr>
                <w:color w:val="000000"/>
                <w:sz w:val="22"/>
                <w:szCs w:val="22"/>
              </w:rPr>
              <w:t xml:space="preserve">Yeimy Francisca Silva Bonilla </w:t>
            </w:r>
          </w:p>
        </w:tc>
        <w:tc>
          <w:tcPr>
            <w:tcW w:w="2268" w:type="dxa"/>
            <w:tcBorders>
              <w:left w:val="single" w:sz="8" w:space="0" w:color="000000"/>
            </w:tcBorders>
            <w:shd w:val="clear" w:color="auto" w:fill="auto"/>
          </w:tcPr>
          <w:p w:rsidR="007E60D0" w:rsidRDefault="007E60D0">
            <w:pPr>
              <w:snapToGrid w:val="0"/>
              <w:jc w:val="center"/>
              <w:rPr>
                <w:color w:val="000000"/>
                <w:sz w:val="22"/>
                <w:szCs w:val="22"/>
              </w:rPr>
            </w:pPr>
            <w:r>
              <w:rPr>
                <w:color w:val="000000"/>
                <w:sz w:val="22"/>
                <w:szCs w:val="22"/>
              </w:rPr>
              <w:t>2006 – 052</w:t>
            </w:r>
          </w:p>
        </w:tc>
        <w:tc>
          <w:tcPr>
            <w:tcW w:w="4310" w:type="dxa"/>
            <w:vMerge w:val="restart"/>
            <w:tcBorders>
              <w:left w:val="single" w:sz="8" w:space="0" w:color="000000"/>
              <w:bottom w:val="single" w:sz="8" w:space="0" w:color="000000"/>
              <w:right w:val="single" w:sz="8" w:space="0" w:color="000000"/>
            </w:tcBorders>
            <w:shd w:val="clear" w:color="auto" w:fill="auto"/>
          </w:tcPr>
          <w:p w:rsidR="007E60D0" w:rsidRDefault="007E60D0">
            <w:pPr>
              <w:snapToGrid w:val="0"/>
              <w:jc w:val="both"/>
              <w:rPr>
                <w:color w:val="000000"/>
                <w:sz w:val="22"/>
                <w:szCs w:val="22"/>
              </w:rPr>
            </w:pPr>
            <w:r>
              <w:rPr>
                <w:color w:val="000000"/>
                <w:sz w:val="22"/>
                <w:szCs w:val="22"/>
              </w:rPr>
              <w:t>Está en pruebas el proceso.</w:t>
            </w:r>
          </w:p>
        </w:tc>
      </w:tr>
      <w:tr w:rsidR="007E60D0">
        <w:trPr>
          <w:trHeight w:val="315"/>
        </w:trPr>
        <w:tc>
          <w:tcPr>
            <w:tcW w:w="2541" w:type="dxa"/>
            <w:vMerge/>
            <w:tcBorders>
              <w:left w:val="single" w:sz="8" w:space="0" w:color="000000"/>
              <w:bottom w:val="single" w:sz="8" w:space="0" w:color="000000"/>
            </w:tcBorders>
            <w:shd w:val="clear" w:color="auto" w:fill="auto"/>
            <w:vAlign w:val="center"/>
          </w:tcPr>
          <w:p w:rsidR="007E60D0" w:rsidRDefault="007E60D0">
            <w:pPr>
              <w:snapToGrid w:val="0"/>
              <w:rPr>
                <w:color w:val="000000"/>
                <w:sz w:val="22"/>
                <w:szCs w:val="22"/>
              </w:rPr>
            </w:pPr>
          </w:p>
        </w:tc>
        <w:tc>
          <w:tcPr>
            <w:tcW w:w="2268" w:type="dxa"/>
            <w:tcBorders>
              <w:left w:val="single" w:sz="8" w:space="0" w:color="000000"/>
              <w:bottom w:val="single" w:sz="8" w:space="0" w:color="000000"/>
            </w:tcBorders>
            <w:shd w:val="clear" w:color="auto" w:fill="auto"/>
          </w:tcPr>
          <w:p w:rsidR="007E60D0" w:rsidRDefault="007E60D0">
            <w:pPr>
              <w:snapToGrid w:val="0"/>
              <w:jc w:val="center"/>
              <w:rPr>
                <w:color w:val="000000"/>
                <w:sz w:val="22"/>
                <w:szCs w:val="22"/>
              </w:rPr>
            </w:pPr>
            <w:r>
              <w:rPr>
                <w:color w:val="000000"/>
                <w:sz w:val="22"/>
                <w:szCs w:val="22"/>
              </w:rPr>
              <w:t>A. N. R. D</w:t>
            </w:r>
          </w:p>
        </w:tc>
        <w:tc>
          <w:tcPr>
            <w:tcW w:w="4310" w:type="dxa"/>
            <w:vMerge/>
            <w:tcBorders>
              <w:left w:val="single" w:sz="8" w:space="0" w:color="000000"/>
              <w:bottom w:val="single" w:sz="8" w:space="0" w:color="000000"/>
              <w:right w:val="single" w:sz="8" w:space="0" w:color="000000"/>
            </w:tcBorders>
            <w:shd w:val="clear" w:color="auto" w:fill="auto"/>
            <w:vAlign w:val="center"/>
          </w:tcPr>
          <w:p w:rsidR="007E60D0" w:rsidRDefault="007E60D0">
            <w:pPr>
              <w:snapToGrid w:val="0"/>
              <w:jc w:val="both"/>
              <w:rPr>
                <w:color w:val="000000"/>
                <w:sz w:val="22"/>
                <w:szCs w:val="22"/>
              </w:rPr>
            </w:pPr>
          </w:p>
        </w:tc>
      </w:tr>
      <w:tr w:rsidR="007E60D0">
        <w:trPr>
          <w:trHeight w:val="600"/>
        </w:trPr>
        <w:tc>
          <w:tcPr>
            <w:tcW w:w="2541" w:type="dxa"/>
            <w:vMerge w:val="restart"/>
            <w:tcBorders>
              <w:left w:val="single" w:sz="8" w:space="0" w:color="000000"/>
              <w:bottom w:val="single" w:sz="8" w:space="0" w:color="000000"/>
            </w:tcBorders>
            <w:shd w:val="clear" w:color="auto" w:fill="auto"/>
          </w:tcPr>
          <w:p w:rsidR="007E60D0" w:rsidRDefault="007E60D0">
            <w:pPr>
              <w:snapToGrid w:val="0"/>
              <w:rPr>
                <w:color w:val="000000"/>
                <w:sz w:val="22"/>
                <w:szCs w:val="22"/>
              </w:rPr>
            </w:pPr>
            <w:r>
              <w:rPr>
                <w:color w:val="000000"/>
                <w:sz w:val="22"/>
                <w:szCs w:val="22"/>
              </w:rPr>
              <w:t>Alirio Cortés Londoño</w:t>
            </w:r>
          </w:p>
        </w:tc>
        <w:tc>
          <w:tcPr>
            <w:tcW w:w="2268" w:type="dxa"/>
            <w:vMerge w:val="restart"/>
            <w:tcBorders>
              <w:left w:val="single" w:sz="8" w:space="0" w:color="000000"/>
              <w:bottom w:val="single" w:sz="8" w:space="0" w:color="000000"/>
            </w:tcBorders>
            <w:shd w:val="clear" w:color="auto" w:fill="auto"/>
          </w:tcPr>
          <w:p w:rsidR="007E60D0" w:rsidRDefault="007E60D0">
            <w:pPr>
              <w:snapToGrid w:val="0"/>
              <w:jc w:val="center"/>
              <w:rPr>
                <w:color w:val="000000"/>
                <w:sz w:val="22"/>
                <w:szCs w:val="22"/>
              </w:rPr>
            </w:pPr>
            <w:r>
              <w:rPr>
                <w:color w:val="000000"/>
                <w:sz w:val="22"/>
                <w:szCs w:val="22"/>
              </w:rPr>
              <w:t>2009-289</w:t>
            </w:r>
          </w:p>
        </w:tc>
        <w:tc>
          <w:tcPr>
            <w:tcW w:w="4310" w:type="dxa"/>
            <w:vMerge w:val="restart"/>
            <w:tcBorders>
              <w:left w:val="single" w:sz="8" w:space="0" w:color="000000"/>
              <w:bottom w:val="single" w:sz="8" w:space="0" w:color="000000"/>
              <w:right w:val="single" w:sz="8" w:space="0" w:color="000000"/>
            </w:tcBorders>
            <w:shd w:val="clear" w:color="auto" w:fill="auto"/>
          </w:tcPr>
          <w:p w:rsidR="007E60D0" w:rsidRDefault="007E60D0">
            <w:pPr>
              <w:snapToGrid w:val="0"/>
              <w:jc w:val="both"/>
              <w:rPr>
                <w:color w:val="000000"/>
                <w:sz w:val="22"/>
                <w:szCs w:val="22"/>
              </w:rPr>
            </w:pPr>
            <w:r>
              <w:rPr>
                <w:color w:val="000000"/>
                <w:sz w:val="22"/>
                <w:szCs w:val="22"/>
              </w:rPr>
              <w:t>En espera que se abra el proceso a pruebas. El 26-07-2011 auto abre  a pruebas</w:t>
            </w:r>
          </w:p>
        </w:tc>
      </w:tr>
      <w:tr w:rsidR="007E60D0">
        <w:trPr>
          <w:trHeight w:val="315"/>
        </w:trPr>
        <w:tc>
          <w:tcPr>
            <w:tcW w:w="2541" w:type="dxa"/>
            <w:vMerge/>
            <w:tcBorders>
              <w:left w:val="single" w:sz="8" w:space="0" w:color="000000"/>
              <w:bottom w:val="single" w:sz="8" w:space="0" w:color="000000"/>
            </w:tcBorders>
            <w:shd w:val="clear" w:color="auto" w:fill="auto"/>
            <w:vAlign w:val="center"/>
          </w:tcPr>
          <w:p w:rsidR="007E60D0" w:rsidRDefault="007E60D0">
            <w:pPr>
              <w:snapToGrid w:val="0"/>
              <w:rPr>
                <w:color w:val="000000"/>
                <w:sz w:val="22"/>
                <w:szCs w:val="22"/>
              </w:rPr>
            </w:pPr>
          </w:p>
        </w:tc>
        <w:tc>
          <w:tcPr>
            <w:tcW w:w="2268" w:type="dxa"/>
            <w:vMerge/>
            <w:tcBorders>
              <w:left w:val="single" w:sz="8" w:space="0" w:color="000000"/>
              <w:bottom w:val="single" w:sz="8" w:space="0" w:color="000000"/>
            </w:tcBorders>
            <w:shd w:val="clear" w:color="auto" w:fill="auto"/>
            <w:vAlign w:val="center"/>
          </w:tcPr>
          <w:p w:rsidR="007E60D0" w:rsidRDefault="007E60D0">
            <w:pPr>
              <w:snapToGrid w:val="0"/>
              <w:rPr>
                <w:color w:val="000000"/>
                <w:sz w:val="22"/>
                <w:szCs w:val="22"/>
              </w:rPr>
            </w:pPr>
          </w:p>
        </w:tc>
        <w:tc>
          <w:tcPr>
            <w:tcW w:w="4310" w:type="dxa"/>
            <w:vMerge/>
            <w:tcBorders>
              <w:left w:val="single" w:sz="8" w:space="0" w:color="000000"/>
              <w:bottom w:val="single" w:sz="8" w:space="0" w:color="000000"/>
              <w:right w:val="single" w:sz="8" w:space="0" w:color="000000"/>
            </w:tcBorders>
            <w:shd w:val="clear" w:color="auto" w:fill="auto"/>
            <w:vAlign w:val="center"/>
          </w:tcPr>
          <w:p w:rsidR="007E60D0" w:rsidRDefault="007E60D0">
            <w:pPr>
              <w:snapToGrid w:val="0"/>
              <w:jc w:val="both"/>
              <w:rPr>
                <w:color w:val="000000"/>
                <w:sz w:val="22"/>
                <w:szCs w:val="22"/>
              </w:rPr>
            </w:pPr>
          </w:p>
        </w:tc>
      </w:tr>
      <w:tr w:rsidR="007E60D0">
        <w:trPr>
          <w:trHeight w:val="1515"/>
        </w:trPr>
        <w:tc>
          <w:tcPr>
            <w:tcW w:w="2541" w:type="dxa"/>
            <w:tcBorders>
              <w:left w:val="single" w:sz="8" w:space="0" w:color="000000"/>
              <w:bottom w:val="single" w:sz="8" w:space="0" w:color="000000"/>
            </w:tcBorders>
            <w:shd w:val="clear" w:color="auto" w:fill="auto"/>
          </w:tcPr>
          <w:p w:rsidR="007E60D0" w:rsidRDefault="007E60D0">
            <w:pPr>
              <w:snapToGrid w:val="0"/>
              <w:rPr>
                <w:color w:val="000000"/>
                <w:sz w:val="22"/>
                <w:szCs w:val="22"/>
              </w:rPr>
            </w:pPr>
            <w:r>
              <w:rPr>
                <w:color w:val="000000"/>
                <w:sz w:val="22"/>
                <w:szCs w:val="22"/>
              </w:rPr>
              <w:t>Luz Mery Home y Otros</w:t>
            </w:r>
          </w:p>
        </w:tc>
        <w:tc>
          <w:tcPr>
            <w:tcW w:w="2268" w:type="dxa"/>
            <w:tcBorders>
              <w:left w:val="single" w:sz="8" w:space="0" w:color="000000"/>
              <w:bottom w:val="single" w:sz="8" w:space="0" w:color="000000"/>
            </w:tcBorders>
            <w:shd w:val="clear" w:color="auto" w:fill="auto"/>
          </w:tcPr>
          <w:p w:rsidR="007E60D0" w:rsidRDefault="007E60D0">
            <w:pPr>
              <w:snapToGrid w:val="0"/>
              <w:jc w:val="center"/>
              <w:rPr>
                <w:color w:val="000000"/>
                <w:sz w:val="22"/>
                <w:szCs w:val="22"/>
              </w:rPr>
            </w:pPr>
            <w:r>
              <w:rPr>
                <w:color w:val="000000"/>
                <w:sz w:val="22"/>
                <w:szCs w:val="22"/>
              </w:rPr>
              <w:t>2010-005</w:t>
            </w:r>
          </w:p>
        </w:tc>
        <w:tc>
          <w:tcPr>
            <w:tcW w:w="4310" w:type="dxa"/>
            <w:tcBorders>
              <w:left w:val="single" w:sz="8" w:space="0" w:color="000000"/>
              <w:bottom w:val="single" w:sz="8" w:space="0" w:color="000000"/>
              <w:right w:val="single" w:sz="8" w:space="0" w:color="000000"/>
            </w:tcBorders>
            <w:shd w:val="clear" w:color="auto" w:fill="auto"/>
          </w:tcPr>
          <w:p w:rsidR="007E60D0" w:rsidRDefault="007E60D0">
            <w:pPr>
              <w:snapToGrid w:val="0"/>
              <w:jc w:val="both"/>
              <w:rPr>
                <w:color w:val="000000"/>
                <w:sz w:val="22"/>
                <w:szCs w:val="22"/>
              </w:rPr>
            </w:pPr>
            <w:r>
              <w:rPr>
                <w:color w:val="000000"/>
                <w:sz w:val="22"/>
                <w:szCs w:val="22"/>
              </w:rPr>
              <w:t>El 29/11/2010 se presentó contestación de la demanda con llamamiento. En garantía. El 22/03/2011 traslado recurso reposición. El 10/05/2011 auto. Decide recurso reposición. No repone</w:t>
            </w:r>
          </w:p>
        </w:tc>
      </w:tr>
    </w:tbl>
    <w:p w:rsidR="007E60D0" w:rsidRDefault="007E60D0">
      <w:pPr>
        <w:rPr>
          <w:b/>
          <w:sz w:val="22"/>
          <w:szCs w:val="22"/>
        </w:rPr>
      </w:pPr>
    </w:p>
    <w:p w:rsidR="007E60D0" w:rsidRDefault="007E60D0">
      <w:pPr>
        <w:rPr>
          <w:b/>
          <w:sz w:val="22"/>
          <w:szCs w:val="22"/>
        </w:rPr>
      </w:pPr>
    </w:p>
    <w:p w:rsidR="007E60D0" w:rsidRDefault="007E60D0">
      <w:pPr>
        <w:pStyle w:val="Ttulo3"/>
        <w:rPr>
          <w:rFonts w:ascii="Times New Roman" w:hAnsi="Times New Roman" w:cs="Times New Roman"/>
        </w:rPr>
      </w:pPr>
      <w:r>
        <w:rPr>
          <w:rFonts w:ascii="Times New Roman" w:hAnsi="Times New Roman" w:cs="Times New Roman"/>
        </w:rPr>
        <w:t>JUZGADO SEGUNDO ADMINISTRATIVO DE NEIVA</w:t>
      </w:r>
    </w:p>
    <w:p w:rsidR="007E60D0" w:rsidRDefault="007E60D0">
      <w:pPr>
        <w:rPr>
          <w:sz w:val="22"/>
          <w:szCs w:val="22"/>
        </w:rPr>
      </w:pPr>
    </w:p>
    <w:tbl>
      <w:tblPr>
        <w:tblW w:w="0" w:type="auto"/>
        <w:tblInd w:w="-5" w:type="dxa"/>
        <w:tblLayout w:type="fixed"/>
        <w:tblCellMar>
          <w:left w:w="70" w:type="dxa"/>
          <w:right w:w="70" w:type="dxa"/>
        </w:tblCellMar>
        <w:tblLook w:val="0000"/>
      </w:tblPr>
      <w:tblGrid>
        <w:gridCol w:w="2480"/>
        <w:gridCol w:w="2268"/>
        <w:gridCol w:w="4263"/>
      </w:tblGrid>
      <w:tr w:rsidR="007E60D0">
        <w:trPr>
          <w:trHeight w:val="145"/>
        </w:trPr>
        <w:tc>
          <w:tcPr>
            <w:tcW w:w="2480"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b/>
                <w:bCs/>
                <w:sz w:val="22"/>
                <w:szCs w:val="22"/>
              </w:rPr>
            </w:pPr>
            <w:r>
              <w:rPr>
                <w:b/>
                <w:bCs/>
                <w:sz w:val="22"/>
                <w:szCs w:val="22"/>
              </w:rPr>
              <w:t>DEMANDANTE</w:t>
            </w:r>
          </w:p>
        </w:tc>
        <w:tc>
          <w:tcPr>
            <w:tcW w:w="2268"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b/>
                <w:bCs/>
                <w:sz w:val="22"/>
                <w:szCs w:val="22"/>
              </w:rPr>
            </w:pPr>
            <w:r>
              <w:rPr>
                <w:b/>
                <w:bCs/>
                <w:sz w:val="22"/>
                <w:szCs w:val="22"/>
              </w:rPr>
              <w:t>RADICACIÓN</w:t>
            </w:r>
          </w:p>
        </w:tc>
        <w:tc>
          <w:tcPr>
            <w:tcW w:w="4263"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center"/>
              <w:rPr>
                <w:b/>
                <w:bCs/>
                <w:sz w:val="22"/>
                <w:szCs w:val="22"/>
              </w:rPr>
            </w:pPr>
            <w:r>
              <w:rPr>
                <w:b/>
                <w:bCs/>
                <w:sz w:val="22"/>
                <w:szCs w:val="22"/>
              </w:rPr>
              <w:t>ESTADO PROCESAL</w:t>
            </w:r>
          </w:p>
        </w:tc>
      </w:tr>
      <w:tr w:rsidR="007E60D0">
        <w:trPr>
          <w:trHeight w:val="145"/>
        </w:trPr>
        <w:tc>
          <w:tcPr>
            <w:tcW w:w="2480" w:type="dxa"/>
            <w:tcBorders>
              <w:top w:val="single" w:sz="4" w:space="0" w:color="000000"/>
              <w:left w:val="single" w:sz="4" w:space="0" w:color="000000"/>
              <w:bottom w:val="single" w:sz="4" w:space="0" w:color="000000"/>
            </w:tcBorders>
            <w:shd w:val="clear" w:color="auto" w:fill="auto"/>
          </w:tcPr>
          <w:p w:rsidR="007E60D0" w:rsidRDefault="007E60D0">
            <w:pPr>
              <w:snapToGrid w:val="0"/>
              <w:rPr>
                <w:sz w:val="22"/>
                <w:szCs w:val="22"/>
              </w:rPr>
            </w:pPr>
            <w:r>
              <w:rPr>
                <w:sz w:val="22"/>
                <w:szCs w:val="22"/>
              </w:rPr>
              <w:t>Ramiro Rivera Ramírez</w:t>
            </w:r>
          </w:p>
        </w:tc>
        <w:tc>
          <w:tcPr>
            <w:tcW w:w="2268"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sz w:val="22"/>
                <w:szCs w:val="22"/>
              </w:rPr>
            </w:pPr>
            <w:r>
              <w:rPr>
                <w:sz w:val="22"/>
                <w:szCs w:val="22"/>
              </w:rPr>
              <w:t>2006-170</w:t>
            </w:r>
          </w:p>
          <w:p w:rsidR="007E60D0" w:rsidRDefault="007E60D0">
            <w:pPr>
              <w:jc w:val="center"/>
              <w:rPr>
                <w:sz w:val="22"/>
                <w:szCs w:val="22"/>
              </w:rPr>
            </w:pPr>
            <w:r>
              <w:rPr>
                <w:sz w:val="22"/>
                <w:szCs w:val="22"/>
              </w:rPr>
              <w:t xml:space="preserve">Contractual </w:t>
            </w:r>
          </w:p>
        </w:tc>
        <w:tc>
          <w:tcPr>
            <w:tcW w:w="4263"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both"/>
              <w:rPr>
                <w:sz w:val="22"/>
                <w:szCs w:val="22"/>
              </w:rPr>
            </w:pPr>
            <w:r>
              <w:rPr>
                <w:sz w:val="22"/>
                <w:szCs w:val="22"/>
              </w:rPr>
              <w:t xml:space="preserve">Esta en pruebas. 21-09-09, Auto agrega despacho comisorio  numero 84 remitido por el juzgado 2 promiscuo municipal de Palermo se realizaron los testimonios de los señores </w:t>
            </w:r>
            <w:r>
              <w:rPr>
                <w:sz w:val="22"/>
                <w:szCs w:val="22"/>
              </w:rPr>
              <w:lastRenderedPageBreak/>
              <w:t>Álvaro Alarcón y Hernán Laguna. El 26 de mayo de 2010 se ordena correr traslado de las pruebas recopiladas dentro del proceso. 22-06-210 se presentaron alegatos de conclusión. Se profirió fallo favorable al Municipio. El 22-09-2010 auto concede Recurso de Apelación</w:t>
            </w:r>
          </w:p>
        </w:tc>
      </w:tr>
      <w:tr w:rsidR="007E60D0">
        <w:trPr>
          <w:trHeight w:val="922"/>
        </w:trPr>
        <w:tc>
          <w:tcPr>
            <w:tcW w:w="2480" w:type="dxa"/>
            <w:tcBorders>
              <w:top w:val="single" w:sz="4" w:space="0" w:color="000000"/>
              <w:left w:val="single" w:sz="4" w:space="0" w:color="000000"/>
              <w:bottom w:val="single" w:sz="4" w:space="0" w:color="000000"/>
            </w:tcBorders>
            <w:shd w:val="clear" w:color="auto" w:fill="auto"/>
          </w:tcPr>
          <w:p w:rsidR="007E60D0" w:rsidRDefault="007E60D0">
            <w:pPr>
              <w:snapToGrid w:val="0"/>
              <w:rPr>
                <w:sz w:val="22"/>
                <w:szCs w:val="22"/>
              </w:rPr>
            </w:pPr>
            <w:r>
              <w:rPr>
                <w:sz w:val="22"/>
                <w:szCs w:val="22"/>
              </w:rPr>
              <w:lastRenderedPageBreak/>
              <w:t xml:space="preserve">John Jairo Dussan </w:t>
            </w:r>
          </w:p>
        </w:tc>
        <w:tc>
          <w:tcPr>
            <w:tcW w:w="2268"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sz w:val="22"/>
                <w:szCs w:val="22"/>
              </w:rPr>
            </w:pPr>
            <w:r>
              <w:rPr>
                <w:sz w:val="22"/>
                <w:szCs w:val="22"/>
              </w:rPr>
              <w:t>2007 – 188</w:t>
            </w:r>
          </w:p>
          <w:p w:rsidR="007E60D0" w:rsidRDefault="007E60D0">
            <w:pPr>
              <w:jc w:val="center"/>
              <w:rPr>
                <w:sz w:val="22"/>
                <w:szCs w:val="22"/>
              </w:rPr>
            </w:pPr>
            <w:r>
              <w:rPr>
                <w:sz w:val="22"/>
                <w:szCs w:val="22"/>
              </w:rPr>
              <w:t xml:space="preserve">Reparación </w:t>
            </w:r>
          </w:p>
          <w:p w:rsidR="007E60D0" w:rsidRDefault="007E60D0">
            <w:pPr>
              <w:jc w:val="center"/>
              <w:rPr>
                <w:sz w:val="22"/>
                <w:szCs w:val="22"/>
              </w:rPr>
            </w:pPr>
            <w:r>
              <w:rPr>
                <w:sz w:val="22"/>
                <w:szCs w:val="22"/>
              </w:rPr>
              <w:t xml:space="preserve">Directa </w:t>
            </w:r>
          </w:p>
          <w:p w:rsidR="007E60D0" w:rsidRDefault="007E60D0">
            <w:pPr>
              <w:jc w:val="center"/>
              <w:rPr>
                <w:sz w:val="22"/>
                <w:szCs w:val="22"/>
              </w:rPr>
            </w:pPr>
          </w:p>
        </w:tc>
        <w:tc>
          <w:tcPr>
            <w:tcW w:w="4263"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both"/>
              <w:rPr>
                <w:sz w:val="22"/>
                <w:szCs w:val="22"/>
              </w:rPr>
            </w:pPr>
            <w:r>
              <w:rPr>
                <w:sz w:val="22"/>
                <w:szCs w:val="22"/>
              </w:rPr>
              <w:t>Esta en pruebas. El 05 de mayo de 2011 se presenta memorial</w:t>
            </w:r>
          </w:p>
          <w:p w:rsidR="007E60D0" w:rsidRDefault="007E60D0">
            <w:pPr>
              <w:jc w:val="both"/>
              <w:rPr>
                <w:sz w:val="22"/>
                <w:szCs w:val="22"/>
              </w:rPr>
            </w:pPr>
            <w:r>
              <w:rPr>
                <w:sz w:val="22"/>
                <w:szCs w:val="22"/>
              </w:rPr>
              <w:t>Solicitando alegatos de conclusión.</w:t>
            </w:r>
          </w:p>
        </w:tc>
      </w:tr>
      <w:tr w:rsidR="007E60D0">
        <w:trPr>
          <w:trHeight w:val="922"/>
        </w:trPr>
        <w:tc>
          <w:tcPr>
            <w:tcW w:w="2480" w:type="dxa"/>
            <w:tcBorders>
              <w:top w:val="single" w:sz="4" w:space="0" w:color="000000"/>
              <w:left w:val="single" w:sz="4" w:space="0" w:color="000000"/>
              <w:bottom w:val="single" w:sz="4" w:space="0" w:color="000000"/>
            </w:tcBorders>
            <w:shd w:val="clear" w:color="auto" w:fill="auto"/>
          </w:tcPr>
          <w:p w:rsidR="007E60D0" w:rsidRDefault="007E60D0">
            <w:pPr>
              <w:snapToGrid w:val="0"/>
              <w:rPr>
                <w:sz w:val="22"/>
                <w:szCs w:val="22"/>
              </w:rPr>
            </w:pPr>
            <w:r>
              <w:rPr>
                <w:sz w:val="22"/>
                <w:szCs w:val="22"/>
              </w:rPr>
              <w:t>Diego Fernando Ferreira</w:t>
            </w:r>
          </w:p>
        </w:tc>
        <w:tc>
          <w:tcPr>
            <w:tcW w:w="2268"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sz w:val="22"/>
                <w:szCs w:val="22"/>
              </w:rPr>
            </w:pPr>
            <w:r>
              <w:rPr>
                <w:sz w:val="22"/>
                <w:szCs w:val="22"/>
              </w:rPr>
              <w:t>2009 – 00061</w:t>
            </w:r>
          </w:p>
          <w:p w:rsidR="007E60D0" w:rsidRDefault="007E60D0">
            <w:pPr>
              <w:jc w:val="center"/>
              <w:rPr>
                <w:sz w:val="22"/>
                <w:szCs w:val="22"/>
              </w:rPr>
            </w:pPr>
            <w:r>
              <w:rPr>
                <w:sz w:val="22"/>
                <w:szCs w:val="22"/>
              </w:rPr>
              <w:t>Acción Popular</w:t>
            </w:r>
          </w:p>
          <w:p w:rsidR="007E60D0" w:rsidRDefault="007E60D0">
            <w:pPr>
              <w:jc w:val="center"/>
              <w:rPr>
                <w:sz w:val="22"/>
                <w:szCs w:val="22"/>
              </w:rPr>
            </w:pPr>
          </w:p>
        </w:tc>
        <w:tc>
          <w:tcPr>
            <w:tcW w:w="4263"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both"/>
              <w:rPr>
                <w:sz w:val="22"/>
                <w:szCs w:val="22"/>
              </w:rPr>
            </w:pPr>
            <w:r>
              <w:rPr>
                <w:sz w:val="22"/>
                <w:szCs w:val="22"/>
              </w:rPr>
              <w:t>22-02-2010, se contesto demanda. El 24-05-2010 se realizó audiencia de pacto de cumplimiento. No se llegó a ningún acuerdo. Se encuentra en Pruebas</w:t>
            </w:r>
          </w:p>
        </w:tc>
      </w:tr>
      <w:tr w:rsidR="007E60D0">
        <w:trPr>
          <w:trHeight w:val="910"/>
        </w:trPr>
        <w:tc>
          <w:tcPr>
            <w:tcW w:w="2480" w:type="dxa"/>
            <w:tcBorders>
              <w:top w:val="single" w:sz="4" w:space="0" w:color="000000"/>
              <w:left w:val="single" w:sz="4" w:space="0" w:color="000000"/>
              <w:bottom w:val="single" w:sz="4" w:space="0" w:color="000000"/>
            </w:tcBorders>
            <w:shd w:val="clear" w:color="auto" w:fill="auto"/>
          </w:tcPr>
          <w:p w:rsidR="007E60D0" w:rsidRDefault="007E60D0">
            <w:pPr>
              <w:snapToGrid w:val="0"/>
              <w:rPr>
                <w:sz w:val="22"/>
                <w:szCs w:val="22"/>
              </w:rPr>
            </w:pPr>
            <w:r>
              <w:rPr>
                <w:sz w:val="22"/>
                <w:szCs w:val="22"/>
              </w:rPr>
              <w:t>Fulvia Garzón Bejarano</w:t>
            </w:r>
          </w:p>
        </w:tc>
        <w:tc>
          <w:tcPr>
            <w:tcW w:w="2268"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sz w:val="22"/>
                <w:szCs w:val="22"/>
              </w:rPr>
            </w:pPr>
            <w:r>
              <w:rPr>
                <w:sz w:val="22"/>
                <w:szCs w:val="22"/>
              </w:rPr>
              <w:t>2010-049</w:t>
            </w:r>
          </w:p>
          <w:p w:rsidR="007E60D0" w:rsidRDefault="007E60D0">
            <w:pPr>
              <w:jc w:val="center"/>
              <w:rPr>
                <w:sz w:val="22"/>
                <w:szCs w:val="22"/>
              </w:rPr>
            </w:pPr>
            <w:r>
              <w:rPr>
                <w:sz w:val="22"/>
                <w:szCs w:val="22"/>
              </w:rPr>
              <w:t>Acción Popular</w:t>
            </w:r>
          </w:p>
        </w:tc>
        <w:tc>
          <w:tcPr>
            <w:tcW w:w="4263"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both"/>
              <w:rPr>
                <w:sz w:val="22"/>
                <w:szCs w:val="22"/>
              </w:rPr>
            </w:pPr>
            <w:r>
              <w:rPr>
                <w:sz w:val="22"/>
                <w:szCs w:val="22"/>
              </w:rPr>
              <w:t>Se contestó la demanda el 29-06-2010.Auto 08-09-2010 vincula al INCO y requiere al accionante para que sufrague portes y traslados. Se programó audiencia de pacto de cumplimiento para el 25-01-2011Hora 9:00 a.m.28-01-2011 auto abre a pruebas. El 04 de mayo se asistió a audiencia de testimonios</w:t>
            </w:r>
          </w:p>
        </w:tc>
      </w:tr>
      <w:tr w:rsidR="007E60D0">
        <w:trPr>
          <w:trHeight w:val="910"/>
        </w:trPr>
        <w:tc>
          <w:tcPr>
            <w:tcW w:w="2480" w:type="dxa"/>
            <w:tcBorders>
              <w:top w:val="single" w:sz="4" w:space="0" w:color="000000"/>
              <w:left w:val="single" w:sz="4" w:space="0" w:color="000000"/>
              <w:bottom w:val="single" w:sz="4" w:space="0" w:color="000000"/>
            </w:tcBorders>
            <w:shd w:val="clear" w:color="auto" w:fill="auto"/>
          </w:tcPr>
          <w:p w:rsidR="007E60D0" w:rsidRDefault="007E60D0">
            <w:pPr>
              <w:snapToGrid w:val="0"/>
              <w:rPr>
                <w:sz w:val="22"/>
                <w:szCs w:val="22"/>
              </w:rPr>
            </w:pPr>
            <w:r>
              <w:rPr>
                <w:sz w:val="22"/>
                <w:szCs w:val="22"/>
              </w:rPr>
              <w:t xml:space="preserve">Arcesio Castro Farfán </w:t>
            </w:r>
          </w:p>
        </w:tc>
        <w:tc>
          <w:tcPr>
            <w:tcW w:w="2268"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sz w:val="22"/>
                <w:szCs w:val="22"/>
              </w:rPr>
            </w:pPr>
            <w:r>
              <w:rPr>
                <w:sz w:val="22"/>
                <w:szCs w:val="22"/>
              </w:rPr>
              <w:t>2010-180</w:t>
            </w:r>
          </w:p>
          <w:p w:rsidR="007E60D0" w:rsidRDefault="007E60D0">
            <w:pPr>
              <w:jc w:val="center"/>
              <w:rPr>
                <w:sz w:val="22"/>
                <w:szCs w:val="22"/>
              </w:rPr>
            </w:pPr>
            <w:r>
              <w:rPr>
                <w:sz w:val="22"/>
                <w:szCs w:val="22"/>
              </w:rPr>
              <w:t>Acción de Nulidad y Restablecimiento</w:t>
            </w:r>
          </w:p>
        </w:tc>
        <w:tc>
          <w:tcPr>
            <w:tcW w:w="4263"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both"/>
              <w:rPr>
                <w:sz w:val="22"/>
                <w:szCs w:val="22"/>
              </w:rPr>
            </w:pPr>
            <w:r>
              <w:rPr>
                <w:sz w:val="22"/>
                <w:szCs w:val="22"/>
              </w:rPr>
              <w:t xml:space="preserve">Se contestó la demanda el 23-09-2010.El 29-09-2010 el demandante adiciona y corrige la demanda. El 18 de enero se presenta contestación  de la reforma de la demanda. El 30-03-2011 auto abre a pruebas. El 19/05/2011 auto designa perito. El 29-07-2011 auto ordena comisionar al juzgado de Palermo para recepcionar testimonios. </w:t>
            </w:r>
          </w:p>
        </w:tc>
      </w:tr>
      <w:tr w:rsidR="007E60D0">
        <w:trPr>
          <w:trHeight w:val="910"/>
        </w:trPr>
        <w:tc>
          <w:tcPr>
            <w:tcW w:w="2480" w:type="dxa"/>
            <w:tcBorders>
              <w:top w:val="single" w:sz="4" w:space="0" w:color="000000"/>
              <w:left w:val="single" w:sz="4" w:space="0" w:color="000000"/>
              <w:bottom w:val="single" w:sz="4" w:space="0" w:color="000000"/>
            </w:tcBorders>
            <w:shd w:val="clear" w:color="auto" w:fill="auto"/>
          </w:tcPr>
          <w:p w:rsidR="007E60D0" w:rsidRDefault="007E60D0">
            <w:pPr>
              <w:snapToGrid w:val="0"/>
              <w:rPr>
                <w:sz w:val="22"/>
                <w:szCs w:val="22"/>
              </w:rPr>
            </w:pPr>
            <w:r>
              <w:rPr>
                <w:sz w:val="22"/>
                <w:szCs w:val="22"/>
              </w:rPr>
              <w:t>Jorge de Jesús Salazar y Amparo del Rosario Cortés</w:t>
            </w:r>
          </w:p>
        </w:tc>
        <w:tc>
          <w:tcPr>
            <w:tcW w:w="2268"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sz w:val="22"/>
                <w:szCs w:val="22"/>
              </w:rPr>
            </w:pPr>
            <w:r>
              <w:rPr>
                <w:sz w:val="22"/>
                <w:szCs w:val="22"/>
              </w:rPr>
              <w:t>2010-186</w:t>
            </w:r>
          </w:p>
          <w:p w:rsidR="007E60D0" w:rsidRDefault="007E60D0">
            <w:pPr>
              <w:jc w:val="center"/>
              <w:rPr>
                <w:sz w:val="22"/>
                <w:szCs w:val="22"/>
              </w:rPr>
            </w:pPr>
            <w:r>
              <w:rPr>
                <w:sz w:val="22"/>
                <w:szCs w:val="22"/>
              </w:rPr>
              <w:t>Reparación Directa</w:t>
            </w:r>
          </w:p>
        </w:tc>
        <w:tc>
          <w:tcPr>
            <w:tcW w:w="4263"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both"/>
              <w:rPr>
                <w:sz w:val="22"/>
                <w:szCs w:val="22"/>
              </w:rPr>
            </w:pPr>
            <w:r>
              <w:rPr>
                <w:sz w:val="22"/>
                <w:szCs w:val="22"/>
              </w:rPr>
              <w:t>29-09-2010 se contesta la demanda. El 07-04-2011 se corre traslado por cinco días de las exceptivas, las cuales fueron descorridas por el actor en su  oportunidad procesal. El 27-07-2011 auto acepta llamamiento en garantía.</w:t>
            </w:r>
          </w:p>
        </w:tc>
      </w:tr>
      <w:tr w:rsidR="007E60D0">
        <w:trPr>
          <w:trHeight w:val="1206"/>
        </w:trPr>
        <w:tc>
          <w:tcPr>
            <w:tcW w:w="2480" w:type="dxa"/>
            <w:tcBorders>
              <w:top w:val="single" w:sz="4" w:space="0" w:color="000000"/>
              <w:left w:val="single" w:sz="4" w:space="0" w:color="000000"/>
              <w:bottom w:val="single" w:sz="4" w:space="0" w:color="000000"/>
            </w:tcBorders>
            <w:shd w:val="clear" w:color="auto" w:fill="auto"/>
          </w:tcPr>
          <w:p w:rsidR="007E60D0" w:rsidRDefault="007E60D0">
            <w:pPr>
              <w:snapToGrid w:val="0"/>
              <w:rPr>
                <w:sz w:val="22"/>
                <w:szCs w:val="22"/>
              </w:rPr>
            </w:pPr>
            <w:r>
              <w:rPr>
                <w:sz w:val="22"/>
                <w:szCs w:val="22"/>
              </w:rPr>
              <w:t>Interconexión Eléctrica S.A. E.P.S. ISA</w:t>
            </w:r>
          </w:p>
        </w:tc>
        <w:tc>
          <w:tcPr>
            <w:tcW w:w="2268"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sz w:val="22"/>
                <w:szCs w:val="22"/>
              </w:rPr>
            </w:pPr>
            <w:r>
              <w:rPr>
                <w:sz w:val="22"/>
                <w:szCs w:val="22"/>
              </w:rPr>
              <w:t>2009-0085</w:t>
            </w:r>
          </w:p>
          <w:p w:rsidR="007E60D0" w:rsidRDefault="007E60D0">
            <w:pPr>
              <w:jc w:val="center"/>
              <w:rPr>
                <w:sz w:val="22"/>
                <w:szCs w:val="22"/>
              </w:rPr>
            </w:pPr>
            <w:r>
              <w:rPr>
                <w:sz w:val="22"/>
                <w:szCs w:val="22"/>
              </w:rPr>
              <w:t xml:space="preserve">Acción de Nulidad y Restablecimiento </w:t>
            </w:r>
          </w:p>
          <w:p w:rsidR="007E60D0" w:rsidRDefault="007E60D0">
            <w:pPr>
              <w:rPr>
                <w:sz w:val="22"/>
                <w:szCs w:val="22"/>
              </w:rPr>
            </w:pPr>
            <w:r>
              <w:rPr>
                <w:sz w:val="22"/>
                <w:szCs w:val="22"/>
              </w:rPr>
              <w:t xml:space="preserve"> </w:t>
            </w:r>
          </w:p>
        </w:tc>
        <w:tc>
          <w:tcPr>
            <w:tcW w:w="4263"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both"/>
              <w:rPr>
                <w:sz w:val="22"/>
                <w:szCs w:val="22"/>
              </w:rPr>
            </w:pPr>
            <w:r>
              <w:rPr>
                <w:sz w:val="22"/>
                <w:szCs w:val="22"/>
              </w:rPr>
              <w:t>El 17/11/2009 se contesta la demanda. 05/03/2010 auto decreta</w:t>
            </w:r>
          </w:p>
          <w:p w:rsidR="007E60D0" w:rsidRDefault="007E60D0">
            <w:pPr>
              <w:jc w:val="both"/>
              <w:rPr>
                <w:sz w:val="22"/>
                <w:szCs w:val="22"/>
              </w:rPr>
            </w:pPr>
            <w:r>
              <w:rPr>
                <w:sz w:val="22"/>
                <w:szCs w:val="22"/>
              </w:rPr>
              <w:t>Pruebas.  Se radicó memorial el 05/05/2011 solicitando alegatos. A 29-09-2011 continua igual</w:t>
            </w:r>
          </w:p>
        </w:tc>
      </w:tr>
    </w:tbl>
    <w:p w:rsidR="007E60D0" w:rsidRDefault="007E60D0">
      <w:pPr>
        <w:rPr>
          <w:sz w:val="22"/>
          <w:szCs w:val="22"/>
        </w:rPr>
      </w:pPr>
    </w:p>
    <w:p w:rsidR="007E60D0" w:rsidRDefault="007E60D0">
      <w:pPr>
        <w:pStyle w:val="Ttulo3"/>
        <w:rPr>
          <w:rFonts w:ascii="Times New Roman" w:hAnsi="Times New Roman" w:cs="Times New Roman"/>
          <w:lang w:val="es-CO"/>
        </w:rPr>
      </w:pPr>
    </w:p>
    <w:p w:rsidR="007E60D0" w:rsidRDefault="007E60D0">
      <w:pPr>
        <w:pStyle w:val="Ttulo3"/>
        <w:rPr>
          <w:rFonts w:ascii="Times New Roman" w:hAnsi="Times New Roman" w:cs="Times New Roman"/>
        </w:rPr>
      </w:pPr>
      <w:r>
        <w:rPr>
          <w:rFonts w:ascii="Times New Roman" w:hAnsi="Times New Roman" w:cs="Times New Roman"/>
        </w:rPr>
        <w:t>JUZGADO TERCERO ADMINISTRATIVO DE NEIVA</w:t>
      </w:r>
    </w:p>
    <w:p w:rsidR="007E60D0" w:rsidRDefault="007E60D0">
      <w:pPr>
        <w:rPr>
          <w:sz w:val="22"/>
          <w:szCs w:val="22"/>
        </w:rPr>
      </w:pPr>
    </w:p>
    <w:tbl>
      <w:tblPr>
        <w:tblW w:w="0" w:type="auto"/>
        <w:tblInd w:w="-5" w:type="dxa"/>
        <w:tblLayout w:type="fixed"/>
        <w:tblCellMar>
          <w:left w:w="70" w:type="dxa"/>
          <w:right w:w="70" w:type="dxa"/>
        </w:tblCellMar>
        <w:tblLook w:val="0000"/>
      </w:tblPr>
      <w:tblGrid>
        <w:gridCol w:w="2480"/>
        <w:gridCol w:w="2153"/>
        <w:gridCol w:w="4355"/>
      </w:tblGrid>
      <w:tr w:rsidR="007E60D0">
        <w:trPr>
          <w:trHeight w:val="475"/>
        </w:trPr>
        <w:tc>
          <w:tcPr>
            <w:tcW w:w="2480"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b/>
                <w:bCs/>
                <w:sz w:val="22"/>
                <w:szCs w:val="22"/>
              </w:rPr>
            </w:pPr>
            <w:r>
              <w:rPr>
                <w:b/>
                <w:bCs/>
                <w:sz w:val="22"/>
                <w:szCs w:val="22"/>
              </w:rPr>
              <w:t>DEMANDANTE</w:t>
            </w:r>
          </w:p>
        </w:tc>
        <w:tc>
          <w:tcPr>
            <w:tcW w:w="2153"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b/>
                <w:bCs/>
                <w:sz w:val="22"/>
                <w:szCs w:val="22"/>
              </w:rPr>
            </w:pPr>
            <w:r>
              <w:rPr>
                <w:b/>
                <w:bCs/>
                <w:sz w:val="22"/>
                <w:szCs w:val="22"/>
              </w:rPr>
              <w:t>RADICACIÓN</w:t>
            </w:r>
          </w:p>
        </w:tc>
        <w:tc>
          <w:tcPr>
            <w:tcW w:w="4355"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center"/>
              <w:rPr>
                <w:b/>
                <w:bCs/>
                <w:sz w:val="22"/>
                <w:szCs w:val="22"/>
              </w:rPr>
            </w:pPr>
            <w:r>
              <w:rPr>
                <w:b/>
                <w:bCs/>
                <w:sz w:val="22"/>
                <w:szCs w:val="22"/>
              </w:rPr>
              <w:t>ESTADO PROCESAL</w:t>
            </w:r>
          </w:p>
        </w:tc>
      </w:tr>
      <w:tr w:rsidR="007E60D0">
        <w:trPr>
          <w:trHeight w:val="490"/>
        </w:trPr>
        <w:tc>
          <w:tcPr>
            <w:tcW w:w="2480" w:type="dxa"/>
            <w:tcBorders>
              <w:top w:val="single" w:sz="4" w:space="0" w:color="000000"/>
              <w:left w:val="single" w:sz="4" w:space="0" w:color="000000"/>
              <w:bottom w:val="single" w:sz="4" w:space="0" w:color="000000"/>
            </w:tcBorders>
            <w:shd w:val="clear" w:color="auto" w:fill="auto"/>
          </w:tcPr>
          <w:p w:rsidR="007E60D0" w:rsidRDefault="007E60D0">
            <w:pPr>
              <w:snapToGrid w:val="0"/>
              <w:rPr>
                <w:sz w:val="22"/>
                <w:szCs w:val="22"/>
              </w:rPr>
            </w:pPr>
            <w:r>
              <w:rPr>
                <w:sz w:val="22"/>
                <w:szCs w:val="22"/>
              </w:rPr>
              <w:t xml:space="preserve">José Edemir Agudo – Crear sistemas - </w:t>
            </w:r>
          </w:p>
        </w:tc>
        <w:tc>
          <w:tcPr>
            <w:tcW w:w="2153"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sz w:val="22"/>
                <w:szCs w:val="22"/>
              </w:rPr>
            </w:pPr>
            <w:r>
              <w:rPr>
                <w:sz w:val="22"/>
                <w:szCs w:val="22"/>
              </w:rPr>
              <w:t>2003 – 781</w:t>
            </w:r>
          </w:p>
          <w:p w:rsidR="007E60D0" w:rsidRDefault="007E60D0">
            <w:pPr>
              <w:jc w:val="center"/>
              <w:rPr>
                <w:sz w:val="22"/>
                <w:szCs w:val="22"/>
              </w:rPr>
            </w:pPr>
            <w:r>
              <w:rPr>
                <w:sz w:val="22"/>
                <w:szCs w:val="22"/>
              </w:rPr>
              <w:t xml:space="preserve">Contractual </w:t>
            </w:r>
          </w:p>
        </w:tc>
        <w:tc>
          <w:tcPr>
            <w:tcW w:w="4355"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both"/>
              <w:rPr>
                <w:sz w:val="22"/>
                <w:szCs w:val="22"/>
              </w:rPr>
            </w:pPr>
            <w:r>
              <w:rPr>
                <w:sz w:val="22"/>
                <w:szCs w:val="22"/>
              </w:rPr>
              <w:t xml:space="preserve">Sustentar el recurso de apelación contra el fallo de primera instancia. El 10-114-09 auto admite </w:t>
            </w:r>
            <w:r>
              <w:rPr>
                <w:sz w:val="22"/>
                <w:szCs w:val="22"/>
              </w:rPr>
              <w:lastRenderedPageBreak/>
              <w:t xml:space="preserve">el recurso de apelación interpuesto por la parte demandante contra el fallo de primera instancia. El 26-11-09 auto corre traslado a las partes por el término de 10 días para alegar de conclusión en 2 instancia. Al despacho para fallo de segunda instancia. </w:t>
            </w:r>
          </w:p>
        </w:tc>
      </w:tr>
      <w:tr w:rsidR="007E60D0">
        <w:trPr>
          <w:trHeight w:val="272"/>
        </w:trPr>
        <w:tc>
          <w:tcPr>
            <w:tcW w:w="2480" w:type="dxa"/>
            <w:tcBorders>
              <w:top w:val="single" w:sz="4" w:space="0" w:color="000000"/>
              <w:left w:val="single" w:sz="4" w:space="0" w:color="000000"/>
              <w:bottom w:val="single" w:sz="4" w:space="0" w:color="000000"/>
            </w:tcBorders>
            <w:shd w:val="clear" w:color="auto" w:fill="auto"/>
          </w:tcPr>
          <w:p w:rsidR="007E60D0" w:rsidRDefault="007E60D0">
            <w:pPr>
              <w:snapToGrid w:val="0"/>
              <w:rPr>
                <w:sz w:val="22"/>
                <w:szCs w:val="22"/>
              </w:rPr>
            </w:pPr>
            <w:r>
              <w:rPr>
                <w:sz w:val="22"/>
                <w:szCs w:val="22"/>
              </w:rPr>
              <w:lastRenderedPageBreak/>
              <w:t xml:space="preserve">Ángel Arnoldo Vargas </w:t>
            </w:r>
          </w:p>
        </w:tc>
        <w:tc>
          <w:tcPr>
            <w:tcW w:w="2153"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sz w:val="22"/>
                <w:szCs w:val="22"/>
              </w:rPr>
            </w:pPr>
            <w:r>
              <w:rPr>
                <w:sz w:val="22"/>
                <w:szCs w:val="22"/>
              </w:rPr>
              <w:t>2006 – 025</w:t>
            </w:r>
          </w:p>
          <w:p w:rsidR="007E60D0" w:rsidRDefault="007E60D0">
            <w:pPr>
              <w:jc w:val="center"/>
              <w:rPr>
                <w:sz w:val="22"/>
                <w:szCs w:val="22"/>
              </w:rPr>
            </w:pPr>
            <w:r>
              <w:rPr>
                <w:sz w:val="22"/>
                <w:szCs w:val="22"/>
              </w:rPr>
              <w:t>A. N. R. D</w:t>
            </w:r>
          </w:p>
        </w:tc>
        <w:tc>
          <w:tcPr>
            <w:tcW w:w="4355"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both"/>
              <w:rPr>
                <w:sz w:val="22"/>
                <w:szCs w:val="22"/>
              </w:rPr>
            </w:pPr>
            <w:r>
              <w:rPr>
                <w:sz w:val="22"/>
                <w:szCs w:val="22"/>
              </w:rPr>
              <w:t xml:space="preserve">13-08-009, se presento escrito de alegatos de conclusión. El 27-11-2009, se fija edicto se sentencia declarando negadas las pretensiones de la demanda, e. 12-12-2009, auto concede recurso de apelación  interpuesto por la parte demandante contra el fallo de primera instancia. </w:t>
            </w:r>
          </w:p>
        </w:tc>
      </w:tr>
      <w:tr w:rsidR="007E60D0">
        <w:trPr>
          <w:trHeight w:val="272"/>
        </w:trPr>
        <w:tc>
          <w:tcPr>
            <w:tcW w:w="2480" w:type="dxa"/>
            <w:tcBorders>
              <w:top w:val="single" w:sz="4" w:space="0" w:color="000000"/>
              <w:left w:val="single" w:sz="4" w:space="0" w:color="000000"/>
              <w:bottom w:val="single" w:sz="4" w:space="0" w:color="000000"/>
            </w:tcBorders>
            <w:shd w:val="clear" w:color="auto" w:fill="auto"/>
          </w:tcPr>
          <w:p w:rsidR="007E60D0" w:rsidRDefault="007E60D0">
            <w:pPr>
              <w:snapToGrid w:val="0"/>
              <w:rPr>
                <w:sz w:val="22"/>
                <w:szCs w:val="22"/>
              </w:rPr>
            </w:pPr>
            <w:r>
              <w:rPr>
                <w:sz w:val="22"/>
                <w:szCs w:val="22"/>
              </w:rPr>
              <w:t xml:space="preserve">Marly Constanza Collazos  </w:t>
            </w:r>
          </w:p>
        </w:tc>
        <w:tc>
          <w:tcPr>
            <w:tcW w:w="2153"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sz w:val="22"/>
                <w:szCs w:val="22"/>
              </w:rPr>
            </w:pPr>
            <w:r>
              <w:rPr>
                <w:sz w:val="22"/>
                <w:szCs w:val="22"/>
              </w:rPr>
              <w:t>2006 – 023</w:t>
            </w:r>
          </w:p>
          <w:p w:rsidR="007E60D0" w:rsidRDefault="007E60D0">
            <w:pPr>
              <w:jc w:val="center"/>
              <w:rPr>
                <w:sz w:val="22"/>
                <w:szCs w:val="22"/>
              </w:rPr>
            </w:pPr>
            <w:r>
              <w:rPr>
                <w:sz w:val="22"/>
                <w:szCs w:val="22"/>
              </w:rPr>
              <w:t>A. N. R. D</w:t>
            </w:r>
          </w:p>
        </w:tc>
        <w:tc>
          <w:tcPr>
            <w:tcW w:w="4355"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both"/>
              <w:rPr>
                <w:sz w:val="22"/>
                <w:szCs w:val="22"/>
              </w:rPr>
            </w:pPr>
            <w:r>
              <w:rPr>
                <w:sz w:val="22"/>
                <w:szCs w:val="22"/>
              </w:rPr>
              <w:t>Se encuentra en etapa probatoria. Se presentaron alegatos el 25-06-2010. Se dictó fallo a favor del Municipio.(Anexo copia del fallo).El actor apeló decisión y se encuentra en el Tribunal administrativo del Huila.</w:t>
            </w:r>
          </w:p>
        </w:tc>
      </w:tr>
      <w:tr w:rsidR="007E60D0">
        <w:trPr>
          <w:trHeight w:val="272"/>
        </w:trPr>
        <w:tc>
          <w:tcPr>
            <w:tcW w:w="2480" w:type="dxa"/>
            <w:tcBorders>
              <w:top w:val="single" w:sz="4" w:space="0" w:color="000000"/>
              <w:left w:val="single" w:sz="4" w:space="0" w:color="000000"/>
              <w:bottom w:val="single" w:sz="4" w:space="0" w:color="000000"/>
            </w:tcBorders>
            <w:shd w:val="clear" w:color="auto" w:fill="auto"/>
          </w:tcPr>
          <w:p w:rsidR="007E60D0" w:rsidRDefault="007E60D0">
            <w:pPr>
              <w:snapToGrid w:val="0"/>
              <w:rPr>
                <w:sz w:val="22"/>
                <w:szCs w:val="22"/>
              </w:rPr>
            </w:pPr>
            <w:r>
              <w:rPr>
                <w:sz w:val="22"/>
                <w:szCs w:val="22"/>
              </w:rPr>
              <w:t xml:space="preserve">Miguel Ángel Calderón </w:t>
            </w:r>
          </w:p>
        </w:tc>
        <w:tc>
          <w:tcPr>
            <w:tcW w:w="2153"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sz w:val="22"/>
                <w:szCs w:val="22"/>
              </w:rPr>
            </w:pPr>
            <w:r>
              <w:rPr>
                <w:sz w:val="22"/>
                <w:szCs w:val="22"/>
              </w:rPr>
              <w:t>2009 – 00447</w:t>
            </w:r>
          </w:p>
          <w:p w:rsidR="007E60D0" w:rsidRDefault="007E60D0">
            <w:pPr>
              <w:jc w:val="center"/>
              <w:rPr>
                <w:sz w:val="22"/>
                <w:szCs w:val="22"/>
              </w:rPr>
            </w:pPr>
            <w:r>
              <w:rPr>
                <w:sz w:val="22"/>
                <w:szCs w:val="22"/>
              </w:rPr>
              <w:t>A. N. R. D</w:t>
            </w:r>
          </w:p>
        </w:tc>
        <w:tc>
          <w:tcPr>
            <w:tcW w:w="4355"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both"/>
              <w:rPr>
                <w:sz w:val="22"/>
                <w:szCs w:val="22"/>
              </w:rPr>
            </w:pPr>
            <w:r>
              <w:rPr>
                <w:sz w:val="22"/>
                <w:szCs w:val="22"/>
              </w:rPr>
              <w:t>10-02-2010, auto admite demanda .Auto del 30-08-2010 se mando despacho comisorio al Juzgado de Palermo y a la fecha de 28 de abril de 2011 no ha llegado el proceso al juzgado. El 20-09-2011 se fijó en lista para contestar la demanda. Vence el 03 de octubre de 2011</w:t>
            </w:r>
          </w:p>
        </w:tc>
      </w:tr>
    </w:tbl>
    <w:p w:rsidR="007E60D0" w:rsidRDefault="007E60D0">
      <w:pPr>
        <w:pStyle w:val="Ttulo3"/>
        <w:rPr>
          <w:rFonts w:ascii="Times New Roman" w:hAnsi="Times New Roman" w:cs="Times New Roman"/>
        </w:rPr>
      </w:pPr>
    </w:p>
    <w:p w:rsidR="007E60D0" w:rsidRDefault="007E60D0">
      <w:pPr>
        <w:pStyle w:val="Ttulo3"/>
        <w:rPr>
          <w:rFonts w:ascii="Times New Roman" w:hAnsi="Times New Roman" w:cs="Times New Roman"/>
        </w:rPr>
      </w:pPr>
      <w:r>
        <w:rPr>
          <w:rFonts w:ascii="Times New Roman" w:hAnsi="Times New Roman" w:cs="Times New Roman"/>
        </w:rPr>
        <w:t>JUZGADO CUARTO ADMINISTRATIVO DE NEIVA</w:t>
      </w:r>
    </w:p>
    <w:p w:rsidR="007E60D0" w:rsidRDefault="007E60D0"/>
    <w:tbl>
      <w:tblPr>
        <w:tblW w:w="0" w:type="auto"/>
        <w:tblInd w:w="-5" w:type="dxa"/>
        <w:tblLayout w:type="fixed"/>
        <w:tblCellMar>
          <w:left w:w="70" w:type="dxa"/>
          <w:right w:w="70" w:type="dxa"/>
        </w:tblCellMar>
        <w:tblLook w:val="0000"/>
      </w:tblPr>
      <w:tblGrid>
        <w:gridCol w:w="2480"/>
        <w:gridCol w:w="2231"/>
        <w:gridCol w:w="4277"/>
      </w:tblGrid>
      <w:tr w:rsidR="007E60D0">
        <w:trPr>
          <w:trHeight w:val="323"/>
        </w:trPr>
        <w:tc>
          <w:tcPr>
            <w:tcW w:w="2480"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b/>
                <w:bCs/>
                <w:sz w:val="22"/>
                <w:szCs w:val="22"/>
              </w:rPr>
            </w:pPr>
            <w:r>
              <w:rPr>
                <w:b/>
                <w:bCs/>
                <w:sz w:val="22"/>
                <w:szCs w:val="22"/>
              </w:rPr>
              <w:t>DEMANDANTE</w:t>
            </w:r>
          </w:p>
        </w:tc>
        <w:tc>
          <w:tcPr>
            <w:tcW w:w="2231"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b/>
                <w:bCs/>
                <w:sz w:val="22"/>
                <w:szCs w:val="22"/>
              </w:rPr>
            </w:pPr>
            <w:r>
              <w:rPr>
                <w:b/>
                <w:bCs/>
                <w:sz w:val="22"/>
                <w:szCs w:val="22"/>
              </w:rPr>
              <w:t>RADICACIÓN</w:t>
            </w:r>
          </w:p>
        </w:tc>
        <w:tc>
          <w:tcPr>
            <w:tcW w:w="4277"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center"/>
              <w:rPr>
                <w:b/>
                <w:bCs/>
                <w:sz w:val="22"/>
                <w:szCs w:val="22"/>
              </w:rPr>
            </w:pPr>
            <w:r>
              <w:rPr>
                <w:b/>
                <w:bCs/>
                <w:sz w:val="22"/>
                <w:szCs w:val="22"/>
              </w:rPr>
              <w:t>ESTADO PROCESAL</w:t>
            </w:r>
          </w:p>
        </w:tc>
      </w:tr>
      <w:tr w:rsidR="007E60D0">
        <w:trPr>
          <w:trHeight w:val="347"/>
        </w:trPr>
        <w:tc>
          <w:tcPr>
            <w:tcW w:w="2480" w:type="dxa"/>
            <w:tcBorders>
              <w:top w:val="single" w:sz="4" w:space="0" w:color="000000"/>
              <w:left w:val="single" w:sz="4" w:space="0" w:color="000000"/>
              <w:bottom w:val="single" w:sz="4" w:space="0" w:color="000000"/>
            </w:tcBorders>
            <w:shd w:val="clear" w:color="auto" w:fill="auto"/>
          </w:tcPr>
          <w:p w:rsidR="007E60D0" w:rsidRDefault="007E60D0">
            <w:pPr>
              <w:pStyle w:val="Ttulo2"/>
              <w:snapToGrid w:val="0"/>
              <w:rPr>
                <w:rFonts w:ascii="Times New Roman" w:hAnsi="Times New Roman" w:cs="Times New Roman"/>
                <w:b w:val="0"/>
                <w:bCs w:val="0"/>
                <w:i w:val="0"/>
                <w:sz w:val="22"/>
                <w:szCs w:val="22"/>
                <w:lang w:val="es-CO"/>
              </w:rPr>
            </w:pPr>
            <w:r>
              <w:rPr>
                <w:rFonts w:ascii="Times New Roman" w:hAnsi="Times New Roman" w:cs="Times New Roman"/>
                <w:b w:val="0"/>
                <w:bCs w:val="0"/>
                <w:i w:val="0"/>
                <w:sz w:val="22"/>
                <w:szCs w:val="22"/>
                <w:lang w:val="es-CO"/>
              </w:rPr>
              <w:lastRenderedPageBreak/>
              <w:t>José Pedro Tovar Penagos</w:t>
            </w:r>
          </w:p>
        </w:tc>
        <w:tc>
          <w:tcPr>
            <w:tcW w:w="2231" w:type="dxa"/>
            <w:tcBorders>
              <w:top w:val="single" w:sz="4" w:space="0" w:color="000000"/>
              <w:left w:val="single" w:sz="4" w:space="0" w:color="000000"/>
              <w:bottom w:val="single" w:sz="4" w:space="0" w:color="000000"/>
            </w:tcBorders>
            <w:shd w:val="clear" w:color="auto" w:fill="auto"/>
          </w:tcPr>
          <w:p w:rsidR="007E60D0" w:rsidRDefault="007E60D0">
            <w:pPr>
              <w:pStyle w:val="Ttulo2"/>
              <w:snapToGrid w:val="0"/>
              <w:jc w:val="center"/>
              <w:rPr>
                <w:rFonts w:ascii="Times New Roman" w:hAnsi="Times New Roman" w:cs="Times New Roman"/>
                <w:b w:val="0"/>
                <w:bCs w:val="0"/>
                <w:i w:val="0"/>
                <w:sz w:val="22"/>
                <w:szCs w:val="22"/>
                <w:lang w:val="es-CO"/>
              </w:rPr>
            </w:pPr>
            <w:r>
              <w:rPr>
                <w:rFonts w:ascii="Times New Roman" w:hAnsi="Times New Roman" w:cs="Times New Roman"/>
                <w:b w:val="0"/>
                <w:bCs w:val="0"/>
                <w:i w:val="0"/>
                <w:sz w:val="22"/>
                <w:szCs w:val="22"/>
                <w:lang w:val="es-CO"/>
              </w:rPr>
              <w:t>2006-465</w:t>
            </w:r>
          </w:p>
          <w:p w:rsidR="007E60D0" w:rsidRDefault="007E60D0">
            <w:pPr>
              <w:jc w:val="center"/>
              <w:rPr>
                <w:sz w:val="22"/>
                <w:szCs w:val="22"/>
              </w:rPr>
            </w:pPr>
            <w:r>
              <w:rPr>
                <w:sz w:val="22"/>
                <w:szCs w:val="22"/>
              </w:rPr>
              <w:t>Reparación Directa</w:t>
            </w:r>
          </w:p>
        </w:tc>
        <w:tc>
          <w:tcPr>
            <w:tcW w:w="4277"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both"/>
              <w:rPr>
                <w:sz w:val="22"/>
                <w:szCs w:val="22"/>
              </w:rPr>
            </w:pPr>
            <w:r>
              <w:rPr>
                <w:sz w:val="22"/>
                <w:szCs w:val="22"/>
              </w:rPr>
              <w:t>Esta en pruebas.</w:t>
            </w:r>
          </w:p>
        </w:tc>
      </w:tr>
      <w:tr w:rsidR="007E60D0">
        <w:trPr>
          <w:trHeight w:val="347"/>
        </w:trPr>
        <w:tc>
          <w:tcPr>
            <w:tcW w:w="2480" w:type="dxa"/>
            <w:tcBorders>
              <w:top w:val="single" w:sz="4" w:space="0" w:color="000000"/>
              <w:left w:val="single" w:sz="4" w:space="0" w:color="000000"/>
              <w:bottom w:val="single" w:sz="4" w:space="0" w:color="000000"/>
            </w:tcBorders>
            <w:shd w:val="clear" w:color="auto" w:fill="auto"/>
          </w:tcPr>
          <w:p w:rsidR="007E60D0" w:rsidRDefault="007E60D0">
            <w:pPr>
              <w:pStyle w:val="Ttulo2"/>
              <w:snapToGrid w:val="0"/>
              <w:rPr>
                <w:rFonts w:ascii="Times New Roman" w:hAnsi="Times New Roman" w:cs="Times New Roman"/>
                <w:b w:val="0"/>
                <w:bCs w:val="0"/>
                <w:i w:val="0"/>
                <w:sz w:val="22"/>
                <w:szCs w:val="22"/>
                <w:lang w:val="es-CO"/>
              </w:rPr>
            </w:pPr>
            <w:r>
              <w:rPr>
                <w:rFonts w:ascii="Times New Roman" w:hAnsi="Times New Roman" w:cs="Times New Roman"/>
                <w:b w:val="0"/>
                <w:bCs w:val="0"/>
                <w:i w:val="0"/>
                <w:sz w:val="22"/>
                <w:szCs w:val="22"/>
                <w:lang w:val="es-CO"/>
              </w:rPr>
              <w:t xml:space="preserve">Rubén Darío Silva Oviedo </w:t>
            </w:r>
          </w:p>
        </w:tc>
        <w:tc>
          <w:tcPr>
            <w:tcW w:w="2231" w:type="dxa"/>
            <w:tcBorders>
              <w:top w:val="single" w:sz="4" w:space="0" w:color="000000"/>
              <w:left w:val="single" w:sz="4" w:space="0" w:color="000000"/>
              <w:bottom w:val="single" w:sz="4" w:space="0" w:color="000000"/>
            </w:tcBorders>
            <w:shd w:val="clear" w:color="auto" w:fill="auto"/>
          </w:tcPr>
          <w:p w:rsidR="007E60D0" w:rsidRDefault="007E60D0">
            <w:pPr>
              <w:pStyle w:val="Ttulo2"/>
              <w:snapToGrid w:val="0"/>
              <w:jc w:val="center"/>
              <w:rPr>
                <w:rFonts w:ascii="Times New Roman" w:hAnsi="Times New Roman" w:cs="Times New Roman"/>
                <w:b w:val="0"/>
                <w:bCs w:val="0"/>
                <w:i w:val="0"/>
                <w:sz w:val="22"/>
                <w:szCs w:val="22"/>
                <w:lang w:val="es-CO"/>
              </w:rPr>
            </w:pPr>
            <w:r>
              <w:rPr>
                <w:rFonts w:ascii="Times New Roman" w:hAnsi="Times New Roman" w:cs="Times New Roman"/>
                <w:b w:val="0"/>
                <w:bCs w:val="0"/>
                <w:i w:val="0"/>
                <w:sz w:val="22"/>
                <w:szCs w:val="22"/>
                <w:lang w:val="es-CO"/>
              </w:rPr>
              <w:t xml:space="preserve">2008 -335 </w:t>
            </w:r>
          </w:p>
        </w:tc>
        <w:tc>
          <w:tcPr>
            <w:tcW w:w="4277"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both"/>
              <w:rPr>
                <w:sz w:val="22"/>
                <w:szCs w:val="22"/>
              </w:rPr>
            </w:pPr>
            <w:r>
              <w:rPr>
                <w:sz w:val="22"/>
                <w:szCs w:val="22"/>
              </w:rPr>
              <w:t xml:space="preserve">El 13-08-2009, auto decreta pruebas. El 08-10-2009, auto pone en conocimiento el oficio allegado por el municipio de Palermo. </w:t>
            </w:r>
          </w:p>
        </w:tc>
      </w:tr>
      <w:tr w:rsidR="007E60D0">
        <w:trPr>
          <w:trHeight w:val="347"/>
        </w:trPr>
        <w:tc>
          <w:tcPr>
            <w:tcW w:w="2480" w:type="dxa"/>
            <w:tcBorders>
              <w:top w:val="single" w:sz="4" w:space="0" w:color="000000"/>
              <w:left w:val="single" w:sz="4" w:space="0" w:color="000000"/>
              <w:bottom w:val="single" w:sz="4" w:space="0" w:color="000000"/>
            </w:tcBorders>
            <w:shd w:val="clear" w:color="auto" w:fill="auto"/>
          </w:tcPr>
          <w:p w:rsidR="007E60D0" w:rsidRDefault="007E60D0">
            <w:pPr>
              <w:pStyle w:val="Ttulo2"/>
              <w:snapToGrid w:val="0"/>
              <w:rPr>
                <w:rFonts w:ascii="Times New Roman" w:hAnsi="Times New Roman" w:cs="Times New Roman"/>
                <w:b w:val="0"/>
                <w:bCs w:val="0"/>
                <w:i w:val="0"/>
                <w:sz w:val="22"/>
                <w:szCs w:val="22"/>
                <w:lang w:val="es-CO"/>
              </w:rPr>
            </w:pPr>
            <w:r>
              <w:rPr>
                <w:rFonts w:ascii="Times New Roman" w:hAnsi="Times New Roman" w:cs="Times New Roman"/>
                <w:b w:val="0"/>
                <w:bCs w:val="0"/>
                <w:i w:val="0"/>
                <w:sz w:val="22"/>
                <w:szCs w:val="22"/>
                <w:lang w:val="es-CO"/>
              </w:rPr>
              <w:t xml:space="preserve">Luis Carlos Torregoza Díaz </w:t>
            </w:r>
          </w:p>
        </w:tc>
        <w:tc>
          <w:tcPr>
            <w:tcW w:w="2231" w:type="dxa"/>
            <w:tcBorders>
              <w:top w:val="single" w:sz="4" w:space="0" w:color="000000"/>
              <w:left w:val="single" w:sz="4" w:space="0" w:color="000000"/>
              <w:bottom w:val="single" w:sz="4" w:space="0" w:color="000000"/>
            </w:tcBorders>
            <w:shd w:val="clear" w:color="auto" w:fill="auto"/>
          </w:tcPr>
          <w:p w:rsidR="007E60D0" w:rsidRDefault="007E60D0">
            <w:pPr>
              <w:pStyle w:val="Ttulo2"/>
              <w:snapToGrid w:val="0"/>
              <w:jc w:val="center"/>
              <w:rPr>
                <w:rFonts w:ascii="Times New Roman" w:hAnsi="Times New Roman" w:cs="Times New Roman"/>
                <w:b w:val="0"/>
                <w:bCs w:val="0"/>
                <w:i w:val="0"/>
                <w:sz w:val="22"/>
                <w:szCs w:val="22"/>
                <w:lang w:val="es-CO"/>
              </w:rPr>
            </w:pPr>
            <w:r>
              <w:rPr>
                <w:rFonts w:ascii="Times New Roman" w:hAnsi="Times New Roman" w:cs="Times New Roman"/>
                <w:b w:val="0"/>
                <w:bCs w:val="0"/>
                <w:i w:val="0"/>
                <w:sz w:val="22"/>
                <w:szCs w:val="22"/>
                <w:lang w:val="es-CO"/>
              </w:rPr>
              <w:t xml:space="preserve">2009 -136 </w:t>
            </w:r>
          </w:p>
        </w:tc>
        <w:tc>
          <w:tcPr>
            <w:tcW w:w="4277"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both"/>
              <w:rPr>
                <w:sz w:val="22"/>
                <w:szCs w:val="22"/>
              </w:rPr>
            </w:pPr>
            <w:r>
              <w:rPr>
                <w:sz w:val="22"/>
                <w:szCs w:val="22"/>
              </w:rPr>
              <w:t>Se encuentra al despacho para fallo. El 06-06-2011 fallo a favor del municipio. El 19-05-2011 auto concede apelación.</w:t>
            </w:r>
          </w:p>
        </w:tc>
      </w:tr>
      <w:tr w:rsidR="007E60D0">
        <w:trPr>
          <w:trHeight w:val="347"/>
        </w:trPr>
        <w:tc>
          <w:tcPr>
            <w:tcW w:w="2480" w:type="dxa"/>
            <w:tcBorders>
              <w:top w:val="single" w:sz="4" w:space="0" w:color="000000"/>
              <w:left w:val="single" w:sz="4" w:space="0" w:color="000000"/>
              <w:bottom w:val="single" w:sz="4" w:space="0" w:color="000000"/>
            </w:tcBorders>
            <w:shd w:val="clear" w:color="auto" w:fill="auto"/>
          </w:tcPr>
          <w:p w:rsidR="007E60D0" w:rsidRDefault="007E60D0">
            <w:pPr>
              <w:pStyle w:val="Ttulo2"/>
              <w:snapToGrid w:val="0"/>
              <w:rPr>
                <w:rFonts w:ascii="Times New Roman" w:hAnsi="Times New Roman" w:cs="Times New Roman"/>
                <w:b w:val="0"/>
                <w:bCs w:val="0"/>
                <w:i w:val="0"/>
                <w:sz w:val="22"/>
                <w:szCs w:val="22"/>
                <w:lang w:val="es-CO"/>
              </w:rPr>
            </w:pPr>
            <w:r>
              <w:rPr>
                <w:rFonts w:ascii="Times New Roman" w:hAnsi="Times New Roman" w:cs="Times New Roman"/>
                <w:b w:val="0"/>
                <w:bCs w:val="0"/>
                <w:i w:val="0"/>
                <w:sz w:val="22"/>
                <w:szCs w:val="22"/>
                <w:lang w:val="es-CO"/>
              </w:rPr>
              <w:t>Víctor Julio Ramírez Minù</w:t>
            </w:r>
          </w:p>
        </w:tc>
        <w:tc>
          <w:tcPr>
            <w:tcW w:w="2231" w:type="dxa"/>
            <w:tcBorders>
              <w:top w:val="single" w:sz="4" w:space="0" w:color="000000"/>
              <w:left w:val="single" w:sz="4" w:space="0" w:color="000000"/>
              <w:bottom w:val="single" w:sz="4" w:space="0" w:color="000000"/>
            </w:tcBorders>
            <w:shd w:val="clear" w:color="auto" w:fill="auto"/>
          </w:tcPr>
          <w:p w:rsidR="007E60D0" w:rsidRDefault="007E60D0">
            <w:pPr>
              <w:pStyle w:val="Ttulo2"/>
              <w:snapToGrid w:val="0"/>
              <w:jc w:val="center"/>
              <w:rPr>
                <w:rFonts w:ascii="Times New Roman" w:hAnsi="Times New Roman" w:cs="Times New Roman"/>
                <w:b w:val="0"/>
                <w:bCs w:val="0"/>
                <w:i w:val="0"/>
                <w:sz w:val="22"/>
                <w:szCs w:val="22"/>
                <w:lang w:val="es-CO"/>
              </w:rPr>
            </w:pPr>
            <w:r>
              <w:rPr>
                <w:rFonts w:ascii="Times New Roman" w:hAnsi="Times New Roman" w:cs="Times New Roman"/>
                <w:b w:val="0"/>
                <w:bCs w:val="0"/>
                <w:i w:val="0"/>
                <w:sz w:val="22"/>
                <w:szCs w:val="22"/>
                <w:lang w:val="es-CO"/>
              </w:rPr>
              <w:t>2010-058</w:t>
            </w:r>
          </w:p>
          <w:p w:rsidR="007E60D0" w:rsidRDefault="007E60D0">
            <w:pPr>
              <w:jc w:val="center"/>
              <w:rPr>
                <w:sz w:val="22"/>
                <w:szCs w:val="22"/>
              </w:rPr>
            </w:pPr>
            <w:r>
              <w:rPr>
                <w:sz w:val="22"/>
                <w:szCs w:val="22"/>
              </w:rPr>
              <w:t>Nulidad y Restablecimiento del Derecho</w:t>
            </w:r>
          </w:p>
        </w:tc>
        <w:tc>
          <w:tcPr>
            <w:tcW w:w="4277"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both"/>
              <w:rPr>
                <w:sz w:val="22"/>
                <w:szCs w:val="22"/>
              </w:rPr>
            </w:pPr>
            <w:r>
              <w:rPr>
                <w:sz w:val="22"/>
                <w:szCs w:val="22"/>
              </w:rPr>
              <w:t xml:space="preserve">El 05 -08-2010 se contestó la demanda y el 17-08-2010 se descorrieron los términos para las exceptivas.02-09-2010 Auto decreta pruebas. </w:t>
            </w:r>
          </w:p>
        </w:tc>
      </w:tr>
      <w:tr w:rsidR="007E60D0">
        <w:trPr>
          <w:trHeight w:val="347"/>
        </w:trPr>
        <w:tc>
          <w:tcPr>
            <w:tcW w:w="2480" w:type="dxa"/>
            <w:tcBorders>
              <w:top w:val="single" w:sz="4" w:space="0" w:color="000000"/>
              <w:left w:val="single" w:sz="4" w:space="0" w:color="000000"/>
              <w:bottom w:val="single" w:sz="4" w:space="0" w:color="000000"/>
            </w:tcBorders>
            <w:shd w:val="clear" w:color="auto" w:fill="auto"/>
          </w:tcPr>
          <w:p w:rsidR="007E60D0" w:rsidRDefault="007E60D0">
            <w:pPr>
              <w:pStyle w:val="Ttulo2"/>
              <w:snapToGrid w:val="0"/>
              <w:rPr>
                <w:rFonts w:ascii="Times New Roman" w:hAnsi="Times New Roman" w:cs="Times New Roman"/>
                <w:b w:val="0"/>
                <w:bCs w:val="0"/>
                <w:i w:val="0"/>
                <w:sz w:val="22"/>
                <w:szCs w:val="22"/>
                <w:lang w:val="es-CO"/>
              </w:rPr>
            </w:pPr>
            <w:r>
              <w:rPr>
                <w:rFonts w:ascii="Times New Roman" w:hAnsi="Times New Roman" w:cs="Times New Roman"/>
                <w:b w:val="0"/>
                <w:bCs w:val="0"/>
                <w:i w:val="0"/>
                <w:sz w:val="22"/>
                <w:szCs w:val="22"/>
                <w:lang w:val="es-CO"/>
              </w:rPr>
              <w:t>Alirio Cortés Londoño</w:t>
            </w:r>
          </w:p>
        </w:tc>
        <w:tc>
          <w:tcPr>
            <w:tcW w:w="2231" w:type="dxa"/>
            <w:tcBorders>
              <w:top w:val="single" w:sz="4" w:space="0" w:color="000000"/>
              <w:left w:val="single" w:sz="4" w:space="0" w:color="000000"/>
              <w:bottom w:val="single" w:sz="4" w:space="0" w:color="000000"/>
            </w:tcBorders>
            <w:shd w:val="clear" w:color="auto" w:fill="auto"/>
          </w:tcPr>
          <w:p w:rsidR="007E60D0" w:rsidRDefault="007E60D0">
            <w:pPr>
              <w:pStyle w:val="Ttulo2"/>
              <w:snapToGrid w:val="0"/>
              <w:jc w:val="center"/>
              <w:rPr>
                <w:rFonts w:ascii="Times New Roman" w:hAnsi="Times New Roman" w:cs="Times New Roman"/>
                <w:b w:val="0"/>
                <w:bCs w:val="0"/>
                <w:i w:val="0"/>
                <w:sz w:val="22"/>
                <w:szCs w:val="22"/>
                <w:lang w:val="es-CO"/>
              </w:rPr>
            </w:pPr>
            <w:r>
              <w:rPr>
                <w:rFonts w:ascii="Times New Roman" w:hAnsi="Times New Roman" w:cs="Times New Roman"/>
                <w:b w:val="0"/>
                <w:bCs w:val="0"/>
                <w:i w:val="0"/>
                <w:sz w:val="22"/>
                <w:szCs w:val="22"/>
                <w:lang w:val="es-CO"/>
              </w:rPr>
              <w:t>2009-289</w:t>
            </w:r>
          </w:p>
          <w:p w:rsidR="007E60D0" w:rsidRDefault="007E60D0">
            <w:pPr>
              <w:jc w:val="center"/>
              <w:rPr>
                <w:sz w:val="22"/>
                <w:szCs w:val="22"/>
              </w:rPr>
            </w:pPr>
            <w:r>
              <w:rPr>
                <w:sz w:val="22"/>
                <w:szCs w:val="22"/>
              </w:rPr>
              <w:t>A.P.</w:t>
            </w:r>
          </w:p>
        </w:tc>
        <w:tc>
          <w:tcPr>
            <w:tcW w:w="4277"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both"/>
              <w:rPr>
                <w:sz w:val="22"/>
                <w:szCs w:val="22"/>
              </w:rPr>
            </w:pPr>
            <w:r>
              <w:rPr>
                <w:sz w:val="22"/>
                <w:szCs w:val="22"/>
              </w:rPr>
              <w:t xml:space="preserve"> El 08-02-2011 auto decreta pruebas</w:t>
            </w:r>
          </w:p>
        </w:tc>
      </w:tr>
      <w:tr w:rsidR="007E60D0">
        <w:trPr>
          <w:trHeight w:val="347"/>
        </w:trPr>
        <w:tc>
          <w:tcPr>
            <w:tcW w:w="2480" w:type="dxa"/>
            <w:tcBorders>
              <w:top w:val="single" w:sz="4" w:space="0" w:color="000000"/>
              <w:left w:val="single" w:sz="4" w:space="0" w:color="000000"/>
              <w:bottom w:val="single" w:sz="4" w:space="0" w:color="000000"/>
            </w:tcBorders>
            <w:shd w:val="clear" w:color="auto" w:fill="auto"/>
          </w:tcPr>
          <w:p w:rsidR="007E60D0" w:rsidRDefault="007E60D0">
            <w:pPr>
              <w:pStyle w:val="Ttulo2"/>
              <w:snapToGrid w:val="0"/>
              <w:rPr>
                <w:rFonts w:ascii="Times New Roman" w:hAnsi="Times New Roman" w:cs="Times New Roman"/>
                <w:b w:val="0"/>
                <w:bCs w:val="0"/>
                <w:i w:val="0"/>
                <w:sz w:val="22"/>
                <w:szCs w:val="22"/>
                <w:lang w:val="es-CO"/>
              </w:rPr>
            </w:pPr>
            <w:r>
              <w:rPr>
                <w:rFonts w:ascii="Times New Roman" w:hAnsi="Times New Roman" w:cs="Times New Roman"/>
                <w:b w:val="0"/>
                <w:bCs w:val="0"/>
                <w:i w:val="0"/>
                <w:sz w:val="22"/>
                <w:szCs w:val="22"/>
                <w:lang w:val="es-CO"/>
              </w:rPr>
              <w:t>Javier Elías Idàrraga</w:t>
            </w:r>
          </w:p>
        </w:tc>
        <w:tc>
          <w:tcPr>
            <w:tcW w:w="2231" w:type="dxa"/>
            <w:tcBorders>
              <w:top w:val="single" w:sz="4" w:space="0" w:color="000000"/>
              <w:left w:val="single" w:sz="4" w:space="0" w:color="000000"/>
              <w:bottom w:val="single" w:sz="4" w:space="0" w:color="000000"/>
            </w:tcBorders>
            <w:shd w:val="clear" w:color="auto" w:fill="auto"/>
          </w:tcPr>
          <w:p w:rsidR="007E60D0" w:rsidRDefault="007E60D0">
            <w:pPr>
              <w:pStyle w:val="Ttulo2"/>
              <w:snapToGrid w:val="0"/>
              <w:jc w:val="center"/>
              <w:rPr>
                <w:rFonts w:ascii="Times New Roman" w:hAnsi="Times New Roman" w:cs="Times New Roman"/>
                <w:b w:val="0"/>
                <w:bCs w:val="0"/>
                <w:i w:val="0"/>
                <w:sz w:val="22"/>
                <w:szCs w:val="22"/>
                <w:lang w:val="es-CO"/>
              </w:rPr>
            </w:pPr>
            <w:r>
              <w:rPr>
                <w:rFonts w:ascii="Times New Roman" w:hAnsi="Times New Roman" w:cs="Times New Roman"/>
                <w:b w:val="0"/>
                <w:bCs w:val="0"/>
                <w:i w:val="0"/>
                <w:sz w:val="22"/>
                <w:szCs w:val="22"/>
                <w:lang w:val="es-CO"/>
              </w:rPr>
              <w:t>2009-307</w:t>
            </w:r>
          </w:p>
          <w:p w:rsidR="007E60D0" w:rsidRDefault="007E60D0">
            <w:pPr>
              <w:jc w:val="center"/>
              <w:rPr>
                <w:sz w:val="22"/>
                <w:szCs w:val="22"/>
              </w:rPr>
            </w:pPr>
            <w:r>
              <w:rPr>
                <w:sz w:val="22"/>
                <w:szCs w:val="22"/>
              </w:rPr>
              <w:t>A.P.</w:t>
            </w:r>
          </w:p>
        </w:tc>
        <w:tc>
          <w:tcPr>
            <w:tcW w:w="4277"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both"/>
              <w:rPr>
                <w:sz w:val="22"/>
                <w:szCs w:val="22"/>
              </w:rPr>
            </w:pPr>
            <w:r>
              <w:rPr>
                <w:sz w:val="22"/>
                <w:szCs w:val="22"/>
              </w:rPr>
              <w:t>Falló a favor del municipio. Se preguntó al despacho y el proceso no fue apelado.</w:t>
            </w:r>
          </w:p>
        </w:tc>
      </w:tr>
      <w:tr w:rsidR="007E60D0">
        <w:trPr>
          <w:trHeight w:val="347"/>
        </w:trPr>
        <w:tc>
          <w:tcPr>
            <w:tcW w:w="2480" w:type="dxa"/>
            <w:tcBorders>
              <w:top w:val="single" w:sz="4" w:space="0" w:color="000000"/>
              <w:left w:val="single" w:sz="4" w:space="0" w:color="000000"/>
              <w:bottom w:val="single" w:sz="4" w:space="0" w:color="000000"/>
            </w:tcBorders>
            <w:shd w:val="clear" w:color="auto" w:fill="auto"/>
          </w:tcPr>
          <w:p w:rsidR="007E60D0" w:rsidRDefault="007E60D0">
            <w:pPr>
              <w:pStyle w:val="Ttulo2"/>
              <w:snapToGrid w:val="0"/>
              <w:rPr>
                <w:rFonts w:ascii="Times New Roman" w:hAnsi="Times New Roman" w:cs="Times New Roman"/>
                <w:b w:val="0"/>
                <w:bCs w:val="0"/>
                <w:i w:val="0"/>
                <w:sz w:val="22"/>
                <w:szCs w:val="22"/>
                <w:lang w:val="es-CO"/>
              </w:rPr>
            </w:pPr>
            <w:r>
              <w:rPr>
                <w:rFonts w:ascii="Times New Roman" w:hAnsi="Times New Roman" w:cs="Times New Roman"/>
                <w:b w:val="0"/>
                <w:bCs w:val="0"/>
                <w:i w:val="0"/>
                <w:sz w:val="22"/>
                <w:szCs w:val="22"/>
                <w:lang w:val="es-CO"/>
              </w:rPr>
              <w:t>Javier Elías Idàrraga</w:t>
            </w:r>
          </w:p>
        </w:tc>
        <w:tc>
          <w:tcPr>
            <w:tcW w:w="2231" w:type="dxa"/>
            <w:tcBorders>
              <w:top w:val="single" w:sz="4" w:space="0" w:color="000000"/>
              <w:left w:val="single" w:sz="4" w:space="0" w:color="000000"/>
              <w:bottom w:val="single" w:sz="4" w:space="0" w:color="000000"/>
            </w:tcBorders>
            <w:shd w:val="clear" w:color="auto" w:fill="auto"/>
          </w:tcPr>
          <w:p w:rsidR="007E60D0" w:rsidRDefault="007E60D0">
            <w:pPr>
              <w:pStyle w:val="Ttulo2"/>
              <w:snapToGrid w:val="0"/>
              <w:jc w:val="center"/>
              <w:rPr>
                <w:rFonts w:ascii="Times New Roman" w:hAnsi="Times New Roman" w:cs="Times New Roman"/>
                <w:b w:val="0"/>
                <w:bCs w:val="0"/>
                <w:i w:val="0"/>
                <w:sz w:val="22"/>
                <w:szCs w:val="22"/>
                <w:lang w:val="es-CO"/>
              </w:rPr>
            </w:pPr>
            <w:r>
              <w:rPr>
                <w:rFonts w:ascii="Times New Roman" w:hAnsi="Times New Roman" w:cs="Times New Roman"/>
                <w:b w:val="0"/>
                <w:bCs w:val="0"/>
                <w:i w:val="0"/>
                <w:sz w:val="22"/>
                <w:szCs w:val="22"/>
                <w:lang w:val="es-CO"/>
              </w:rPr>
              <w:t>2009-247</w:t>
            </w:r>
          </w:p>
          <w:p w:rsidR="007E60D0" w:rsidRDefault="007E60D0">
            <w:pPr>
              <w:jc w:val="center"/>
              <w:rPr>
                <w:sz w:val="22"/>
                <w:szCs w:val="22"/>
              </w:rPr>
            </w:pPr>
            <w:r>
              <w:rPr>
                <w:sz w:val="22"/>
                <w:szCs w:val="22"/>
              </w:rPr>
              <w:t>A.P.</w:t>
            </w:r>
          </w:p>
        </w:tc>
        <w:tc>
          <w:tcPr>
            <w:tcW w:w="4277"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both"/>
              <w:rPr>
                <w:sz w:val="22"/>
                <w:szCs w:val="22"/>
              </w:rPr>
            </w:pPr>
            <w:r>
              <w:rPr>
                <w:sz w:val="22"/>
                <w:szCs w:val="22"/>
              </w:rPr>
              <w:t xml:space="preserve"> Falló a favor del municipio. Se preguntó en el despacho y el proceso no fue apelado.</w:t>
            </w:r>
          </w:p>
        </w:tc>
      </w:tr>
      <w:tr w:rsidR="007E60D0">
        <w:trPr>
          <w:trHeight w:val="347"/>
        </w:trPr>
        <w:tc>
          <w:tcPr>
            <w:tcW w:w="2480" w:type="dxa"/>
            <w:tcBorders>
              <w:top w:val="single" w:sz="4" w:space="0" w:color="000000"/>
              <w:left w:val="single" w:sz="4" w:space="0" w:color="000000"/>
              <w:bottom w:val="single" w:sz="4" w:space="0" w:color="000000"/>
            </w:tcBorders>
            <w:shd w:val="clear" w:color="auto" w:fill="auto"/>
          </w:tcPr>
          <w:p w:rsidR="007E60D0" w:rsidRDefault="007E60D0">
            <w:pPr>
              <w:pStyle w:val="Ttulo2"/>
              <w:snapToGrid w:val="0"/>
              <w:rPr>
                <w:rFonts w:ascii="Times New Roman" w:hAnsi="Times New Roman" w:cs="Times New Roman"/>
                <w:b w:val="0"/>
                <w:bCs w:val="0"/>
                <w:i w:val="0"/>
                <w:sz w:val="22"/>
                <w:szCs w:val="22"/>
                <w:lang w:val="es-CO"/>
              </w:rPr>
            </w:pPr>
            <w:r>
              <w:rPr>
                <w:rFonts w:ascii="Times New Roman" w:hAnsi="Times New Roman" w:cs="Times New Roman"/>
                <w:b w:val="0"/>
                <w:bCs w:val="0"/>
                <w:i w:val="0"/>
                <w:sz w:val="22"/>
                <w:szCs w:val="22"/>
                <w:lang w:val="es-CO"/>
              </w:rPr>
              <w:t>Luis Fernando Claros Soto</w:t>
            </w:r>
          </w:p>
        </w:tc>
        <w:tc>
          <w:tcPr>
            <w:tcW w:w="2231" w:type="dxa"/>
            <w:tcBorders>
              <w:top w:val="single" w:sz="4" w:space="0" w:color="000000"/>
              <w:left w:val="single" w:sz="4" w:space="0" w:color="000000"/>
              <w:bottom w:val="single" w:sz="4" w:space="0" w:color="000000"/>
            </w:tcBorders>
            <w:shd w:val="clear" w:color="auto" w:fill="auto"/>
          </w:tcPr>
          <w:p w:rsidR="007E60D0" w:rsidRDefault="007E60D0">
            <w:pPr>
              <w:pStyle w:val="Ttulo2"/>
              <w:snapToGrid w:val="0"/>
              <w:jc w:val="center"/>
              <w:rPr>
                <w:rFonts w:ascii="Times New Roman" w:hAnsi="Times New Roman" w:cs="Times New Roman"/>
                <w:b w:val="0"/>
                <w:bCs w:val="0"/>
                <w:i w:val="0"/>
                <w:sz w:val="22"/>
                <w:szCs w:val="22"/>
                <w:lang w:val="es-CO"/>
              </w:rPr>
            </w:pPr>
            <w:r>
              <w:rPr>
                <w:rFonts w:ascii="Times New Roman" w:hAnsi="Times New Roman" w:cs="Times New Roman"/>
                <w:b w:val="0"/>
                <w:bCs w:val="0"/>
                <w:i w:val="0"/>
                <w:sz w:val="22"/>
                <w:szCs w:val="22"/>
                <w:lang w:val="es-CO"/>
              </w:rPr>
              <w:t>2009-377</w:t>
            </w:r>
          </w:p>
          <w:p w:rsidR="007E60D0" w:rsidRDefault="007E60D0">
            <w:pPr>
              <w:jc w:val="center"/>
              <w:rPr>
                <w:sz w:val="22"/>
                <w:szCs w:val="22"/>
              </w:rPr>
            </w:pPr>
            <w:r>
              <w:rPr>
                <w:sz w:val="22"/>
                <w:szCs w:val="22"/>
              </w:rPr>
              <w:t>A.P.</w:t>
            </w:r>
          </w:p>
        </w:tc>
        <w:tc>
          <w:tcPr>
            <w:tcW w:w="4277"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both"/>
              <w:rPr>
                <w:sz w:val="22"/>
                <w:szCs w:val="22"/>
              </w:rPr>
            </w:pPr>
            <w:r>
              <w:rPr>
                <w:sz w:val="22"/>
                <w:szCs w:val="22"/>
              </w:rPr>
              <w:t xml:space="preserve"> El 25-08-2011 auto concede término para alegatos de conclusión. El 01-09-2011 se presentó alegatos de conclusión.</w:t>
            </w:r>
          </w:p>
        </w:tc>
      </w:tr>
    </w:tbl>
    <w:p w:rsidR="007E60D0" w:rsidRDefault="007E60D0">
      <w:pPr>
        <w:rPr>
          <w:b/>
          <w:sz w:val="22"/>
          <w:szCs w:val="22"/>
        </w:rPr>
      </w:pPr>
    </w:p>
    <w:p w:rsidR="007E60D0" w:rsidRDefault="007E60D0">
      <w:pPr>
        <w:pStyle w:val="Ttulo3"/>
        <w:rPr>
          <w:rFonts w:ascii="Times New Roman" w:hAnsi="Times New Roman" w:cs="Times New Roman"/>
        </w:rPr>
      </w:pPr>
    </w:p>
    <w:p w:rsidR="007E60D0" w:rsidRDefault="007E60D0">
      <w:pPr>
        <w:pStyle w:val="Ttulo3"/>
        <w:rPr>
          <w:rFonts w:ascii="Times New Roman" w:hAnsi="Times New Roman" w:cs="Times New Roman"/>
        </w:rPr>
      </w:pPr>
      <w:r>
        <w:rPr>
          <w:rFonts w:ascii="Times New Roman" w:hAnsi="Times New Roman" w:cs="Times New Roman"/>
        </w:rPr>
        <w:t>JUZGADO QUINTO ADMINISTRATIVO DE NEIVA</w:t>
      </w:r>
    </w:p>
    <w:p w:rsidR="007E60D0" w:rsidRDefault="007E60D0">
      <w:pPr>
        <w:rPr>
          <w:sz w:val="22"/>
          <w:szCs w:val="22"/>
        </w:rPr>
      </w:pPr>
    </w:p>
    <w:tbl>
      <w:tblPr>
        <w:tblW w:w="0" w:type="auto"/>
        <w:tblInd w:w="-5" w:type="dxa"/>
        <w:tblLayout w:type="fixed"/>
        <w:tblCellMar>
          <w:left w:w="70" w:type="dxa"/>
          <w:right w:w="70" w:type="dxa"/>
        </w:tblCellMar>
        <w:tblLook w:val="0000"/>
      </w:tblPr>
      <w:tblGrid>
        <w:gridCol w:w="2480"/>
        <w:gridCol w:w="2268"/>
        <w:gridCol w:w="4263"/>
      </w:tblGrid>
      <w:tr w:rsidR="007E60D0">
        <w:trPr>
          <w:trHeight w:val="267"/>
        </w:trPr>
        <w:tc>
          <w:tcPr>
            <w:tcW w:w="2480"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b/>
                <w:bCs/>
                <w:sz w:val="22"/>
                <w:szCs w:val="22"/>
              </w:rPr>
            </w:pPr>
            <w:r>
              <w:rPr>
                <w:b/>
                <w:bCs/>
                <w:sz w:val="22"/>
                <w:szCs w:val="22"/>
              </w:rPr>
              <w:t>DEMANDANTE</w:t>
            </w:r>
          </w:p>
        </w:tc>
        <w:tc>
          <w:tcPr>
            <w:tcW w:w="2268"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b/>
                <w:bCs/>
                <w:sz w:val="22"/>
                <w:szCs w:val="22"/>
              </w:rPr>
            </w:pPr>
            <w:r>
              <w:rPr>
                <w:b/>
                <w:bCs/>
                <w:sz w:val="22"/>
                <w:szCs w:val="22"/>
              </w:rPr>
              <w:t>RADICACIÓN</w:t>
            </w:r>
          </w:p>
        </w:tc>
        <w:tc>
          <w:tcPr>
            <w:tcW w:w="4263"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center"/>
              <w:rPr>
                <w:b/>
                <w:bCs/>
                <w:sz w:val="22"/>
                <w:szCs w:val="22"/>
              </w:rPr>
            </w:pPr>
            <w:r>
              <w:rPr>
                <w:b/>
                <w:bCs/>
                <w:sz w:val="22"/>
                <w:szCs w:val="22"/>
              </w:rPr>
              <w:t>ESTADO PROCESAL</w:t>
            </w:r>
          </w:p>
        </w:tc>
      </w:tr>
      <w:tr w:rsidR="007E60D0">
        <w:trPr>
          <w:trHeight w:val="466"/>
        </w:trPr>
        <w:tc>
          <w:tcPr>
            <w:tcW w:w="2480" w:type="dxa"/>
            <w:tcBorders>
              <w:top w:val="single" w:sz="4" w:space="0" w:color="000000"/>
              <w:left w:val="single" w:sz="4" w:space="0" w:color="000000"/>
              <w:bottom w:val="single" w:sz="4" w:space="0" w:color="000000"/>
            </w:tcBorders>
            <w:shd w:val="clear" w:color="auto" w:fill="auto"/>
          </w:tcPr>
          <w:p w:rsidR="007E60D0" w:rsidRDefault="007E60D0">
            <w:pPr>
              <w:snapToGrid w:val="0"/>
              <w:rPr>
                <w:sz w:val="22"/>
                <w:szCs w:val="22"/>
              </w:rPr>
            </w:pPr>
            <w:r>
              <w:rPr>
                <w:sz w:val="22"/>
                <w:szCs w:val="22"/>
              </w:rPr>
              <w:t>Martha Farfán</w:t>
            </w:r>
          </w:p>
        </w:tc>
        <w:tc>
          <w:tcPr>
            <w:tcW w:w="2268"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sz w:val="22"/>
                <w:szCs w:val="22"/>
              </w:rPr>
            </w:pPr>
            <w:r>
              <w:rPr>
                <w:sz w:val="22"/>
                <w:szCs w:val="22"/>
              </w:rPr>
              <w:t>2005 – 1156</w:t>
            </w:r>
          </w:p>
          <w:p w:rsidR="007E60D0" w:rsidRDefault="007E60D0">
            <w:pPr>
              <w:jc w:val="center"/>
              <w:rPr>
                <w:sz w:val="22"/>
                <w:szCs w:val="22"/>
              </w:rPr>
            </w:pPr>
            <w:r>
              <w:rPr>
                <w:sz w:val="22"/>
                <w:szCs w:val="22"/>
              </w:rPr>
              <w:t xml:space="preserve">A. N. R. D </w:t>
            </w:r>
          </w:p>
        </w:tc>
        <w:tc>
          <w:tcPr>
            <w:tcW w:w="4263"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both"/>
              <w:rPr>
                <w:sz w:val="22"/>
                <w:szCs w:val="22"/>
              </w:rPr>
            </w:pPr>
            <w:r>
              <w:rPr>
                <w:sz w:val="22"/>
                <w:szCs w:val="22"/>
              </w:rPr>
              <w:t>Esta en pruebas, se dio traslado del dictamen pericial. El 08-09-2011 proceso remitido al Juzgado 2 de descongestión. El 20-09-2011 auto avoca conocimiento.</w:t>
            </w:r>
          </w:p>
        </w:tc>
      </w:tr>
      <w:tr w:rsidR="007E60D0">
        <w:trPr>
          <w:trHeight w:val="361"/>
        </w:trPr>
        <w:tc>
          <w:tcPr>
            <w:tcW w:w="2480" w:type="dxa"/>
            <w:tcBorders>
              <w:top w:val="single" w:sz="4" w:space="0" w:color="000000"/>
              <w:left w:val="single" w:sz="4" w:space="0" w:color="000000"/>
              <w:bottom w:val="single" w:sz="4" w:space="0" w:color="000000"/>
            </w:tcBorders>
            <w:shd w:val="clear" w:color="auto" w:fill="auto"/>
          </w:tcPr>
          <w:p w:rsidR="007E60D0" w:rsidRDefault="007E60D0">
            <w:pPr>
              <w:snapToGrid w:val="0"/>
              <w:rPr>
                <w:sz w:val="22"/>
                <w:szCs w:val="22"/>
              </w:rPr>
            </w:pPr>
            <w:r>
              <w:rPr>
                <w:sz w:val="22"/>
                <w:szCs w:val="22"/>
              </w:rPr>
              <w:t>Catalina Fierro</w:t>
            </w:r>
          </w:p>
        </w:tc>
        <w:tc>
          <w:tcPr>
            <w:tcW w:w="2268"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sz w:val="22"/>
                <w:szCs w:val="22"/>
              </w:rPr>
            </w:pPr>
            <w:r>
              <w:rPr>
                <w:sz w:val="22"/>
                <w:szCs w:val="22"/>
              </w:rPr>
              <w:t>2005 – 1164</w:t>
            </w:r>
          </w:p>
          <w:p w:rsidR="007E60D0" w:rsidRDefault="007E60D0">
            <w:pPr>
              <w:jc w:val="center"/>
              <w:rPr>
                <w:sz w:val="22"/>
                <w:szCs w:val="22"/>
              </w:rPr>
            </w:pPr>
            <w:r>
              <w:rPr>
                <w:sz w:val="22"/>
                <w:szCs w:val="22"/>
              </w:rPr>
              <w:t>A. N. R. D</w:t>
            </w:r>
          </w:p>
        </w:tc>
        <w:tc>
          <w:tcPr>
            <w:tcW w:w="4263"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both"/>
              <w:rPr>
                <w:sz w:val="22"/>
                <w:szCs w:val="22"/>
              </w:rPr>
            </w:pPr>
            <w:r>
              <w:rPr>
                <w:sz w:val="22"/>
                <w:szCs w:val="22"/>
              </w:rPr>
              <w:t>Esta en pruebas. El 08-09-2011 proceso enviado al juzgado 2 de descongestión. El 20-09-2011 auto avoca conocimiento.</w:t>
            </w:r>
          </w:p>
        </w:tc>
      </w:tr>
      <w:tr w:rsidR="007E60D0">
        <w:trPr>
          <w:trHeight w:val="361"/>
        </w:trPr>
        <w:tc>
          <w:tcPr>
            <w:tcW w:w="2480" w:type="dxa"/>
            <w:tcBorders>
              <w:top w:val="single" w:sz="4" w:space="0" w:color="000000"/>
              <w:left w:val="single" w:sz="4" w:space="0" w:color="000000"/>
              <w:bottom w:val="single" w:sz="4" w:space="0" w:color="000000"/>
            </w:tcBorders>
            <w:shd w:val="clear" w:color="auto" w:fill="auto"/>
          </w:tcPr>
          <w:p w:rsidR="007E60D0" w:rsidRDefault="007E60D0">
            <w:pPr>
              <w:snapToGrid w:val="0"/>
              <w:rPr>
                <w:sz w:val="22"/>
                <w:szCs w:val="22"/>
              </w:rPr>
            </w:pPr>
            <w:r>
              <w:rPr>
                <w:sz w:val="22"/>
                <w:szCs w:val="22"/>
              </w:rPr>
              <w:t>Neila Candia Cacais</w:t>
            </w:r>
          </w:p>
        </w:tc>
        <w:tc>
          <w:tcPr>
            <w:tcW w:w="2268"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sz w:val="22"/>
                <w:szCs w:val="22"/>
              </w:rPr>
            </w:pPr>
            <w:r>
              <w:rPr>
                <w:sz w:val="22"/>
                <w:szCs w:val="22"/>
              </w:rPr>
              <w:t>2007 – 0053</w:t>
            </w:r>
          </w:p>
          <w:p w:rsidR="007E60D0" w:rsidRDefault="007E60D0">
            <w:pPr>
              <w:jc w:val="center"/>
              <w:rPr>
                <w:sz w:val="22"/>
                <w:szCs w:val="22"/>
              </w:rPr>
            </w:pPr>
            <w:r>
              <w:rPr>
                <w:sz w:val="22"/>
                <w:szCs w:val="22"/>
              </w:rPr>
              <w:t>Reparación Directa</w:t>
            </w:r>
          </w:p>
        </w:tc>
        <w:tc>
          <w:tcPr>
            <w:tcW w:w="4263"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both"/>
              <w:rPr>
                <w:sz w:val="22"/>
                <w:szCs w:val="22"/>
              </w:rPr>
            </w:pPr>
            <w:r>
              <w:rPr>
                <w:sz w:val="22"/>
                <w:szCs w:val="22"/>
              </w:rPr>
              <w:t>Se presentaron alegatos y pasó para fallo, el 18-01-2010, se fija edicto de fallo declarando negadas las pretensiones de la demanda. El 27-01-2010, auto concede recurso de apelación interpuesto por la parte demandante. El 12-02-2010, auto admite recurso de apelación en segunda instancia.</w:t>
            </w:r>
          </w:p>
        </w:tc>
      </w:tr>
      <w:tr w:rsidR="007E60D0">
        <w:trPr>
          <w:trHeight w:val="361"/>
        </w:trPr>
        <w:tc>
          <w:tcPr>
            <w:tcW w:w="2480" w:type="dxa"/>
            <w:tcBorders>
              <w:top w:val="single" w:sz="4" w:space="0" w:color="000000"/>
              <w:left w:val="single" w:sz="4" w:space="0" w:color="000000"/>
              <w:bottom w:val="single" w:sz="4" w:space="0" w:color="000000"/>
            </w:tcBorders>
            <w:shd w:val="clear" w:color="auto" w:fill="auto"/>
          </w:tcPr>
          <w:p w:rsidR="007E60D0" w:rsidRDefault="007E60D0">
            <w:pPr>
              <w:snapToGrid w:val="0"/>
              <w:rPr>
                <w:sz w:val="22"/>
                <w:szCs w:val="22"/>
              </w:rPr>
            </w:pPr>
            <w:r>
              <w:rPr>
                <w:sz w:val="22"/>
                <w:szCs w:val="22"/>
              </w:rPr>
              <w:lastRenderedPageBreak/>
              <w:t xml:space="preserve">María Fénix Lozada Fierro </w:t>
            </w:r>
          </w:p>
        </w:tc>
        <w:tc>
          <w:tcPr>
            <w:tcW w:w="2268"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sz w:val="22"/>
                <w:szCs w:val="22"/>
              </w:rPr>
            </w:pPr>
            <w:r>
              <w:rPr>
                <w:sz w:val="22"/>
                <w:szCs w:val="22"/>
              </w:rPr>
              <w:t>2006 – 055</w:t>
            </w:r>
          </w:p>
          <w:p w:rsidR="007E60D0" w:rsidRDefault="007E60D0">
            <w:pPr>
              <w:jc w:val="center"/>
              <w:rPr>
                <w:sz w:val="22"/>
                <w:szCs w:val="22"/>
              </w:rPr>
            </w:pPr>
            <w:r>
              <w:rPr>
                <w:sz w:val="22"/>
                <w:szCs w:val="22"/>
              </w:rPr>
              <w:t>A. N. R. D</w:t>
            </w:r>
          </w:p>
        </w:tc>
        <w:tc>
          <w:tcPr>
            <w:tcW w:w="4263"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both"/>
              <w:rPr>
                <w:sz w:val="22"/>
                <w:szCs w:val="22"/>
              </w:rPr>
            </w:pPr>
            <w:r>
              <w:rPr>
                <w:sz w:val="22"/>
                <w:szCs w:val="22"/>
              </w:rPr>
              <w:t>El 23-02-2011 se presentó alegatos de conclusión. En espera de fallo</w:t>
            </w:r>
          </w:p>
        </w:tc>
      </w:tr>
      <w:tr w:rsidR="007E60D0">
        <w:trPr>
          <w:trHeight w:val="361"/>
        </w:trPr>
        <w:tc>
          <w:tcPr>
            <w:tcW w:w="2480" w:type="dxa"/>
            <w:tcBorders>
              <w:top w:val="single" w:sz="4" w:space="0" w:color="000000"/>
              <w:left w:val="single" w:sz="4" w:space="0" w:color="000000"/>
              <w:bottom w:val="single" w:sz="4" w:space="0" w:color="000000"/>
            </w:tcBorders>
            <w:shd w:val="clear" w:color="auto" w:fill="auto"/>
          </w:tcPr>
          <w:p w:rsidR="007E60D0" w:rsidRDefault="007E60D0">
            <w:pPr>
              <w:snapToGrid w:val="0"/>
              <w:rPr>
                <w:sz w:val="22"/>
                <w:szCs w:val="22"/>
              </w:rPr>
            </w:pPr>
            <w:r>
              <w:rPr>
                <w:sz w:val="22"/>
                <w:szCs w:val="22"/>
              </w:rPr>
              <w:t xml:space="preserve">Mauricio Hernández Zea </w:t>
            </w:r>
          </w:p>
        </w:tc>
        <w:tc>
          <w:tcPr>
            <w:tcW w:w="2268"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sz w:val="22"/>
                <w:szCs w:val="22"/>
              </w:rPr>
            </w:pPr>
            <w:r>
              <w:rPr>
                <w:sz w:val="22"/>
                <w:szCs w:val="22"/>
              </w:rPr>
              <w:t>2006 – 054</w:t>
            </w:r>
          </w:p>
          <w:p w:rsidR="007E60D0" w:rsidRDefault="007E60D0">
            <w:pPr>
              <w:jc w:val="center"/>
              <w:rPr>
                <w:sz w:val="22"/>
                <w:szCs w:val="22"/>
              </w:rPr>
            </w:pPr>
            <w:r>
              <w:rPr>
                <w:sz w:val="22"/>
                <w:szCs w:val="22"/>
              </w:rPr>
              <w:t xml:space="preserve">A. N. R. D </w:t>
            </w:r>
          </w:p>
        </w:tc>
        <w:tc>
          <w:tcPr>
            <w:tcW w:w="4263"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both"/>
              <w:rPr>
                <w:sz w:val="22"/>
                <w:szCs w:val="22"/>
              </w:rPr>
            </w:pPr>
            <w:r>
              <w:rPr>
                <w:sz w:val="22"/>
                <w:szCs w:val="22"/>
              </w:rPr>
              <w:t>09-07-2009, auto decreta pruebas .El 23-02-2011 se presentaron alegatos de conclusión. En espera de fallo</w:t>
            </w:r>
          </w:p>
        </w:tc>
      </w:tr>
      <w:tr w:rsidR="007E60D0">
        <w:trPr>
          <w:trHeight w:val="361"/>
        </w:trPr>
        <w:tc>
          <w:tcPr>
            <w:tcW w:w="2480" w:type="dxa"/>
            <w:tcBorders>
              <w:top w:val="single" w:sz="4" w:space="0" w:color="000000"/>
              <w:left w:val="single" w:sz="4" w:space="0" w:color="000000"/>
              <w:bottom w:val="single" w:sz="4" w:space="0" w:color="000000"/>
            </w:tcBorders>
            <w:shd w:val="clear" w:color="auto" w:fill="auto"/>
          </w:tcPr>
          <w:p w:rsidR="007E60D0" w:rsidRDefault="007E60D0">
            <w:pPr>
              <w:snapToGrid w:val="0"/>
              <w:rPr>
                <w:sz w:val="22"/>
                <w:szCs w:val="22"/>
              </w:rPr>
            </w:pPr>
            <w:r>
              <w:rPr>
                <w:sz w:val="22"/>
                <w:szCs w:val="22"/>
              </w:rPr>
              <w:t xml:space="preserve">Mercedes Quiroga Quiroga </w:t>
            </w:r>
          </w:p>
        </w:tc>
        <w:tc>
          <w:tcPr>
            <w:tcW w:w="2268"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sz w:val="22"/>
                <w:szCs w:val="22"/>
              </w:rPr>
            </w:pPr>
            <w:r>
              <w:rPr>
                <w:sz w:val="22"/>
                <w:szCs w:val="22"/>
              </w:rPr>
              <w:t>2006 – 057</w:t>
            </w:r>
          </w:p>
          <w:p w:rsidR="007E60D0" w:rsidRDefault="007E60D0">
            <w:pPr>
              <w:jc w:val="center"/>
              <w:rPr>
                <w:sz w:val="22"/>
                <w:szCs w:val="22"/>
              </w:rPr>
            </w:pPr>
            <w:r>
              <w:rPr>
                <w:sz w:val="22"/>
                <w:szCs w:val="22"/>
              </w:rPr>
              <w:t xml:space="preserve"> A. N. R. D</w:t>
            </w:r>
          </w:p>
        </w:tc>
        <w:tc>
          <w:tcPr>
            <w:tcW w:w="4263"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both"/>
              <w:rPr>
                <w:sz w:val="22"/>
                <w:szCs w:val="22"/>
              </w:rPr>
            </w:pPr>
            <w:r>
              <w:rPr>
                <w:sz w:val="22"/>
                <w:szCs w:val="22"/>
              </w:rPr>
              <w:t>Se decretaron pruebas. El 23-02-2011 se presentó alegatos de conclusión. En espera de fallo.</w:t>
            </w:r>
          </w:p>
        </w:tc>
      </w:tr>
      <w:tr w:rsidR="007E60D0">
        <w:trPr>
          <w:trHeight w:val="361"/>
        </w:trPr>
        <w:tc>
          <w:tcPr>
            <w:tcW w:w="2480" w:type="dxa"/>
            <w:tcBorders>
              <w:top w:val="single" w:sz="4" w:space="0" w:color="000000"/>
              <w:left w:val="single" w:sz="4" w:space="0" w:color="000000"/>
              <w:bottom w:val="single" w:sz="4" w:space="0" w:color="000000"/>
            </w:tcBorders>
            <w:shd w:val="clear" w:color="auto" w:fill="auto"/>
          </w:tcPr>
          <w:p w:rsidR="007E60D0" w:rsidRDefault="007E60D0">
            <w:pPr>
              <w:snapToGrid w:val="0"/>
              <w:rPr>
                <w:sz w:val="22"/>
                <w:szCs w:val="22"/>
              </w:rPr>
            </w:pPr>
            <w:r>
              <w:rPr>
                <w:sz w:val="22"/>
                <w:szCs w:val="22"/>
              </w:rPr>
              <w:t xml:space="preserve">Armando Bobadilla Carvajal </w:t>
            </w:r>
          </w:p>
        </w:tc>
        <w:tc>
          <w:tcPr>
            <w:tcW w:w="2268"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sz w:val="22"/>
                <w:szCs w:val="22"/>
              </w:rPr>
            </w:pPr>
            <w:r>
              <w:rPr>
                <w:sz w:val="22"/>
                <w:szCs w:val="22"/>
              </w:rPr>
              <w:t>2006 – 064</w:t>
            </w:r>
          </w:p>
          <w:p w:rsidR="007E60D0" w:rsidRDefault="007E60D0">
            <w:pPr>
              <w:jc w:val="center"/>
              <w:rPr>
                <w:sz w:val="22"/>
                <w:szCs w:val="22"/>
              </w:rPr>
            </w:pPr>
            <w:r>
              <w:rPr>
                <w:sz w:val="22"/>
                <w:szCs w:val="22"/>
              </w:rPr>
              <w:t xml:space="preserve">A. N. R. D </w:t>
            </w:r>
          </w:p>
        </w:tc>
        <w:tc>
          <w:tcPr>
            <w:tcW w:w="4263"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both"/>
              <w:rPr>
                <w:sz w:val="22"/>
                <w:szCs w:val="22"/>
              </w:rPr>
            </w:pPr>
            <w:r>
              <w:rPr>
                <w:sz w:val="22"/>
                <w:szCs w:val="22"/>
              </w:rPr>
              <w:t>Se decretaron pruebas. El 23-02-2011 se presentó alegatos de conclusión. En espera de fallo.</w:t>
            </w:r>
          </w:p>
        </w:tc>
      </w:tr>
      <w:tr w:rsidR="007E60D0">
        <w:trPr>
          <w:trHeight w:val="361"/>
        </w:trPr>
        <w:tc>
          <w:tcPr>
            <w:tcW w:w="2480" w:type="dxa"/>
            <w:tcBorders>
              <w:top w:val="single" w:sz="4" w:space="0" w:color="000000"/>
              <w:left w:val="single" w:sz="4" w:space="0" w:color="000000"/>
              <w:bottom w:val="single" w:sz="4" w:space="0" w:color="000000"/>
            </w:tcBorders>
            <w:shd w:val="clear" w:color="auto" w:fill="auto"/>
          </w:tcPr>
          <w:p w:rsidR="007E60D0" w:rsidRDefault="007E60D0">
            <w:pPr>
              <w:snapToGrid w:val="0"/>
              <w:rPr>
                <w:sz w:val="22"/>
                <w:szCs w:val="22"/>
              </w:rPr>
            </w:pPr>
            <w:r>
              <w:rPr>
                <w:sz w:val="22"/>
                <w:szCs w:val="22"/>
              </w:rPr>
              <w:t xml:space="preserve">José Edin Losada y Otros </w:t>
            </w:r>
          </w:p>
        </w:tc>
        <w:tc>
          <w:tcPr>
            <w:tcW w:w="2268"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sz w:val="22"/>
                <w:szCs w:val="22"/>
              </w:rPr>
            </w:pPr>
            <w:r>
              <w:rPr>
                <w:sz w:val="22"/>
                <w:szCs w:val="22"/>
              </w:rPr>
              <w:t>2008 – 049</w:t>
            </w:r>
          </w:p>
          <w:p w:rsidR="007E60D0" w:rsidRDefault="007E60D0">
            <w:pPr>
              <w:jc w:val="center"/>
              <w:rPr>
                <w:sz w:val="22"/>
                <w:szCs w:val="22"/>
              </w:rPr>
            </w:pPr>
            <w:r>
              <w:rPr>
                <w:sz w:val="22"/>
                <w:szCs w:val="22"/>
              </w:rPr>
              <w:t>A. N. R. D</w:t>
            </w:r>
          </w:p>
        </w:tc>
        <w:tc>
          <w:tcPr>
            <w:tcW w:w="4263"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both"/>
              <w:rPr>
                <w:sz w:val="22"/>
                <w:szCs w:val="22"/>
              </w:rPr>
            </w:pPr>
            <w:r>
              <w:rPr>
                <w:sz w:val="22"/>
                <w:szCs w:val="22"/>
              </w:rPr>
              <w:t>Se contesto demanda. El 30-10-09, se fija en lista de traslado de las excepciones propuestas. El 23-03-2011 se decretaron pruebas</w:t>
            </w:r>
          </w:p>
        </w:tc>
      </w:tr>
      <w:tr w:rsidR="007E60D0">
        <w:trPr>
          <w:trHeight w:val="361"/>
        </w:trPr>
        <w:tc>
          <w:tcPr>
            <w:tcW w:w="2480" w:type="dxa"/>
            <w:tcBorders>
              <w:top w:val="single" w:sz="4" w:space="0" w:color="000000"/>
              <w:left w:val="single" w:sz="4" w:space="0" w:color="000000"/>
              <w:bottom w:val="single" w:sz="4" w:space="0" w:color="000000"/>
            </w:tcBorders>
            <w:shd w:val="clear" w:color="auto" w:fill="auto"/>
          </w:tcPr>
          <w:p w:rsidR="007E60D0" w:rsidRDefault="007E60D0">
            <w:pPr>
              <w:snapToGrid w:val="0"/>
              <w:rPr>
                <w:sz w:val="22"/>
                <w:szCs w:val="22"/>
              </w:rPr>
            </w:pPr>
            <w:r>
              <w:rPr>
                <w:sz w:val="22"/>
                <w:szCs w:val="22"/>
              </w:rPr>
              <w:t xml:space="preserve">Dunays Cortes </w:t>
            </w:r>
          </w:p>
        </w:tc>
        <w:tc>
          <w:tcPr>
            <w:tcW w:w="2268"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sz w:val="22"/>
                <w:szCs w:val="22"/>
              </w:rPr>
            </w:pPr>
            <w:r>
              <w:rPr>
                <w:sz w:val="22"/>
                <w:szCs w:val="22"/>
              </w:rPr>
              <w:t>2008 – 128</w:t>
            </w:r>
          </w:p>
          <w:p w:rsidR="007E60D0" w:rsidRDefault="007E60D0">
            <w:pPr>
              <w:jc w:val="center"/>
              <w:rPr>
                <w:sz w:val="22"/>
                <w:szCs w:val="22"/>
              </w:rPr>
            </w:pPr>
            <w:r>
              <w:rPr>
                <w:sz w:val="22"/>
                <w:szCs w:val="22"/>
              </w:rPr>
              <w:t>A. N. R. D</w:t>
            </w:r>
          </w:p>
        </w:tc>
        <w:tc>
          <w:tcPr>
            <w:tcW w:w="4263"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both"/>
              <w:rPr>
                <w:sz w:val="22"/>
                <w:szCs w:val="22"/>
              </w:rPr>
            </w:pPr>
            <w:r>
              <w:rPr>
                <w:sz w:val="22"/>
                <w:szCs w:val="22"/>
              </w:rPr>
              <w:t>Se contesto demanda e. 02-02-2010, se fija en lista de traslado de las excepciones propuestas por el municipio de Palermo. El 27-04-2011 auto decreta  pruebas.</w:t>
            </w:r>
          </w:p>
        </w:tc>
      </w:tr>
      <w:tr w:rsidR="007E60D0">
        <w:trPr>
          <w:trHeight w:val="361"/>
        </w:trPr>
        <w:tc>
          <w:tcPr>
            <w:tcW w:w="2480" w:type="dxa"/>
            <w:tcBorders>
              <w:top w:val="single" w:sz="4" w:space="0" w:color="000000"/>
              <w:left w:val="single" w:sz="4" w:space="0" w:color="000000"/>
              <w:bottom w:val="single" w:sz="4" w:space="0" w:color="000000"/>
            </w:tcBorders>
            <w:shd w:val="clear" w:color="auto" w:fill="auto"/>
          </w:tcPr>
          <w:p w:rsidR="007E60D0" w:rsidRDefault="007E60D0">
            <w:pPr>
              <w:snapToGrid w:val="0"/>
              <w:rPr>
                <w:sz w:val="22"/>
                <w:szCs w:val="22"/>
              </w:rPr>
            </w:pPr>
            <w:r>
              <w:rPr>
                <w:sz w:val="22"/>
                <w:szCs w:val="22"/>
              </w:rPr>
              <w:t xml:space="preserve">Defensoría del Pueblo </w:t>
            </w:r>
          </w:p>
        </w:tc>
        <w:tc>
          <w:tcPr>
            <w:tcW w:w="2268"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sz w:val="22"/>
                <w:szCs w:val="22"/>
              </w:rPr>
            </w:pPr>
            <w:r>
              <w:rPr>
                <w:sz w:val="22"/>
                <w:szCs w:val="22"/>
              </w:rPr>
              <w:t>2007-277</w:t>
            </w:r>
          </w:p>
          <w:p w:rsidR="007E60D0" w:rsidRDefault="007E60D0">
            <w:pPr>
              <w:jc w:val="center"/>
              <w:rPr>
                <w:sz w:val="22"/>
                <w:szCs w:val="22"/>
              </w:rPr>
            </w:pPr>
            <w:r>
              <w:rPr>
                <w:sz w:val="22"/>
                <w:szCs w:val="22"/>
              </w:rPr>
              <w:t>A.P.</w:t>
            </w:r>
          </w:p>
        </w:tc>
        <w:tc>
          <w:tcPr>
            <w:tcW w:w="4263"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both"/>
              <w:rPr>
                <w:sz w:val="22"/>
                <w:szCs w:val="22"/>
              </w:rPr>
            </w:pPr>
            <w:r>
              <w:rPr>
                <w:sz w:val="22"/>
                <w:szCs w:val="22"/>
              </w:rPr>
              <w:t>El 18-03-2011 auto ordena correr traslado de la complementación del informe pericial de la secretaría de salud por cinco días. A 29-07-2011 se encuentra al despacho con el informe pericial. El 08-09-2011 proceso se remitió a juzgado 2 de descongestión. El 19-09-2011 auto avoca conocimiento.</w:t>
            </w:r>
          </w:p>
        </w:tc>
      </w:tr>
      <w:tr w:rsidR="007E60D0">
        <w:trPr>
          <w:trHeight w:val="361"/>
        </w:trPr>
        <w:tc>
          <w:tcPr>
            <w:tcW w:w="2480" w:type="dxa"/>
            <w:tcBorders>
              <w:top w:val="single" w:sz="4" w:space="0" w:color="000000"/>
              <w:left w:val="single" w:sz="4" w:space="0" w:color="000000"/>
              <w:bottom w:val="single" w:sz="4" w:space="0" w:color="000000"/>
            </w:tcBorders>
            <w:shd w:val="clear" w:color="auto" w:fill="auto"/>
          </w:tcPr>
          <w:p w:rsidR="007E60D0" w:rsidRDefault="007E60D0">
            <w:pPr>
              <w:snapToGrid w:val="0"/>
              <w:rPr>
                <w:sz w:val="22"/>
                <w:szCs w:val="22"/>
              </w:rPr>
            </w:pPr>
            <w:r>
              <w:rPr>
                <w:sz w:val="22"/>
                <w:szCs w:val="22"/>
              </w:rPr>
              <w:t>Julio Cesar Suárez</w:t>
            </w:r>
          </w:p>
        </w:tc>
        <w:tc>
          <w:tcPr>
            <w:tcW w:w="2268" w:type="dxa"/>
            <w:tcBorders>
              <w:top w:val="single" w:sz="4" w:space="0" w:color="000000"/>
              <w:left w:val="single" w:sz="4" w:space="0" w:color="000000"/>
              <w:bottom w:val="single" w:sz="4" w:space="0" w:color="000000"/>
            </w:tcBorders>
            <w:shd w:val="clear" w:color="auto" w:fill="auto"/>
          </w:tcPr>
          <w:p w:rsidR="007E60D0" w:rsidRDefault="007E60D0">
            <w:pPr>
              <w:snapToGrid w:val="0"/>
              <w:rPr>
                <w:sz w:val="22"/>
                <w:szCs w:val="22"/>
              </w:rPr>
            </w:pPr>
            <w:r>
              <w:rPr>
                <w:sz w:val="22"/>
                <w:szCs w:val="22"/>
              </w:rPr>
              <w:t xml:space="preserve"> 2009-00143</w:t>
            </w:r>
          </w:p>
        </w:tc>
        <w:tc>
          <w:tcPr>
            <w:tcW w:w="4263"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both"/>
              <w:rPr>
                <w:sz w:val="22"/>
                <w:szCs w:val="22"/>
              </w:rPr>
            </w:pPr>
            <w:r>
              <w:rPr>
                <w:sz w:val="22"/>
                <w:szCs w:val="22"/>
              </w:rPr>
              <w:t>EL 25-06-2009, auto admite demanda. El 05-11-2009, auto agrega despacho comisorio. El 24-11-09, auto declara impedimento por la señora juez y ordena enviar al juzgado 5 administrativo.23-02-2010 pendiente fijar en lista. El 19-07-2011 traslado exceptivas.  El 08-09-2011 proceso remitido al juzgado 2 de descongestión. El 19-09-2011 auto avoca conocimiento.</w:t>
            </w:r>
          </w:p>
        </w:tc>
      </w:tr>
      <w:tr w:rsidR="007E60D0">
        <w:trPr>
          <w:trHeight w:val="361"/>
        </w:trPr>
        <w:tc>
          <w:tcPr>
            <w:tcW w:w="2480" w:type="dxa"/>
            <w:tcBorders>
              <w:top w:val="single" w:sz="4" w:space="0" w:color="000000"/>
              <w:left w:val="single" w:sz="4" w:space="0" w:color="000000"/>
              <w:bottom w:val="single" w:sz="4" w:space="0" w:color="000000"/>
            </w:tcBorders>
            <w:shd w:val="clear" w:color="auto" w:fill="auto"/>
          </w:tcPr>
          <w:p w:rsidR="007E60D0" w:rsidRDefault="007E60D0">
            <w:pPr>
              <w:snapToGrid w:val="0"/>
              <w:rPr>
                <w:sz w:val="22"/>
                <w:szCs w:val="22"/>
              </w:rPr>
            </w:pPr>
            <w:r>
              <w:rPr>
                <w:sz w:val="22"/>
                <w:szCs w:val="22"/>
              </w:rPr>
              <w:t xml:space="preserve"> Néstor Gregory Díaz</w:t>
            </w:r>
          </w:p>
        </w:tc>
        <w:tc>
          <w:tcPr>
            <w:tcW w:w="2268"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sz w:val="22"/>
                <w:szCs w:val="22"/>
              </w:rPr>
            </w:pPr>
            <w:r>
              <w:rPr>
                <w:sz w:val="22"/>
                <w:szCs w:val="22"/>
              </w:rPr>
              <w:t>2008-354</w:t>
            </w:r>
          </w:p>
          <w:p w:rsidR="007E60D0" w:rsidRDefault="007E60D0">
            <w:pPr>
              <w:jc w:val="center"/>
              <w:rPr>
                <w:sz w:val="22"/>
                <w:szCs w:val="22"/>
              </w:rPr>
            </w:pPr>
            <w:r>
              <w:rPr>
                <w:sz w:val="22"/>
                <w:szCs w:val="22"/>
              </w:rPr>
              <w:t>A.P.</w:t>
            </w:r>
          </w:p>
        </w:tc>
        <w:tc>
          <w:tcPr>
            <w:tcW w:w="4263"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both"/>
              <w:rPr>
                <w:sz w:val="22"/>
                <w:szCs w:val="22"/>
              </w:rPr>
            </w:pPr>
            <w:r>
              <w:rPr>
                <w:sz w:val="22"/>
                <w:szCs w:val="22"/>
              </w:rPr>
              <w:t>21-08-2009, se fija fecha de audiencia de pacto de cumplimiento para el día 03-02-2010 hora 4:30 pm. Se encuentra en pruebas. El 08-09-2011 se llevó a cabo diligencia de testimonios.</w:t>
            </w:r>
          </w:p>
        </w:tc>
      </w:tr>
      <w:tr w:rsidR="007E60D0">
        <w:trPr>
          <w:trHeight w:val="361"/>
        </w:trPr>
        <w:tc>
          <w:tcPr>
            <w:tcW w:w="2480" w:type="dxa"/>
            <w:tcBorders>
              <w:top w:val="single" w:sz="4" w:space="0" w:color="000000"/>
              <w:left w:val="single" w:sz="4" w:space="0" w:color="000000"/>
              <w:bottom w:val="single" w:sz="4" w:space="0" w:color="000000"/>
            </w:tcBorders>
            <w:shd w:val="clear" w:color="auto" w:fill="auto"/>
          </w:tcPr>
          <w:p w:rsidR="007E60D0" w:rsidRDefault="007E60D0">
            <w:pPr>
              <w:snapToGrid w:val="0"/>
              <w:rPr>
                <w:sz w:val="22"/>
                <w:szCs w:val="22"/>
              </w:rPr>
            </w:pPr>
            <w:r>
              <w:rPr>
                <w:sz w:val="22"/>
                <w:szCs w:val="22"/>
              </w:rPr>
              <w:t>Yerlyn Vanesa González</w:t>
            </w:r>
          </w:p>
        </w:tc>
        <w:tc>
          <w:tcPr>
            <w:tcW w:w="2268"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sz w:val="22"/>
                <w:szCs w:val="22"/>
              </w:rPr>
            </w:pPr>
            <w:r>
              <w:rPr>
                <w:sz w:val="22"/>
                <w:szCs w:val="22"/>
              </w:rPr>
              <w:t>2009-353</w:t>
            </w:r>
          </w:p>
          <w:p w:rsidR="007E60D0" w:rsidRDefault="007E60D0">
            <w:pPr>
              <w:jc w:val="center"/>
              <w:rPr>
                <w:sz w:val="22"/>
                <w:szCs w:val="22"/>
              </w:rPr>
            </w:pPr>
            <w:r>
              <w:rPr>
                <w:sz w:val="22"/>
                <w:szCs w:val="22"/>
              </w:rPr>
              <w:t>A.P.</w:t>
            </w:r>
          </w:p>
        </w:tc>
        <w:tc>
          <w:tcPr>
            <w:tcW w:w="4263"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both"/>
              <w:rPr>
                <w:sz w:val="22"/>
                <w:szCs w:val="22"/>
              </w:rPr>
            </w:pPr>
            <w:r>
              <w:rPr>
                <w:sz w:val="22"/>
                <w:szCs w:val="22"/>
              </w:rPr>
              <w:t xml:space="preserve">El 02-09-2010 se contestó la demanda. Se fija fecha pacto de cumplimiento para 09-03-2011 Hora 9:00 a.m. Se logró llegar a acuerdo. El 31-03-2011 Salió fallo aprobando pacto de cumplimiento, el actor apeló porque no se reconoció incentivo económico. </w:t>
            </w:r>
          </w:p>
        </w:tc>
      </w:tr>
      <w:tr w:rsidR="007E60D0">
        <w:trPr>
          <w:trHeight w:val="361"/>
        </w:trPr>
        <w:tc>
          <w:tcPr>
            <w:tcW w:w="2480" w:type="dxa"/>
            <w:tcBorders>
              <w:top w:val="single" w:sz="4" w:space="0" w:color="000000"/>
              <w:left w:val="single" w:sz="4" w:space="0" w:color="000000"/>
              <w:bottom w:val="single" w:sz="4" w:space="0" w:color="000000"/>
            </w:tcBorders>
            <w:shd w:val="clear" w:color="auto" w:fill="auto"/>
          </w:tcPr>
          <w:p w:rsidR="007E60D0" w:rsidRDefault="007E60D0">
            <w:pPr>
              <w:snapToGrid w:val="0"/>
              <w:rPr>
                <w:sz w:val="22"/>
                <w:szCs w:val="22"/>
              </w:rPr>
            </w:pPr>
            <w:r>
              <w:rPr>
                <w:sz w:val="22"/>
                <w:szCs w:val="22"/>
              </w:rPr>
              <w:t xml:space="preserve">Wilmer Horacio Fierro </w:t>
            </w:r>
            <w:r>
              <w:rPr>
                <w:sz w:val="22"/>
                <w:szCs w:val="22"/>
              </w:rPr>
              <w:lastRenderedPageBreak/>
              <w:t>Losada</w:t>
            </w:r>
          </w:p>
        </w:tc>
        <w:tc>
          <w:tcPr>
            <w:tcW w:w="2268"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sz w:val="22"/>
                <w:szCs w:val="22"/>
              </w:rPr>
            </w:pPr>
            <w:r>
              <w:rPr>
                <w:sz w:val="22"/>
                <w:szCs w:val="22"/>
              </w:rPr>
              <w:lastRenderedPageBreak/>
              <w:t>2010-084</w:t>
            </w:r>
          </w:p>
          <w:p w:rsidR="007E60D0" w:rsidRDefault="007E60D0">
            <w:pPr>
              <w:jc w:val="center"/>
              <w:rPr>
                <w:sz w:val="22"/>
                <w:szCs w:val="22"/>
              </w:rPr>
            </w:pPr>
            <w:r>
              <w:rPr>
                <w:sz w:val="22"/>
                <w:szCs w:val="22"/>
              </w:rPr>
              <w:lastRenderedPageBreak/>
              <w:t>A.P.</w:t>
            </w:r>
          </w:p>
        </w:tc>
        <w:tc>
          <w:tcPr>
            <w:tcW w:w="4263"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both"/>
              <w:rPr>
                <w:sz w:val="22"/>
                <w:szCs w:val="22"/>
              </w:rPr>
            </w:pPr>
            <w:r>
              <w:rPr>
                <w:sz w:val="22"/>
                <w:szCs w:val="22"/>
              </w:rPr>
              <w:lastRenderedPageBreak/>
              <w:t xml:space="preserve">El 25-08-2011 se presentó contestación de la </w:t>
            </w:r>
            <w:r>
              <w:rPr>
                <w:sz w:val="22"/>
                <w:szCs w:val="22"/>
              </w:rPr>
              <w:lastRenderedPageBreak/>
              <w:t>demanda.</w:t>
            </w:r>
          </w:p>
        </w:tc>
      </w:tr>
    </w:tbl>
    <w:p w:rsidR="007E60D0" w:rsidRDefault="007E60D0">
      <w:pPr>
        <w:pStyle w:val="Ttulo3"/>
        <w:rPr>
          <w:rFonts w:ascii="Times New Roman" w:hAnsi="Times New Roman" w:cs="Times New Roman"/>
        </w:rPr>
      </w:pPr>
    </w:p>
    <w:p w:rsidR="007E60D0" w:rsidRDefault="007E60D0">
      <w:pPr>
        <w:pStyle w:val="Ttulo3"/>
        <w:rPr>
          <w:rFonts w:ascii="Times New Roman" w:hAnsi="Times New Roman" w:cs="Times New Roman"/>
        </w:rPr>
      </w:pPr>
    </w:p>
    <w:p w:rsidR="007E60D0" w:rsidRDefault="007E60D0">
      <w:pPr>
        <w:pStyle w:val="Ttulo3"/>
        <w:rPr>
          <w:rFonts w:ascii="Times New Roman" w:hAnsi="Times New Roman" w:cs="Times New Roman"/>
        </w:rPr>
      </w:pPr>
      <w:r>
        <w:rPr>
          <w:rFonts w:ascii="Times New Roman" w:hAnsi="Times New Roman" w:cs="Times New Roman"/>
        </w:rPr>
        <w:t>JUZGADO SEXTO ADMINISTRATIVO DE NEIVA</w:t>
      </w:r>
    </w:p>
    <w:p w:rsidR="007E60D0" w:rsidRDefault="007E60D0">
      <w:pPr>
        <w:rPr>
          <w:sz w:val="22"/>
          <w:szCs w:val="22"/>
        </w:rPr>
      </w:pPr>
    </w:p>
    <w:tbl>
      <w:tblPr>
        <w:tblW w:w="0" w:type="auto"/>
        <w:tblInd w:w="-5" w:type="dxa"/>
        <w:tblLayout w:type="fixed"/>
        <w:tblCellMar>
          <w:left w:w="70" w:type="dxa"/>
          <w:right w:w="70" w:type="dxa"/>
        </w:tblCellMar>
        <w:tblLook w:val="0000"/>
      </w:tblPr>
      <w:tblGrid>
        <w:gridCol w:w="2332"/>
        <w:gridCol w:w="2446"/>
        <w:gridCol w:w="4233"/>
      </w:tblGrid>
      <w:tr w:rsidR="007E60D0">
        <w:trPr>
          <w:trHeight w:val="483"/>
        </w:trPr>
        <w:tc>
          <w:tcPr>
            <w:tcW w:w="2332"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b/>
                <w:bCs/>
                <w:sz w:val="22"/>
                <w:szCs w:val="22"/>
              </w:rPr>
            </w:pPr>
            <w:r>
              <w:rPr>
                <w:b/>
                <w:bCs/>
                <w:sz w:val="22"/>
                <w:szCs w:val="22"/>
              </w:rPr>
              <w:t>DEMANDANTE</w:t>
            </w:r>
          </w:p>
        </w:tc>
        <w:tc>
          <w:tcPr>
            <w:tcW w:w="2446"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b/>
                <w:bCs/>
                <w:sz w:val="22"/>
                <w:szCs w:val="22"/>
              </w:rPr>
            </w:pPr>
            <w:r>
              <w:rPr>
                <w:b/>
                <w:bCs/>
                <w:sz w:val="22"/>
                <w:szCs w:val="22"/>
              </w:rPr>
              <w:t>RADICACIÓN</w:t>
            </w:r>
          </w:p>
        </w:tc>
        <w:tc>
          <w:tcPr>
            <w:tcW w:w="4233"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center"/>
              <w:rPr>
                <w:b/>
                <w:bCs/>
                <w:sz w:val="22"/>
                <w:szCs w:val="22"/>
              </w:rPr>
            </w:pPr>
            <w:r>
              <w:rPr>
                <w:b/>
                <w:bCs/>
                <w:sz w:val="22"/>
                <w:szCs w:val="22"/>
              </w:rPr>
              <w:t>ESTADO PROCESAL</w:t>
            </w:r>
          </w:p>
        </w:tc>
      </w:tr>
      <w:tr w:rsidR="007E60D0">
        <w:trPr>
          <w:trHeight w:val="277"/>
        </w:trPr>
        <w:tc>
          <w:tcPr>
            <w:tcW w:w="2332" w:type="dxa"/>
            <w:tcBorders>
              <w:top w:val="single" w:sz="4" w:space="0" w:color="000000"/>
              <w:left w:val="single" w:sz="4" w:space="0" w:color="000000"/>
              <w:bottom w:val="single" w:sz="4" w:space="0" w:color="000000"/>
            </w:tcBorders>
            <w:shd w:val="clear" w:color="auto" w:fill="auto"/>
          </w:tcPr>
          <w:p w:rsidR="007E60D0" w:rsidRDefault="007E60D0">
            <w:pPr>
              <w:snapToGrid w:val="0"/>
              <w:rPr>
                <w:sz w:val="22"/>
                <w:szCs w:val="22"/>
              </w:rPr>
            </w:pPr>
            <w:r>
              <w:rPr>
                <w:sz w:val="22"/>
                <w:szCs w:val="22"/>
              </w:rPr>
              <w:t>Marina López Lozada</w:t>
            </w:r>
          </w:p>
        </w:tc>
        <w:tc>
          <w:tcPr>
            <w:tcW w:w="2446"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sz w:val="22"/>
                <w:szCs w:val="22"/>
              </w:rPr>
            </w:pPr>
            <w:r>
              <w:rPr>
                <w:sz w:val="22"/>
                <w:szCs w:val="22"/>
              </w:rPr>
              <w:t>2005 – 1162</w:t>
            </w:r>
          </w:p>
          <w:p w:rsidR="007E60D0" w:rsidRDefault="007E60D0">
            <w:pPr>
              <w:jc w:val="center"/>
              <w:rPr>
                <w:sz w:val="22"/>
                <w:szCs w:val="22"/>
              </w:rPr>
            </w:pPr>
            <w:r>
              <w:rPr>
                <w:sz w:val="22"/>
                <w:szCs w:val="22"/>
              </w:rPr>
              <w:t>A. N. R. D</w:t>
            </w:r>
          </w:p>
        </w:tc>
        <w:tc>
          <w:tcPr>
            <w:tcW w:w="4233"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both"/>
              <w:rPr>
                <w:sz w:val="22"/>
                <w:szCs w:val="22"/>
              </w:rPr>
            </w:pPr>
            <w:r>
              <w:rPr>
                <w:sz w:val="22"/>
                <w:szCs w:val="22"/>
              </w:rPr>
              <w:t>El 03-09-2010 se emite fallo a favor del Municipio. El 06-10-2010 Auto concede recurso de Apelación. El 12-07/2011 se fija por edicto fallo 2 instancia, confirmando primera instancia.</w:t>
            </w:r>
          </w:p>
        </w:tc>
      </w:tr>
      <w:tr w:rsidR="007E60D0">
        <w:trPr>
          <w:trHeight w:val="557"/>
        </w:trPr>
        <w:tc>
          <w:tcPr>
            <w:tcW w:w="2332" w:type="dxa"/>
            <w:tcBorders>
              <w:top w:val="single" w:sz="4" w:space="0" w:color="000000"/>
              <w:left w:val="single" w:sz="4" w:space="0" w:color="000000"/>
              <w:bottom w:val="single" w:sz="4" w:space="0" w:color="000000"/>
            </w:tcBorders>
            <w:shd w:val="clear" w:color="auto" w:fill="auto"/>
          </w:tcPr>
          <w:p w:rsidR="007E60D0" w:rsidRDefault="007E60D0">
            <w:pPr>
              <w:snapToGrid w:val="0"/>
              <w:rPr>
                <w:sz w:val="22"/>
                <w:szCs w:val="22"/>
              </w:rPr>
            </w:pPr>
            <w:r>
              <w:rPr>
                <w:sz w:val="22"/>
                <w:szCs w:val="22"/>
              </w:rPr>
              <w:t>Arcelia García de Valenzuela</w:t>
            </w:r>
          </w:p>
        </w:tc>
        <w:tc>
          <w:tcPr>
            <w:tcW w:w="2446"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sz w:val="22"/>
                <w:szCs w:val="22"/>
              </w:rPr>
            </w:pPr>
            <w:r>
              <w:rPr>
                <w:sz w:val="22"/>
                <w:szCs w:val="22"/>
              </w:rPr>
              <w:t>2006 – 022</w:t>
            </w:r>
          </w:p>
        </w:tc>
        <w:tc>
          <w:tcPr>
            <w:tcW w:w="4233"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both"/>
              <w:rPr>
                <w:sz w:val="22"/>
                <w:szCs w:val="22"/>
              </w:rPr>
            </w:pPr>
            <w:r>
              <w:rPr>
                <w:sz w:val="22"/>
                <w:szCs w:val="22"/>
              </w:rPr>
              <w:t>Está en pruebas. El 09/05/2011 se allegó memorial solicitando</w:t>
            </w:r>
          </w:p>
          <w:p w:rsidR="007E60D0" w:rsidRDefault="007E60D0">
            <w:pPr>
              <w:jc w:val="both"/>
              <w:rPr>
                <w:sz w:val="22"/>
                <w:szCs w:val="22"/>
              </w:rPr>
            </w:pPr>
            <w:r>
              <w:rPr>
                <w:sz w:val="22"/>
                <w:szCs w:val="22"/>
              </w:rPr>
              <w:t>Perención del proceso.</w:t>
            </w:r>
          </w:p>
        </w:tc>
      </w:tr>
      <w:tr w:rsidR="007E60D0">
        <w:trPr>
          <w:trHeight w:val="277"/>
        </w:trPr>
        <w:tc>
          <w:tcPr>
            <w:tcW w:w="2332" w:type="dxa"/>
            <w:tcBorders>
              <w:top w:val="single" w:sz="4" w:space="0" w:color="000000"/>
              <w:left w:val="single" w:sz="4" w:space="0" w:color="000000"/>
              <w:bottom w:val="single" w:sz="4" w:space="0" w:color="000000"/>
            </w:tcBorders>
            <w:shd w:val="clear" w:color="auto" w:fill="auto"/>
          </w:tcPr>
          <w:p w:rsidR="007E60D0" w:rsidRDefault="007E60D0">
            <w:pPr>
              <w:snapToGrid w:val="0"/>
              <w:rPr>
                <w:sz w:val="22"/>
                <w:szCs w:val="22"/>
              </w:rPr>
            </w:pPr>
            <w:r>
              <w:rPr>
                <w:sz w:val="22"/>
                <w:szCs w:val="22"/>
              </w:rPr>
              <w:t xml:space="preserve">María Edith Castañeda </w:t>
            </w:r>
          </w:p>
        </w:tc>
        <w:tc>
          <w:tcPr>
            <w:tcW w:w="2446"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sz w:val="22"/>
                <w:szCs w:val="22"/>
              </w:rPr>
            </w:pPr>
            <w:r>
              <w:rPr>
                <w:sz w:val="22"/>
                <w:szCs w:val="22"/>
              </w:rPr>
              <w:t>2006 – 057</w:t>
            </w:r>
          </w:p>
          <w:p w:rsidR="007E60D0" w:rsidRDefault="007E60D0">
            <w:pPr>
              <w:jc w:val="center"/>
              <w:rPr>
                <w:sz w:val="22"/>
                <w:szCs w:val="22"/>
              </w:rPr>
            </w:pPr>
            <w:r>
              <w:rPr>
                <w:sz w:val="22"/>
                <w:szCs w:val="22"/>
              </w:rPr>
              <w:t xml:space="preserve">A. N. R. D </w:t>
            </w:r>
          </w:p>
        </w:tc>
        <w:tc>
          <w:tcPr>
            <w:tcW w:w="4233"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both"/>
              <w:rPr>
                <w:sz w:val="22"/>
                <w:szCs w:val="22"/>
              </w:rPr>
            </w:pPr>
            <w:r>
              <w:rPr>
                <w:sz w:val="22"/>
                <w:szCs w:val="22"/>
              </w:rPr>
              <w:t>Esta en pruebas.  Se solicitó la perención del proceso el 09/05/11</w:t>
            </w:r>
          </w:p>
        </w:tc>
      </w:tr>
      <w:tr w:rsidR="007E60D0">
        <w:trPr>
          <w:trHeight w:val="277"/>
        </w:trPr>
        <w:tc>
          <w:tcPr>
            <w:tcW w:w="2332" w:type="dxa"/>
            <w:tcBorders>
              <w:top w:val="single" w:sz="4" w:space="0" w:color="000000"/>
              <w:left w:val="single" w:sz="4" w:space="0" w:color="000000"/>
              <w:bottom w:val="single" w:sz="4" w:space="0" w:color="000000"/>
            </w:tcBorders>
            <w:shd w:val="clear" w:color="auto" w:fill="auto"/>
          </w:tcPr>
          <w:p w:rsidR="007E60D0" w:rsidRDefault="007E60D0">
            <w:pPr>
              <w:snapToGrid w:val="0"/>
              <w:rPr>
                <w:sz w:val="22"/>
                <w:szCs w:val="22"/>
              </w:rPr>
            </w:pPr>
            <w:r>
              <w:rPr>
                <w:sz w:val="22"/>
                <w:szCs w:val="22"/>
              </w:rPr>
              <w:t xml:space="preserve">Reinaldo Ortiz Lozada. </w:t>
            </w:r>
          </w:p>
        </w:tc>
        <w:tc>
          <w:tcPr>
            <w:tcW w:w="2446"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sz w:val="22"/>
                <w:szCs w:val="22"/>
              </w:rPr>
            </w:pPr>
            <w:r>
              <w:rPr>
                <w:sz w:val="22"/>
                <w:szCs w:val="22"/>
              </w:rPr>
              <w:t>2006 – 063</w:t>
            </w:r>
          </w:p>
          <w:p w:rsidR="007E60D0" w:rsidRDefault="007E60D0">
            <w:pPr>
              <w:jc w:val="center"/>
              <w:rPr>
                <w:sz w:val="22"/>
                <w:szCs w:val="22"/>
              </w:rPr>
            </w:pPr>
            <w:r>
              <w:rPr>
                <w:sz w:val="22"/>
                <w:szCs w:val="22"/>
              </w:rPr>
              <w:t xml:space="preserve">A. N. R. D </w:t>
            </w:r>
          </w:p>
        </w:tc>
        <w:tc>
          <w:tcPr>
            <w:tcW w:w="4233"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both"/>
              <w:rPr>
                <w:sz w:val="22"/>
                <w:szCs w:val="22"/>
              </w:rPr>
            </w:pPr>
            <w:r>
              <w:rPr>
                <w:sz w:val="22"/>
                <w:szCs w:val="22"/>
              </w:rPr>
              <w:t>Se encuentra la totalidad de las pruebas recaudadas. El actor</w:t>
            </w:r>
          </w:p>
          <w:p w:rsidR="007E60D0" w:rsidRDefault="007E60D0">
            <w:pPr>
              <w:jc w:val="both"/>
              <w:rPr>
                <w:sz w:val="22"/>
                <w:szCs w:val="22"/>
              </w:rPr>
            </w:pPr>
            <w:r>
              <w:rPr>
                <w:sz w:val="22"/>
                <w:szCs w:val="22"/>
              </w:rPr>
              <w:t>Solicitó alegatos.</w:t>
            </w:r>
          </w:p>
        </w:tc>
      </w:tr>
      <w:tr w:rsidR="007E60D0">
        <w:trPr>
          <w:trHeight w:val="277"/>
        </w:trPr>
        <w:tc>
          <w:tcPr>
            <w:tcW w:w="2332" w:type="dxa"/>
            <w:tcBorders>
              <w:top w:val="single" w:sz="4" w:space="0" w:color="000000"/>
              <w:left w:val="single" w:sz="4" w:space="0" w:color="000000"/>
              <w:bottom w:val="single" w:sz="4" w:space="0" w:color="000000"/>
            </w:tcBorders>
            <w:shd w:val="clear" w:color="auto" w:fill="auto"/>
          </w:tcPr>
          <w:p w:rsidR="007E60D0" w:rsidRDefault="007E60D0">
            <w:pPr>
              <w:snapToGrid w:val="0"/>
              <w:rPr>
                <w:sz w:val="22"/>
                <w:szCs w:val="22"/>
              </w:rPr>
            </w:pPr>
            <w:r>
              <w:rPr>
                <w:sz w:val="22"/>
                <w:szCs w:val="22"/>
              </w:rPr>
              <w:t xml:space="preserve">Isabel Cristina Suárez  </w:t>
            </w:r>
          </w:p>
        </w:tc>
        <w:tc>
          <w:tcPr>
            <w:tcW w:w="2446"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sz w:val="22"/>
                <w:szCs w:val="22"/>
              </w:rPr>
            </w:pPr>
            <w:r>
              <w:rPr>
                <w:sz w:val="22"/>
                <w:szCs w:val="22"/>
              </w:rPr>
              <w:t>2006 – 024</w:t>
            </w:r>
          </w:p>
          <w:p w:rsidR="007E60D0" w:rsidRDefault="007E60D0">
            <w:pPr>
              <w:jc w:val="center"/>
              <w:rPr>
                <w:sz w:val="22"/>
                <w:szCs w:val="22"/>
              </w:rPr>
            </w:pPr>
            <w:r>
              <w:rPr>
                <w:sz w:val="22"/>
                <w:szCs w:val="22"/>
              </w:rPr>
              <w:t xml:space="preserve"> A. N. R. D</w:t>
            </w:r>
          </w:p>
        </w:tc>
        <w:tc>
          <w:tcPr>
            <w:tcW w:w="4233"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both"/>
              <w:rPr>
                <w:sz w:val="22"/>
                <w:szCs w:val="22"/>
              </w:rPr>
            </w:pPr>
            <w:r>
              <w:rPr>
                <w:sz w:val="22"/>
                <w:szCs w:val="22"/>
              </w:rPr>
              <w:t>Esta en pruebas. Proceso remitido a Juzgado 1 de descongestión. El 19-09-2011 auto avoca conocimiento y concede diez días para alegatos de conclusión. El 07-09-2011 se presentó alegatos de conclusión.</w:t>
            </w:r>
          </w:p>
        </w:tc>
      </w:tr>
      <w:tr w:rsidR="007E60D0">
        <w:trPr>
          <w:trHeight w:val="277"/>
        </w:trPr>
        <w:tc>
          <w:tcPr>
            <w:tcW w:w="2332" w:type="dxa"/>
            <w:tcBorders>
              <w:top w:val="single" w:sz="4" w:space="0" w:color="000000"/>
              <w:left w:val="single" w:sz="4" w:space="0" w:color="000000"/>
              <w:bottom w:val="single" w:sz="4" w:space="0" w:color="000000"/>
            </w:tcBorders>
            <w:shd w:val="clear" w:color="auto" w:fill="auto"/>
          </w:tcPr>
          <w:p w:rsidR="007E60D0" w:rsidRDefault="007E60D0">
            <w:pPr>
              <w:snapToGrid w:val="0"/>
              <w:rPr>
                <w:sz w:val="22"/>
                <w:szCs w:val="22"/>
              </w:rPr>
            </w:pPr>
            <w:r>
              <w:rPr>
                <w:sz w:val="22"/>
                <w:szCs w:val="22"/>
              </w:rPr>
              <w:t xml:space="preserve">Ana Milena Quiroga  </w:t>
            </w:r>
          </w:p>
        </w:tc>
        <w:tc>
          <w:tcPr>
            <w:tcW w:w="2446"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sz w:val="22"/>
                <w:szCs w:val="22"/>
              </w:rPr>
            </w:pPr>
            <w:r>
              <w:rPr>
                <w:sz w:val="22"/>
                <w:szCs w:val="22"/>
              </w:rPr>
              <w:t>2006 – 025</w:t>
            </w:r>
          </w:p>
          <w:p w:rsidR="007E60D0" w:rsidRDefault="007E60D0">
            <w:pPr>
              <w:jc w:val="center"/>
              <w:rPr>
                <w:sz w:val="22"/>
                <w:szCs w:val="22"/>
              </w:rPr>
            </w:pPr>
            <w:r>
              <w:rPr>
                <w:sz w:val="22"/>
                <w:szCs w:val="22"/>
              </w:rPr>
              <w:t xml:space="preserve">A. N. R. D </w:t>
            </w:r>
          </w:p>
        </w:tc>
        <w:tc>
          <w:tcPr>
            <w:tcW w:w="4233"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both"/>
              <w:rPr>
                <w:sz w:val="22"/>
                <w:szCs w:val="22"/>
              </w:rPr>
            </w:pPr>
            <w:r>
              <w:rPr>
                <w:sz w:val="22"/>
                <w:szCs w:val="22"/>
              </w:rPr>
              <w:t>Esta en pruebas.  El 09/05/2011 se allega memorial solicitando</w:t>
            </w:r>
          </w:p>
          <w:p w:rsidR="007E60D0" w:rsidRDefault="007E60D0">
            <w:pPr>
              <w:jc w:val="both"/>
              <w:rPr>
                <w:sz w:val="22"/>
                <w:szCs w:val="22"/>
              </w:rPr>
            </w:pPr>
            <w:r>
              <w:rPr>
                <w:sz w:val="22"/>
                <w:szCs w:val="22"/>
              </w:rPr>
              <w:t>Perención del proceso</w:t>
            </w:r>
          </w:p>
        </w:tc>
      </w:tr>
      <w:tr w:rsidR="007E60D0">
        <w:trPr>
          <w:trHeight w:val="277"/>
        </w:trPr>
        <w:tc>
          <w:tcPr>
            <w:tcW w:w="2332" w:type="dxa"/>
            <w:tcBorders>
              <w:top w:val="single" w:sz="4" w:space="0" w:color="000000"/>
              <w:left w:val="single" w:sz="4" w:space="0" w:color="000000"/>
              <w:bottom w:val="single" w:sz="4" w:space="0" w:color="000000"/>
            </w:tcBorders>
            <w:shd w:val="clear" w:color="auto" w:fill="auto"/>
          </w:tcPr>
          <w:p w:rsidR="007E60D0" w:rsidRDefault="007E60D0">
            <w:pPr>
              <w:snapToGrid w:val="0"/>
              <w:rPr>
                <w:sz w:val="22"/>
                <w:szCs w:val="22"/>
              </w:rPr>
            </w:pPr>
            <w:r>
              <w:rPr>
                <w:sz w:val="22"/>
                <w:szCs w:val="22"/>
              </w:rPr>
              <w:t xml:space="preserve">Efraín Varón Sierra  </w:t>
            </w:r>
          </w:p>
        </w:tc>
        <w:tc>
          <w:tcPr>
            <w:tcW w:w="2446"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sz w:val="22"/>
                <w:szCs w:val="22"/>
              </w:rPr>
            </w:pPr>
            <w:r>
              <w:rPr>
                <w:sz w:val="22"/>
                <w:szCs w:val="22"/>
              </w:rPr>
              <w:t>2006 – 059</w:t>
            </w:r>
          </w:p>
          <w:p w:rsidR="007E60D0" w:rsidRDefault="007E60D0">
            <w:pPr>
              <w:jc w:val="center"/>
              <w:rPr>
                <w:sz w:val="22"/>
                <w:szCs w:val="22"/>
              </w:rPr>
            </w:pPr>
            <w:r>
              <w:rPr>
                <w:sz w:val="22"/>
                <w:szCs w:val="22"/>
              </w:rPr>
              <w:t xml:space="preserve">A. N. R. D </w:t>
            </w:r>
          </w:p>
        </w:tc>
        <w:tc>
          <w:tcPr>
            <w:tcW w:w="4233"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both"/>
              <w:rPr>
                <w:sz w:val="22"/>
                <w:szCs w:val="22"/>
              </w:rPr>
            </w:pPr>
            <w:r>
              <w:rPr>
                <w:sz w:val="22"/>
                <w:szCs w:val="22"/>
              </w:rPr>
              <w:t>Esta en pruebas.  El 09/05/2011 se allega memorial solicitando</w:t>
            </w:r>
          </w:p>
          <w:p w:rsidR="007E60D0" w:rsidRDefault="007E60D0">
            <w:pPr>
              <w:jc w:val="both"/>
              <w:rPr>
                <w:sz w:val="22"/>
                <w:szCs w:val="22"/>
              </w:rPr>
            </w:pPr>
            <w:r>
              <w:rPr>
                <w:sz w:val="22"/>
                <w:szCs w:val="22"/>
              </w:rPr>
              <w:t>Perención del proceso</w:t>
            </w:r>
          </w:p>
        </w:tc>
      </w:tr>
      <w:tr w:rsidR="007E60D0">
        <w:trPr>
          <w:trHeight w:val="277"/>
        </w:trPr>
        <w:tc>
          <w:tcPr>
            <w:tcW w:w="2332" w:type="dxa"/>
            <w:tcBorders>
              <w:top w:val="single" w:sz="4" w:space="0" w:color="000000"/>
              <w:left w:val="single" w:sz="4" w:space="0" w:color="000000"/>
              <w:bottom w:val="single" w:sz="4" w:space="0" w:color="000000"/>
            </w:tcBorders>
            <w:shd w:val="clear" w:color="auto" w:fill="auto"/>
          </w:tcPr>
          <w:p w:rsidR="007E60D0" w:rsidRDefault="007E60D0">
            <w:pPr>
              <w:snapToGrid w:val="0"/>
              <w:rPr>
                <w:sz w:val="22"/>
                <w:szCs w:val="22"/>
              </w:rPr>
            </w:pPr>
            <w:r>
              <w:rPr>
                <w:sz w:val="22"/>
                <w:szCs w:val="22"/>
              </w:rPr>
              <w:t xml:space="preserve">Leyder Omar Jiménez </w:t>
            </w:r>
          </w:p>
        </w:tc>
        <w:tc>
          <w:tcPr>
            <w:tcW w:w="2446"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sz w:val="22"/>
                <w:szCs w:val="22"/>
              </w:rPr>
            </w:pPr>
            <w:r>
              <w:rPr>
                <w:sz w:val="22"/>
                <w:szCs w:val="22"/>
              </w:rPr>
              <w:t>2007 – 387</w:t>
            </w:r>
          </w:p>
          <w:p w:rsidR="007E60D0" w:rsidRDefault="007E60D0">
            <w:pPr>
              <w:jc w:val="center"/>
              <w:rPr>
                <w:sz w:val="22"/>
                <w:szCs w:val="22"/>
              </w:rPr>
            </w:pPr>
            <w:r>
              <w:rPr>
                <w:sz w:val="22"/>
                <w:szCs w:val="22"/>
              </w:rPr>
              <w:t xml:space="preserve">A. N. R. D </w:t>
            </w:r>
          </w:p>
        </w:tc>
        <w:tc>
          <w:tcPr>
            <w:tcW w:w="4233"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both"/>
              <w:rPr>
                <w:sz w:val="22"/>
                <w:szCs w:val="22"/>
              </w:rPr>
            </w:pPr>
            <w:r>
              <w:rPr>
                <w:sz w:val="22"/>
                <w:szCs w:val="22"/>
              </w:rPr>
              <w:t>Se contesto la demanda y propusieron excepciones. El 16-09-2009, auto pone en conocimiento la respuesta dada por la secretaria de educación departamental. Se presentó memorial el 09/05/2011 solicitando perención del proceso.</w:t>
            </w:r>
          </w:p>
        </w:tc>
      </w:tr>
      <w:tr w:rsidR="007E60D0">
        <w:trPr>
          <w:trHeight w:val="277"/>
        </w:trPr>
        <w:tc>
          <w:tcPr>
            <w:tcW w:w="2332" w:type="dxa"/>
            <w:tcBorders>
              <w:top w:val="single" w:sz="4" w:space="0" w:color="000000"/>
              <w:left w:val="single" w:sz="4" w:space="0" w:color="000000"/>
              <w:bottom w:val="single" w:sz="4" w:space="0" w:color="000000"/>
            </w:tcBorders>
            <w:shd w:val="clear" w:color="auto" w:fill="auto"/>
          </w:tcPr>
          <w:p w:rsidR="007E60D0" w:rsidRDefault="007E60D0">
            <w:pPr>
              <w:snapToGrid w:val="0"/>
              <w:rPr>
                <w:sz w:val="22"/>
                <w:szCs w:val="22"/>
              </w:rPr>
            </w:pPr>
            <w:r>
              <w:rPr>
                <w:sz w:val="22"/>
                <w:szCs w:val="22"/>
              </w:rPr>
              <w:t>Néstor Gregory Díaz</w:t>
            </w:r>
          </w:p>
        </w:tc>
        <w:tc>
          <w:tcPr>
            <w:tcW w:w="2446"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sz w:val="22"/>
                <w:szCs w:val="22"/>
              </w:rPr>
            </w:pPr>
            <w:r>
              <w:rPr>
                <w:sz w:val="22"/>
                <w:szCs w:val="22"/>
              </w:rPr>
              <w:t>2008-340</w:t>
            </w:r>
          </w:p>
          <w:p w:rsidR="007E60D0" w:rsidRDefault="007E60D0">
            <w:pPr>
              <w:jc w:val="center"/>
              <w:rPr>
                <w:sz w:val="22"/>
                <w:szCs w:val="22"/>
              </w:rPr>
            </w:pPr>
            <w:r>
              <w:rPr>
                <w:sz w:val="22"/>
                <w:szCs w:val="22"/>
              </w:rPr>
              <w:t>A.P.</w:t>
            </w:r>
          </w:p>
        </w:tc>
        <w:tc>
          <w:tcPr>
            <w:tcW w:w="4233"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both"/>
              <w:rPr>
                <w:sz w:val="22"/>
                <w:szCs w:val="22"/>
              </w:rPr>
            </w:pPr>
            <w:r>
              <w:rPr>
                <w:sz w:val="22"/>
                <w:szCs w:val="22"/>
              </w:rPr>
              <w:t>Se contesto la demanda. El 25-11-09, se fija fecha para pacto de cumplimiento para el 17-02-2010 hora 8:30 AM, el 19-02-2010, se fija fecha para la audiencia de pacto para el día 05-05-2010 hora 9:00 AM.  Auto decreta pruebas el 01-09-2010. El 06/05/2011 actor solicita cesión de derechos litigiosos</w:t>
            </w:r>
          </w:p>
        </w:tc>
      </w:tr>
      <w:tr w:rsidR="007E60D0">
        <w:trPr>
          <w:trHeight w:val="277"/>
        </w:trPr>
        <w:tc>
          <w:tcPr>
            <w:tcW w:w="2332" w:type="dxa"/>
            <w:tcBorders>
              <w:top w:val="single" w:sz="4" w:space="0" w:color="000000"/>
              <w:left w:val="single" w:sz="4" w:space="0" w:color="000000"/>
              <w:bottom w:val="single" w:sz="4" w:space="0" w:color="000000"/>
            </w:tcBorders>
            <w:shd w:val="clear" w:color="auto" w:fill="auto"/>
          </w:tcPr>
          <w:p w:rsidR="007E60D0" w:rsidRDefault="007E60D0">
            <w:pPr>
              <w:snapToGrid w:val="0"/>
              <w:rPr>
                <w:sz w:val="22"/>
                <w:szCs w:val="22"/>
              </w:rPr>
            </w:pPr>
            <w:r>
              <w:rPr>
                <w:sz w:val="22"/>
                <w:szCs w:val="22"/>
              </w:rPr>
              <w:t>Rubén Alberto González</w:t>
            </w:r>
          </w:p>
        </w:tc>
        <w:tc>
          <w:tcPr>
            <w:tcW w:w="2446"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sz w:val="22"/>
                <w:szCs w:val="22"/>
              </w:rPr>
            </w:pPr>
            <w:r>
              <w:rPr>
                <w:sz w:val="22"/>
                <w:szCs w:val="22"/>
              </w:rPr>
              <w:t>2009-00223</w:t>
            </w:r>
          </w:p>
          <w:p w:rsidR="007E60D0" w:rsidRDefault="007E60D0">
            <w:pPr>
              <w:jc w:val="center"/>
              <w:rPr>
                <w:sz w:val="22"/>
                <w:szCs w:val="22"/>
              </w:rPr>
            </w:pPr>
            <w:r>
              <w:rPr>
                <w:sz w:val="22"/>
                <w:szCs w:val="22"/>
              </w:rPr>
              <w:t>A.P.</w:t>
            </w:r>
          </w:p>
        </w:tc>
        <w:tc>
          <w:tcPr>
            <w:tcW w:w="4233"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both"/>
              <w:rPr>
                <w:sz w:val="22"/>
                <w:szCs w:val="22"/>
              </w:rPr>
            </w:pPr>
            <w:r>
              <w:rPr>
                <w:sz w:val="22"/>
                <w:szCs w:val="22"/>
              </w:rPr>
              <w:t xml:space="preserve">11-11-2009, Auto agrega despacho comisorio procedente del juzgado 2 de Palermo. 16-03-2010 traslado de exceptivas. El 25/02/2011 </w:t>
            </w:r>
            <w:r>
              <w:rPr>
                <w:sz w:val="22"/>
                <w:szCs w:val="22"/>
              </w:rPr>
              <w:lastRenderedPageBreak/>
              <w:t>auto decreta pruebas</w:t>
            </w:r>
          </w:p>
        </w:tc>
      </w:tr>
      <w:tr w:rsidR="007E60D0">
        <w:trPr>
          <w:trHeight w:val="277"/>
        </w:trPr>
        <w:tc>
          <w:tcPr>
            <w:tcW w:w="2332" w:type="dxa"/>
            <w:tcBorders>
              <w:top w:val="single" w:sz="4" w:space="0" w:color="000000"/>
              <w:left w:val="single" w:sz="4" w:space="0" w:color="000000"/>
              <w:bottom w:val="single" w:sz="4" w:space="0" w:color="000000"/>
            </w:tcBorders>
            <w:shd w:val="clear" w:color="auto" w:fill="auto"/>
          </w:tcPr>
          <w:p w:rsidR="007E60D0" w:rsidRDefault="007E60D0">
            <w:pPr>
              <w:snapToGrid w:val="0"/>
              <w:rPr>
                <w:sz w:val="22"/>
                <w:szCs w:val="22"/>
              </w:rPr>
            </w:pPr>
            <w:r>
              <w:rPr>
                <w:sz w:val="22"/>
                <w:szCs w:val="22"/>
              </w:rPr>
              <w:lastRenderedPageBreak/>
              <w:t>Jorge Galindo Perdomo</w:t>
            </w:r>
          </w:p>
        </w:tc>
        <w:tc>
          <w:tcPr>
            <w:tcW w:w="2446"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sz w:val="22"/>
                <w:szCs w:val="22"/>
              </w:rPr>
            </w:pPr>
            <w:r>
              <w:rPr>
                <w:sz w:val="22"/>
                <w:szCs w:val="22"/>
              </w:rPr>
              <w:t>2009-177</w:t>
            </w:r>
          </w:p>
          <w:p w:rsidR="007E60D0" w:rsidRDefault="007E60D0">
            <w:pPr>
              <w:jc w:val="center"/>
              <w:rPr>
                <w:sz w:val="22"/>
                <w:szCs w:val="22"/>
              </w:rPr>
            </w:pPr>
            <w:r>
              <w:rPr>
                <w:sz w:val="22"/>
                <w:szCs w:val="22"/>
              </w:rPr>
              <w:t>A.P.</w:t>
            </w:r>
          </w:p>
        </w:tc>
        <w:tc>
          <w:tcPr>
            <w:tcW w:w="4233"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both"/>
              <w:rPr>
                <w:sz w:val="22"/>
                <w:szCs w:val="22"/>
              </w:rPr>
            </w:pPr>
            <w:r>
              <w:rPr>
                <w:sz w:val="22"/>
                <w:szCs w:val="22"/>
              </w:rPr>
              <w:t xml:space="preserve"> El 25-08-2011 se fijó fallo en contra del municipio. El 01-08-2011 se apeló. El 26-08-2011 concede recurso apelación.</w:t>
            </w:r>
          </w:p>
        </w:tc>
      </w:tr>
      <w:tr w:rsidR="007E60D0">
        <w:trPr>
          <w:trHeight w:val="277"/>
        </w:trPr>
        <w:tc>
          <w:tcPr>
            <w:tcW w:w="2332" w:type="dxa"/>
            <w:tcBorders>
              <w:top w:val="single" w:sz="4" w:space="0" w:color="000000"/>
              <w:left w:val="single" w:sz="4" w:space="0" w:color="000000"/>
              <w:bottom w:val="single" w:sz="4" w:space="0" w:color="000000"/>
            </w:tcBorders>
            <w:shd w:val="clear" w:color="auto" w:fill="auto"/>
          </w:tcPr>
          <w:p w:rsidR="007E60D0" w:rsidRDefault="007E60D0">
            <w:pPr>
              <w:snapToGrid w:val="0"/>
              <w:rPr>
                <w:sz w:val="22"/>
                <w:szCs w:val="22"/>
              </w:rPr>
            </w:pPr>
            <w:r>
              <w:rPr>
                <w:sz w:val="22"/>
                <w:szCs w:val="22"/>
              </w:rPr>
              <w:t>Javier Elías arias Idárraga</w:t>
            </w:r>
          </w:p>
        </w:tc>
        <w:tc>
          <w:tcPr>
            <w:tcW w:w="2446"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sz w:val="22"/>
                <w:szCs w:val="22"/>
              </w:rPr>
            </w:pPr>
            <w:r>
              <w:rPr>
                <w:sz w:val="22"/>
                <w:szCs w:val="22"/>
              </w:rPr>
              <w:t>2009-248</w:t>
            </w:r>
          </w:p>
          <w:p w:rsidR="007E60D0" w:rsidRDefault="007E60D0">
            <w:pPr>
              <w:jc w:val="center"/>
              <w:rPr>
                <w:sz w:val="22"/>
                <w:szCs w:val="22"/>
              </w:rPr>
            </w:pPr>
            <w:r>
              <w:rPr>
                <w:sz w:val="22"/>
                <w:szCs w:val="22"/>
              </w:rPr>
              <w:t>A.P.</w:t>
            </w:r>
          </w:p>
        </w:tc>
        <w:tc>
          <w:tcPr>
            <w:tcW w:w="4233"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both"/>
              <w:rPr>
                <w:sz w:val="22"/>
                <w:szCs w:val="22"/>
              </w:rPr>
            </w:pPr>
            <w:r>
              <w:rPr>
                <w:sz w:val="22"/>
                <w:szCs w:val="22"/>
              </w:rPr>
              <w:t>27/05/2011 se contesta la demanda. Auto de 01-07-2011 fija fecha pacto de cumplimiento para el 12-10-2011 8:00 a.m.</w:t>
            </w:r>
          </w:p>
        </w:tc>
      </w:tr>
    </w:tbl>
    <w:p w:rsidR="007E60D0" w:rsidRDefault="007E60D0">
      <w:pPr>
        <w:rPr>
          <w:sz w:val="22"/>
          <w:szCs w:val="22"/>
        </w:rPr>
      </w:pPr>
    </w:p>
    <w:p w:rsidR="007E60D0" w:rsidRDefault="007E60D0">
      <w:pPr>
        <w:rPr>
          <w:sz w:val="22"/>
          <w:szCs w:val="22"/>
        </w:rPr>
      </w:pPr>
    </w:p>
    <w:p w:rsidR="007E60D0" w:rsidRDefault="007E60D0">
      <w:pPr>
        <w:pStyle w:val="Ttulo3"/>
        <w:rPr>
          <w:rFonts w:ascii="Times New Roman" w:hAnsi="Times New Roman" w:cs="Times New Roman"/>
        </w:rPr>
      </w:pPr>
      <w:r>
        <w:rPr>
          <w:rFonts w:ascii="Times New Roman" w:hAnsi="Times New Roman" w:cs="Times New Roman"/>
        </w:rPr>
        <w:t>JUZGADO PRIMERO LABORAL DE NEIVA</w:t>
      </w:r>
    </w:p>
    <w:p w:rsidR="007E60D0" w:rsidRDefault="007E60D0">
      <w:pPr>
        <w:rPr>
          <w:sz w:val="22"/>
          <w:szCs w:val="22"/>
        </w:rPr>
      </w:pPr>
    </w:p>
    <w:tbl>
      <w:tblPr>
        <w:tblW w:w="0" w:type="auto"/>
        <w:tblInd w:w="-5" w:type="dxa"/>
        <w:tblLayout w:type="fixed"/>
        <w:tblCellMar>
          <w:left w:w="70" w:type="dxa"/>
          <w:right w:w="70" w:type="dxa"/>
        </w:tblCellMar>
        <w:tblLook w:val="0000"/>
      </w:tblPr>
      <w:tblGrid>
        <w:gridCol w:w="2338"/>
        <w:gridCol w:w="2410"/>
        <w:gridCol w:w="4240"/>
      </w:tblGrid>
      <w:tr w:rsidR="007E60D0">
        <w:tc>
          <w:tcPr>
            <w:tcW w:w="2338"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b/>
                <w:bCs/>
                <w:sz w:val="22"/>
                <w:szCs w:val="22"/>
              </w:rPr>
            </w:pPr>
            <w:r>
              <w:rPr>
                <w:b/>
                <w:bCs/>
                <w:sz w:val="22"/>
                <w:szCs w:val="22"/>
              </w:rPr>
              <w:t>DEMANDANTE</w:t>
            </w:r>
          </w:p>
        </w:tc>
        <w:tc>
          <w:tcPr>
            <w:tcW w:w="2410"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b/>
                <w:bCs/>
                <w:sz w:val="22"/>
                <w:szCs w:val="22"/>
              </w:rPr>
            </w:pPr>
            <w:r>
              <w:rPr>
                <w:b/>
                <w:bCs/>
                <w:sz w:val="22"/>
                <w:szCs w:val="22"/>
              </w:rPr>
              <w:t>RADICACIÓN</w:t>
            </w:r>
          </w:p>
        </w:tc>
        <w:tc>
          <w:tcPr>
            <w:tcW w:w="4240"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center"/>
              <w:rPr>
                <w:b/>
                <w:bCs/>
                <w:sz w:val="22"/>
                <w:szCs w:val="22"/>
              </w:rPr>
            </w:pPr>
            <w:r>
              <w:rPr>
                <w:b/>
                <w:bCs/>
                <w:sz w:val="22"/>
                <w:szCs w:val="22"/>
              </w:rPr>
              <w:t>ESTADO PROCESAL</w:t>
            </w:r>
          </w:p>
        </w:tc>
      </w:tr>
      <w:tr w:rsidR="007E60D0">
        <w:trPr>
          <w:trHeight w:val="445"/>
        </w:trPr>
        <w:tc>
          <w:tcPr>
            <w:tcW w:w="2338" w:type="dxa"/>
            <w:tcBorders>
              <w:top w:val="single" w:sz="4" w:space="0" w:color="000000"/>
              <w:left w:val="single" w:sz="4" w:space="0" w:color="000000"/>
              <w:bottom w:val="single" w:sz="4" w:space="0" w:color="000000"/>
            </w:tcBorders>
            <w:shd w:val="clear" w:color="auto" w:fill="auto"/>
          </w:tcPr>
          <w:p w:rsidR="007E60D0" w:rsidRDefault="007E60D0">
            <w:pPr>
              <w:snapToGrid w:val="0"/>
              <w:rPr>
                <w:sz w:val="22"/>
                <w:szCs w:val="22"/>
              </w:rPr>
            </w:pPr>
            <w:r>
              <w:rPr>
                <w:sz w:val="22"/>
                <w:szCs w:val="22"/>
              </w:rPr>
              <w:t>Jaime González Salazar</w:t>
            </w:r>
          </w:p>
        </w:tc>
        <w:tc>
          <w:tcPr>
            <w:tcW w:w="2410"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sz w:val="22"/>
                <w:szCs w:val="22"/>
              </w:rPr>
            </w:pPr>
            <w:r>
              <w:rPr>
                <w:sz w:val="22"/>
                <w:szCs w:val="22"/>
              </w:rPr>
              <w:t>2009-1020</w:t>
            </w:r>
          </w:p>
        </w:tc>
        <w:tc>
          <w:tcPr>
            <w:tcW w:w="4240"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both"/>
              <w:rPr>
                <w:sz w:val="22"/>
                <w:szCs w:val="22"/>
              </w:rPr>
            </w:pPr>
            <w:r>
              <w:rPr>
                <w:sz w:val="22"/>
                <w:szCs w:val="22"/>
              </w:rPr>
              <w:t>Pendiente que fijen fecha audiencia de conciliación. El 13 de enero de 2011 se contesta reforma de la demanda. El 09-09-2011 se presenta memorial solicitando pronunciarse al llamamiento en garantía solicitado por el ente territorial.</w:t>
            </w:r>
          </w:p>
        </w:tc>
      </w:tr>
    </w:tbl>
    <w:p w:rsidR="007E60D0" w:rsidRDefault="007E60D0">
      <w:pPr>
        <w:rPr>
          <w:sz w:val="22"/>
          <w:szCs w:val="22"/>
        </w:rPr>
      </w:pPr>
    </w:p>
    <w:p w:rsidR="007E60D0" w:rsidRDefault="007E60D0">
      <w:pPr>
        <w:rPr>
          <w:sz w:val="22"/>
          <w:szCs w:val="22"/>
        </w:rPr>
      </w:pPr>
    </w:p>
    <w:p w:rsidR="007E60D0" w:rsidRDefault="007E60D0">
      <w:pPr>
        <w:pStyle w:val="Ttulo3"/>
        <w:rPr>
          <w:rFonts w:ascii="Times New Roman" w:hAnsi="Times New Roman" w:cs="Times New Roman"/>
        </w:rPr>
      </w:pPr>
      <w:r>
        <w:rPr>
          <w:rFonts w:ascii="Times New Roman" w:hAnsi="Times New Roman" w:cs="Times New Roman"/>
        </w:rPr>
        <w:t>JUZGADO CUARTO CIVIL DEL CIRCUITO DE NEIVA</w:t>
      </w:r>
    </w:p>
    <w:p w:rsidR="007E60D0" w:rsidRDefault="007E60D0">
      <w:pPr>
        <w:rPr>
          <w:sz w:val="22"/>
          <w:szCs w:val="22"/>
        </w:rPr>
      </w:pPr>
    </w:p>
    <w:tbl>
      <w:tblPr>
        <w:tblW w:w="0" w:type="auto"/>
        <w:tblInd w:w="-5" w:type="dxa"/>
        <w:tblLayout w:type="fixed"/>
        <w:tblCellMar>
          <w:left w:w="70" w:type="dxa"/>
          <w:right w:w="70" w:type="dxa"/>
        </w:tblCellMar>
        <w:tblLook w:val="0000"/>
      </w:tblPr>
      <w:tblGrid>
        <w:gridCol w:w="2338"/>
        <w:gridCol w:w="2410"/>
        <w:gridCol w:w="4240"/>
      </w:tblGrid>
      <w:tr w:rsidR="007E60D0">
        <w:tc>
          <w:tcPr>
            <w:tcW w:w="2338"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b/>
                <w:bCs/>
                <w:sz w:val="22"/>
                <w:szCs w:val="22"/>
              </w:rPr>
            </w:pPr>
            <w:r>
              <w:rPr>
                <w:b/>
                <w:bCs/>
                <w:sz w:val="22"/>
                <w:szCs w:val="22"/>
              </w:rPr>
              <w:t>DEMANDANTE</w:t>
            </w:r>
          </w:p>
        </w:tc>
        <w:tc>
          <w:tcPr>
            <w:tcW w:w="2410"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b/>
                <w:bCs/>
                <w:sz w:val="22"/>
                <w:szCs w:val="22"/>
              </w:rPr>
            </w:pPr>
            <w:r>
              <w:rPr>
                <w:b/>
                <w:bCs/>
                <w:sz w:val="22"/>
                <w:szCs w:val="22"/>
              </w:rPr>
              <w:t>RADICACIÓN</w:t>
            </w:r>
          </w:p>
        </w:tc>
        <w:tc>
          <w:tcPr>
            <w:tcW w:w="4240"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center"/>
              <w:rPr>
                <w:b/>
                <w:bCs/>
                <w:sz w:val="22"/>
                <w:szCs w:val="22"/>
              </w:rPr>
            </w:pPr>
            <w:r>
              <w:rPr>
                <w:b/>
                <w:bCs/>
                <w:sz w:val="22"/>
                <w:szCs w:val="22"/>
              </w:rPr>
              <w:t>ESTADO PROCESAL</w:t>
            </w:r>
          </w:p>
        </w:tc>
      </w:tr>
      <w:tr w:rsidR="007E60D0">
        <w:tc>
          <w:tcPr>
            <w:tcW w:w="2338" w:type="dxa"/>
            <w:tcBorders>
              <w:top w:val="single" w:sz="4" w:space="0" w:color="000000"/>
              <w:left w:val="single" w:sz="4" w:space="0" w:color="000000"/>
              <w:bottom w:val="single" w:sz="4" w:space="0" w:color="000000"/>
            </w:tcBorders>
            <w:shd w:val="clear" w:color="auto" w:fill="auto"/>
          </w:tcPr>
          <w:p w:rsidR="007E60D0" w:rsidRDefault="007E60D0">
            <w:pPr>
              <w:snapToGrid w:val="0"/>
              <w:rPr>
                <w:sz w:val="22"/>
                <w:szCs w:val="22"/>
              </w:rPr>
            </w:pPr>
            <w:r>
              <w:rPr>
                <w:sz w:val="22"/>
                <w:szCs w:val="22"/>
              </w:rPr>
              <w:t>Arturo Carrera Rojas y Otros</w:t>
            </w:r>
          </w:p>
        </w:tc>
        <w:tc>
          <w:tcPr>
            <w:tcW w:w="2410"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sz w:val="22"/>
                <w:szCs w:val="22"/>
              </w:rPr>
            </w:pPr>
            <w:r>
              <w:rPr>
                <w:sz w:val="22"/>
                <w:szCs w:val="22"/>
              </w:rPr>
              <w:t>2004 – 055</w:t>
            </w:r>
          </w:p>
          <w:p w:rsidR="007E60D0" w:rsidRDefault="007E60D0">
            <w:pPr>
              <w:jc w:val="center"/>
              <w:rPr>
                <w:sz w:val="22"/>
                <w:szCs w:val="22"/>
              </w:rPr>
            </w:pPr>
            <w:r>
              <w:rPr>
                <w:sz w:val="22"/>
                <w:szCs w:val="22"/>
              </w:rPr>
              <w:t>Divisorio</w:t>
            </w:r>
          </w:p>
        </w:tc>
        <w:tc>
          <w:tcPr>
            <w:tcW w:w="4240"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both"/>
              <w:rPr>
                <w:sz w:val="22"/>
                <w:szCs w:val="22"/>
              </w:rPr>
            </w:pPr>
            <w:r>
              <w:rPr>
                <w:sz w:val="22"/>
                <w:szCs w:val="22"/>
              </w:rPr>
              <w:t>El perito presentó aclaración del dictamen. El 12/05/2011 se corre traslado de la objeción del dictamen. El 13-06-2011 auto ordena rehacer partición. El 05-07-2011 auto ordena expedir copias al C.S.J. El 02-09-2011 auto no repone y concede recurso de apelación.</w:t>
            </w:r>
          </w:p>
        </w:tc>
      </w:tr>
    </w:tbl>
    <w:p w:rsidR="007E60D0" w:rsidRDefault="007E60D0">
      <w:pPr>
        <w:rPr>
          <w:sz w:val="22"/>
          <w:szCs w:val="22"/>
        </w:rPr>
      </w:pPr>
    </w:p>
    <w:p w:rsidR="007E60D0" w:rsidRDefault="007E60D0">
      <w:pPr>
        <w:rPr>
          <w:sz w:val="22"/>
          <w:szCs w:val="22"/>
        </w:rPr>
      </w:pPr>
    </w:p>
    <w:p w:rsidR="007E60D0" w:rsidRDefault="007E60D0">
      <w:pPr>
        <w:rPr>
          <w:b/>
          <w:sz w:val="22"/>
          <w:szCs w:val="22"/>
        </w:rPr>
      </w:pPr>
      <w:r>
        <w:rPr>
          <w:b/>
          <w:sz w:val="22"/>
          <w:szCs w:val="22"/>
        </w:rPr>
        <w:t>JUZGADO QUINTO CIVIL DEL CIRCUITO DE NEIVA</w:t>
      </w:r>
    </w:p>
    <w:p w:rsidR="007E60D0" w:rsidRDefault="007E60D0">
      <w:pPr>
        <w:rPr>
          <w:sz w:val="22"/>
          <w:szCs w:val="22"/>
        </w:rPr>
      </w:pPr>
    </w:p>
    <w:tbl>
      <w:tblPr>
        <w:tblW w:w="0" w:type="auto"/>
        <w:tblInd w:w="-5" w:type="dxa"/>
        <w:tblLayout w:type="fixed"/>
        <w:tblCellMar>
          <w:left w:w="70" w:type="dxa"/>
          <w:right w:w="70" w:type="dxa"/>
        </w:tblCellMar>
        <w:tblLook w:val="0000"/>
      </w:tblPr>
      <w:tblGrid>
        <w:gridCol w:w="2338"/>
        <w:gridCol w:w="2410"/>
        <w:gridCol w:w="4240"/>
      </w:tblGrid>
      <w:tr w:rsidR="007E60D0">
        <w:tc>
          <w:tcPr>
            <w:tcW w:w="2338"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b/>
                <w:bCs/>
                <w:sz w:val="22"/>
                <w:szCs w:val="22"/>
              </w:rPr>
            </w:pPr>
            <w:r>
              <w:rPr>
                <w:b/>
                <w:bCs/>
                <w:sz w:val="22"/>
                <w:szCs w:val="22"/>
              </w:rPr>
              <w:t>DEMANDANTE</w:t>
            </w:r>
          </w:p>
        </w:tc>
        <w:tc>
          <w:tcPr>
            <w:tcW w:w="2410"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b/>
                <w:bCs/>
                <w:sz w:val="22"/>
                <w:szCs w:val="22"/>
              </w:rPr>
            </w:pPr>
            <w:r>
              <w:rPr>
                <w:b/>
                <w:bCs/>
                <w:sz w:val="22"/>
                <w:szCs w:val="22"/>
              </w:rPr>
              <w:t>RADICACIÓN</w:t>
            </w:r>
          </w:p>
        </w:tc>
        <w:tc>
          <w:tcPr>
            <w:tcW w:w="4240"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center"/>
              <w:rPr>
                <w:b/>
                <w:bCs/>
                <w:sz w:val="22"/>
                <w:szCs w:val="22"/>
              </w:rPr>
            </w:pPr>
            <w:r>
              <w:rPr>
                <w:b/>
                <w:bCs/>
                <w:sz w:val="22"/>
                <w:szCs w:val="22"/>
              </w:rPr>
              <w:t>ESTADO PROCESAL</w:t>
            </w:r>
          </w:p>
        </w:tc>
      </w:tr>
      <w:tr w:rsidR="007E60D0">
        <w:tc>
          <w:tcPr>
            <w:tcW w:w="2338" w:type="dxa"/>
            <w:tcBorders>
              <w:top w:val="single" w:sz="4" w:space="0" w:color="000000"/>
              <w:left w:val="single" w:sz="4" w:space="0" w:color="000000"/>
              <w:bottom w:val="single" w:sz="4" w:space="0" w:color="000000"/>
            </w:tcBorders>
            <w:shd w:val="clear" w:color="auto" w:fill="auto"/>
          </w:tcPr>
          <w:p w:rsidR="007E60D0" w:rsidRDefault="007E60D0">
            <w:pPr>
              <w:snapToGrid w:val="0"/>
              <w:rPr>
                <w:sz w:val="22"/>
                <w:szCs w:val="22"/>
              </w:rPr>
            </w:pPr>
            <w:r>
              <w:rPr>
                <w:sz w:val="22"/>
                <w:szCs w:val="22"/>
              </w:rPr>
              <w:t>Alexander Morales</w:t>
            </w:r>
          </w:p>
        </w:tc>
        <w:tc>
          <w:tcPr>
            <w:tcW w:w="2410"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sz w:val="22"/>
                <w:szCs w:val="22"/>
              </w:rPr>
            </w:pPr>
            <w:r>
              <w:rPr>
                <w:sz w:val="22"/>
                <w:szCs w:val="22"/>
              </w:rPr>
              <w:t>2010-204</w:t>
            </w:r>
          </w:p>
          <w:p w:rsidR="007E60D0" w:rsidRDefault="007E60D0">
            <w:pPr>
              <w:jc w:val="center"/>
              <w:rPr>
                <w:sz w:val="22"/>
                <w:szCs w:val="22"/>
              </w:rPr>
            </w:pPr>
            <w:r>
              <w:rPr>
                <w:sz w:val="22"/>
                <w:szCs w:val="22"/>
              </w:rPr>
              <w:t>Deslinde y Amojonamiento</w:t>
            </w:r>
          </w:p>
        </w:tc>
        <w:tc>
          <w:tcPr>
            <w:tcW w:w="4240"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both"/>
              <w:rPr>
                <w:sz w:val="22"/>
                <w:szCs w:val="22"/>
              </w:rPr>
            </w:pPr>
            <w:r>
              <w:rPr>
                <w:sz w:val="22"/>
                <w:szCs w:val="22"/>
              </w:rPr>
              <w:t>El 12-10-2010 se contestó la demanda. Se programó audiencia de Deslinde Y Amojonamiento para el 02-12-2010 Hora 8:30 a.m. El 18-03-2011 auto fijó fecha para continuar diligencia de deslinde y amojonamiento para el día 12-05-2011 hora 9:00 a.m. Se asistió a la diligencia de deslinde y amojonamiento y el actor solicitó apelación. El 21-06-2011 auto admite recurso y corre traslado para alegar.</w:t>
            </w:r>
          </w:p>
        </w:tc>
      </w:tr>
    </w:tbl>
    <w:p w:rsidR="007E60D0" w:rsidRDefault="007E60D0">
      <w:pPr>
        <w:tabs>
          <w:tab w:val="left" w:pos="2160"/>
        </w:tabs>
        <w:jc w:val="both"/>
        <w:rPr>
          <w:szCs w:val="24"/>
          <w:lang w:val="es-ES_tradnl"/>
        </w:rPr>
      </w:pPr>
    </w:p>
    <w:p w:rsidR="007E60D0" w:rsidRDefault="007E60D0">
      <w:pPr>
        <w:tabs>
          <w:tab w:val="left" w:pos="2160"/>
        </w:tabs>
        <w:jc w:val="both"/>
        <w:rPr>
          <w:szCs w:val="24"/>
          <w:lang w:val="es-ES_tradnl"/>
        </w:rPr>
      </w:pPr>
    </w:p>
    <w:p w:rsidR="007E60D0" w:rsidRDefault="007E60D0">
      <w:pPr>
        <w:tabs>
          <w:tab w:val="left" w:pos="2160"/>
        </w:tabs>
        <w:jc w:val="both"/>
        <w:rPr>
          <w:szCs w:val="24"/>
          <w:lang w:val="es-ES_tradnl"/>
        </w:rPr>
      </w:pPr>
      <w:r>
        <w:rPr>
          <w:szCs w:val="24"/>
          <w:lang w:val="es-ES_tradnl"/>
        </w:rPr>
        <w:lastRenderedPageBreak/>
        <w:t>Para efectos del MFMP los pasivos contingentes deberán tener una valoración numérica de su existencia y se debe prever realizar provisiones tendientes a atender los pagos en el momento en que se hagan exigibles, el municipio ha identificado cerca de 68 demandas que en algún momento pueden generar pasivos contingentes, valoradas aproximadamente en $1.100 millones de pesos.</w:t>
      </w:r>
    </w:p>
    <w:p w:rsidR="007E60D0" w:rsidRDefault="007E60D0">
      <w:pPr>
        <w:tabs>
          <w:tab w:val="left" w:pos="2160"/>
        </w:tabs>
        <w:jc w:val="both"/>
        <w:rPr>
          <w:b/>
          <w:szCs w:val="24"/>
          <w:lang w:val="es-ES_tradnl"/>
        </w:rPr>
      </w:pPr>
    </w:p>
    <w:p w:rsidR="007E60D0" w:rsidRDefault="007E60D0">
      <w:pPr>
        <w:tabs>
          <w:tab w:val="left" w:pos="2160"/>
        </w:tabs>
        <w:jc w:val="both"/>
        <w:rPr>
          <w:b/>
          <w:szCs w:val="24"/>
          <w:lang w:val="es-ES_tradnl"/>
        </w:rPr>
      </w:pPr>
    </w:p>
    <w:p w:rsidR="007E60D0" w:rsidRDefault="007E60D0">
      <w:pPr>
        <w:tabs>
          <w:tab w:val="left" w:pos="2160"/>
        </w:tabs>
        <w:jc w:val="center"/>
        <w:rPr>
          <w:b/>
          <w:szCs w:val="24"/>
          <w:lang w:val="es-ES_tradnl"/>
        </w:rPr>
      </w:pPr>
      <w:r>
        <w:rPr>
          <w:b/>
          <w:szCs w:val="24"/>
          <w:lang w:val="es-ES_tradnl"/>
        </w:rPr>
        <w:t>CUADRO No. 15</w:t>
      </w:r>
    </w:p>
    <w:p w:rsidR="007E60D0" w:rsidRDefault="007E60D0">
      <w:pPr>
        <w:tabs>
          <w:tab w:val="left" w:pos="2160"/>
        </w:tabs>
        <w:jc w:val="center"/>
        <w:rPr>
          <w:b/>
          <w:szCs w:val="24"/>
          <w:lang w:val="es-ES_tradnl"/>
        </w:rPr>
      </w:pPr>
      <w:r>
        <w:rPr>
          <w:b/>
          <w:szCs w:val="24"/>
          <w:lang w:val="es-ES_tradnl"/>
        </w:rPr>
        <w:t>RESUMEN DE LA PROYECCIÓN DE PAGOS CONTINGENTES</w:t>
      </w:r>
    </w:p>
    <w:p w:rsidR="007E60D0" w:rsidRDefault="007E60D0">
      <w:pPr>
        <w:tabs>
          <w:tab w:val="left" w:pos="2160"/>
        </w:tabs>
        <w:jc w:val="center"/>
        <w:rPr>
          <w:b/>
          <w:szCs w:val="24"/>
          <w:lang w:val="es-ES_tradnl"/>
        </w:rPr>
      </w:pPr>
    </w:p>
    <w:tbl>
      <w:tblPr>
        <w:tblW w:w="0" w:type="auto"/>
        <w:tblInd w:w="70" w:type="dxa"/>
        <w:tblLayout w:type="fixed"/>
        <w:tblCellMar>
          <w:left w:w="70" w:type="dxa"/>
          <w:right w:w="70" w:type="dxa"/>
        </w:tblCellMar>
        <w:tblLook w:val="0000"/>
      </w:tblPr>
      <w:tblGrid>
        <w:gridCol w:w="2160"/>
        <w:gridCol w:w="2340"/>
        <w:gridCol w:w="2350"/>
      </w:tblGrid>
      <w:tr w:rsidR="007E60D0">
        <w:trPr>
          <w:trHeight w:val="315"/>
        </w:trPr>
        <w:tc>
          <w:tcPr>
            <w:tcW w:w="2160" w:type="dxa"/>
            <w:tcBorders>
              <w:top w:val="single" w:sz="4" w:space="0" w:color="000000"/>
              <w:left w:val="single" w:sz="4" w:space="0" w:color="000000"/>
              <w:bottom w:val="single" w:sz="4" w:space="0" w:color="000000"/>
            </w:tcBorders>
            <w:shd w:val="clear" w:color="auto" w:fill="auto"/>
            <w:vAlign w:val="bottom"/>
          </w:tcPr>
          <w:p w:rsidR="007E60D0" w:rsidRDefault="007E60D0">
            <w:pPr>
              <w:snapToGrid w:val="0"/>
              <w:jc w:val="center"/>
              <w:rPr>
                <w:b/>
                <w:bCs/>
                <w:sz w:val="22"/>
                <w:szCs w:val="24"/>
              </w:rPr>
            </w:pPr>
            <w:r>
              <w:rPr>
                <w:b/>
                <w:bCs/>
                <w:sz w:val="22"/>
                <w:szCs w:val="24"/>
              </w:rPr>
              <w:t>VIGENCIAS</w:t>
            </w:r>
          </w:p>
        </w:tc>
        <w:tc>
          <w:tcPr>
            <w:tcW w:w="2340" w:type="dxa"/>
            <w:tcBorders>
              <w:top w:val="single" w:sz="4" w:space="0" w:color="000000"/>
              <w:left w:val="single" w:sz="4" w:space="0" w:color="000000"/>
              <w:bottom w:val="single" w:sz="4" w:space="0" w:color="000000"/>
            </w:tcBorders>
            <w:shd w:val="clear" w:color="auto" w:fill="auto"/>
            <w:vAlign w:val="bottom"/>
          </w:tcPr>
          <w:p w:rsidR="007E60D0" w:rsidRDefault="007E60D0">
            <w:pPr>
              <w:snapToGrid w:val="0"/>
              <w:jc w:val="center"/>
              <w:rPr>
                <w:b/>
                <w:bCs/>
                <w:sz w:val="22"/>
                <w:szCs w:val="24"/>
              </w:rPr>
            </w:pPr>
            <w:r>
              <w:rPr>
                <w:b/>
                <w:bCs/>
                <w:sz w:val="22"/>
                <w:szCs w:val="24"/>
              </w:rPr>
              <w:t>PAGOS EXIGIBLES</w:t>
            </w:r>
          </w:p>
        </w:tc>
        <w:tc>
          <w:tcPr>
            <w:tcW w:w="2350"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center"/>
              <w:rPr>
                <w:b/>
                <w:bCs/>
                <w:sz w:val="22"/>
                <w:szCs w:val="24"/>
              </w:rPr>
            </w:pPr>
            <w:r>
              <w:rPr>
                <w:b/>
                <w:bCs/>
                <w:sz w:val="22"/>
                <w:szCs w:val="24"/>
              </w:rPr>
              <w:t>PASIVOS PROBABLES</w:t>
            </w:r>
          </w:p>
        </w:tc>
      </w:tr>
      <w:tr w:rsidR="007E60D0">
        <w:trPr>
          <w:trHeight w:val="300"/>
        </w:trPr>
        <w:tc>
          <w:tcPr>
            <w:tcW w:w="2160" w:type="dxa"/>
            <w:tcBorders>
              <w:left w:val="single" w:sz="4" w:space="0" w:color="000000"/>
              <w:bottom w:val="single" w:sz="4" w:space="0" w:color="000000"/>
            </w:tcBorders>
            <w:shd w:val="clear" w:color="auto" w:fill="auto"/>
            <w:vAlign w:val="bottom"/>
          </w:tcPr>
          <w:p w:rsidR="007E60D0" w:rsidRDefault="007E60D0">
            <w:pPr>
              <w:snapToGrid w:val="0"/>
              <w:jc w:val="center"/>
              <w:rPr>
                <w:sz w:val="22"/>
                <w:szCs w:val="24"/>
              </w:rPr>
            </w:pPr>
            <w:r>
              <w:rPr>
                <w:sz w:val="22"/>
                <w:szCs w:val="24"/>
              </w:rPr>
              <w:t>2010</w:t>
            </w:r>
          </w:p>
        </w:tc>
        <w:tc>
          <w:tcPr>
            <w:tcW w:w="2340" w:type="dxa"/>
            <w:tcBorders>
              <w:left w:val="single" w:sz="4" w:space="0" w:color="000000"/>
              <w:bottom w:val="single" w:sz="4" w:space="0" w:color="000000"/>
            </w:tcBorders>
            <w:shd w:val="clear" w:color="auto" w:fill="auto"/>
          </w:tcPr>
          <w:p w:rsidR="007E60D0" w:rsidRDefault="007E60D0">
            <w:pPr>
              <w:snapToGrid w:val="0"/>
              <w:jc w:val="center"/>
              <w:rPr>
                <w:sz w:val="22"/>
                <w:szCs w:val="24"/>
              </w:rPr>
            </w:pPr>
            <w:r>
              <w:rPr>
                <w:sz w:val="22"/>
                <w:szCs w:val="24"/>
              </w:rPr>
              <w:t>1.100</w:t>
            </w:r>
          </w:p>
        </w:tc>
        <w:tc>
          <w:tcPr>
            <w:tcW w:w="2350" w:type="dxa"/>
            <w:tcBorders>
              <w:left w:val="single" w:sz="4" w:space="0" w:color="000000"/>
              <w:bottom w:val="single" w:sz="4" w:space="0" w:color="000000"/>
              <w:right w:val="single" w:sz="4" w:space="0" w:color="000000"/>
            </w:tcBorders>
            <w:shd w:val="clear" w:color="auto" w:fill="auto"/>
          </w:tcPr>
          <w:p w:rsidR="007E60D0" w:rsidRDefault="007E60D0">
            <w:pPr>
              <w:snapToGrid w:val="0"/>
              <w:jc w:val="center"/>
              <w:rPr>
                <w:sz w:val="22"/>
                <w:szCs w:val="24"/>
              </w:rPr>
            </w:pPr>
            <w:r>
              <w:rPr>
                <w:sz w:val="22"/>
                <w:szCs w:val="24"/>
              </w:rPr>
              <w:t>550</w:t>
            </w:r>
          </w:p>
        </w:tc>
      </w:tr>
      <w:tr w:rsidR="007E60D0">
        <w:trPr>
          <w:trHeight w:val="300"/>
        </w:trPr>
        <w:tc>
          <w:tcPr>
            <w:tcW w:w="2160" w:type="dxa"/>
            <w:tcBorders>
              <w:left w:val="single" w:sz="4" w:space="0" w:color="000000"/>
              <w:bottom w:val="single" w:sz="4" w:space="0" w:color="000000"/>
            </w:tcBorders>
            <w:shd w:val="clear" w:color="auto" w:fill="auto"/>
            <w:vAlign w:val="bottom"/>
          </w:tcPr>
          <w:p w:rsidR="007E60D0" w:rsidRDefault="007E60D0">
            <w:pPr>
              <w:snapToGrid w:val="0"/>
              <w:jc w:val="center"/>
              <w:rPr>
                <w:sz w:val="22"/>
                <w:szCs w:val="24"/>
              </w:rPr>
            </w:pPr>
            <w:r>
              <w:rPr>
                <w:sz w:val="22"/>
                <w:szCs w:val="24"/>
              </w:rPr>
              <w:t>2011</w:t>
            </w:r>
          </w:p>
        </w:tc>
        <w:tc>
          <w:tcPr>
            <w:tcW w:w="2340" w:type="dxa"/>
            <w:tcBorders>
              <w:left w:val="single" w:sz="4" w:space="0" w:color="000000"/>
              <w:bottom w:val="single" w:sz="4" w:space="0" w:color="000000"/>
            </w:tcBorders>
            <w:shd w:val="clear" w:color="auto" w:fill="auto"/>
          </w:tcPr>
          <w:p w:rsidR="007E60D0" w:rsidRDefault="007E60D0">
            <w:pPr>
              <w:snapToGrid w:val="0"/>
              <w:jc w:val="center"/>
              <w:rPr>
                <w:sz w:val="22"/>
                <w:szCs w:val="24"/>
              </w:rPr>
            </w:pPr>
            <w:r>
              <w:rPr>
                <w:sz w:val="22"/>
                <w:szCs w:val="24"/>
              </w:rPr>
              <w:t>1.100</w:t>
            </w:r>
          </w:p>
        </w:tc>
        <w:tc>
          <w:tcPr>
            <w:tcW w:w="2350" w:type="dxa"/>
            <w:tcBorders>
              <w:left w:val="single" w:sz="4" w:space="0" w:color="000000"/>
              <w:bottom w:val="single" w:sz="4" w:space="0" w:color="000000"/>
              <w:right w:val="single" w:sz="4" w:space="0" w:color="000000"/>
            </w:tcBorders>
            <w:shd w:val="clear" w:color="auto" w:fill="auto"/>
          </w:tcPr>
          <w:p w:rsidR="007E60D0" w:rsidRDefault="007E60D0">
            <w:pPr>
              <w:snapToGrid w:val="0"/>
              <w:jc w:val="center"/>
              <w:rPr>
                <w:sz w:val="22"/>
                <w:szCs w:val="24"/>
              </w:rPr>
            </w:pPr>
            <w:r>
              <w:rPr>
                <w:sz w:val="22"/>
                <w:szCs w:val="24"/>
              </w:rPr>
              <w:t>550</w:t>
            </w:r>
          </w:p>
        </w:tc>
      </w:tr>
      <w:tr w:rsidR="007E60D0">
        <w:trPr>
          <w:trHeight w:val="300"/>
        </w:trPr>
        <w:tc>
          <w:tcPr>
            <w:tcW w:w="2160" w:type="dxa"/>
            <w:tcBorders>
              <w:top w:val="single" w:sz="4" w:space="0" w:color="000000"/>
              <w:left w:val="single" w:sz="4" w:space="0" w:color="000000"/>
              <w:bottom w:val="single" w:sz="4" w:space="0" w:color="000000"/>
            </w:tcBorders>
            <w:shd w:val="clear" w:color="auto" w:fill="auto"/>
            <w:vAlign w:val="bottom"/>
          </w:tcPr>
          <w:p w:rsidR="007E60D0" w:rsidRDefault="007E60D0">
            <w:pPr>
              <w:snapToGrid w:val="0"/>
              <w:jc w:val="center"/>
              <w:rPr>
                <w:sz w:val="22"/>
                <w:szCs w:val="24"/>
              </w:rPr>
            </w:pPr>
            <w:r>
              <w:rPr>
                <w:sz w:val="22"/>
                <w:szCs w:val="24"/>
              </w:rPr>
              <w:t>2012</w:t>
            </w:r>
          </w:p>
        </w:tc>
        <w:tc>
          <w:tcPr>
            <w:tcW w:w="2340"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sz w:val="22"/>
                <w:szCs w:val="24"/>
              </w:rPr>
            </w:pPr>
            <w:r>
              <w:rPr>
                <w:sz w:val="22"/>
                <w:szCs w:val="24"/>
              </w:rPr>
              <w:t>1.100</w:t>
            </w:r>
          </w:p>
        </w:tc>
        <w:tc>
          <w:tcPr>
            <w:tcW w:w="2350"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center"/>
              <w:rPr>
                <w:sz w:val="22"/>
                <w:szCs w:val="24"/>
              </w:rPr>
            </w:pPr>
            <w:r>
              <w:rPr>
                <w:sz w:val="22"/>
                <w:szCs w:val="24"/>
              </w:rPr>
              <w:t>550</w:t>
            </w:r>
          </w:p>
        </w:tc>
      </w:tr>
      <w:tr w:rsidR="007E60D0">
        <w:trPr>
          <w:trHeight w:val="300"/>
        </w:trPr>
        <w:tc>
          <w:tcPr>
            <w:tcW w:w="2160" w:type="dxa"/>
            <w:tcBorders>
              <w:top w:val="single" w:sz="4" w:space="0" w:color="000000"/>
              <w:left w:val="single" w:sz="4" w:space="0" w:color="000000"/>
              <w:bottom w:val="single" w:sz="4" w:space="0" w:color="000000"/>
            </w:tcBorders>
            <w:shd w:val="clear" w:color="auto" w:fill="auto"/>
            <w:vAlign w:val="bottom"/>
          </w:tcPr>
          <w:p w:rsidR="007E60D0" w:rsidRDefault="007E60D0">
            <w:pPr>
              <w:snapToGrid w:val="0"/>
              <w:jc w:val="center"/>
              <w:rPr>
                <w:sz w:val="22"/>
                <w:szCs w:val="24"/>
              </w:rPr>
            </w:pPr>
            <w:r>
              <w:rPr>
                <w:sz w:val="22"/>
                <w:szCs w:val="24"/>
              </w:rPr>
              <w:t>2013</w:t>
            </w:r>
          </w:p>
        </w:tc>
        <w:tc>
          <w:tcPr>
            <w:tcW w:w="2340"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sz w:val="22"/>
                <w:szCs w:val="24"/>
              </w:rPr>
            </w:pPr>
            <w:r>
              <w:rPr>
                <w:sz w:val="22"/>
                <w:szCs w:val="24"/>
              </w:rPr>
              <w:t>1.100</w:t>
            </w:r>
          </w:p>
        </w:tc>
        <w:tc>
          <w:tcPr>
            <w:tcW w:w="2350"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center"/>
              <w:rPr>
                <w:sz w:val="22"/>
                <w:szCs w:val="24"/>
              </w:rPr>
            </w:pPr>
            <w:r>
              <w:rPr>
                <w:sz w:val="22"/>
                <w:szCs w:val="24"/>
              </w:rPr>
              <w:t>550</w:t>
            </w:r>
          </w:p>
        </w:tc>
      </w:tr>
      <w:tr w:rsidR="007E60D0">
        <w:trPr>
          <w:trHeight w:val="300"/>
        </w:trPr>
        <w:tc>
          <w:tcPr>
            <w:tcW w:w="2160" w:type="dxa"/>
            <w:tcBorders>
              <w:top w:val="single" w:sz="4" w:space="0" w:color="000000"/>
              <w:left w:val="single" w:sz="4" w:space="0" w:color="000000"/>
              <w:bottom w:val="single" w:sz="4" w:space="0" w:color="000000"/>
            </w:tcBorders>
            <w:shd w:val="clear" w:color="auto" w:fill="auto"/>
            <w:vAlign w:val="bottom"/>
          </w:tcPr>
          <w:p w:rsidR="007E60D0" w:rsidRDefault="007E60D0">
            <w:pPr>
              <w:snapToGrid w:val="0"/>
              <w:jc w:val="center"/>
              <w:rPr>
                <w:sz w:val="22"/>
                <w:szCs w:val="24"/>
              </w:rPr>
            </w:pPr>
            <w:r>
              <w:rPr>
                <w:sz w:val="22"/>
                <w:szCs w:val="24"/>
              </w:rPr>
              <w:t>2014</w:t>
            </w:r>
          </w:p>
        </w:tc>
        <w:tc>
          <w:tcPr>
            <w:tcW w:w="2340"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sz w:val="22"/>
                <w:szCs w:val="24"/>
              </w:rPr>
            </w:pPr>
            <w:r>
              <w:rPr>
                <w:sz w:val="22"/>
                <w:szCs w:val="24"/>
              </w:rPr>
              <w:t>1.100</w:t>
            </w:r>
          </w:p>
        </w:tc>
        <w:tc>
          <w:tcPr>
            <w:tcW w:w="2350"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center"/>
              <w:rPr>
                <w:sz w:val="22"/>
                <w:szCs w:val="24"/>
              </w:rPr>
            </w:pPr>
            <w:r>
              <w:rPr>
                <w:sz w:val="22"/>
                <w:szCs w:val="24"/>
              </w:rPr>
              <w:t>550</w:t>
            </w:r>
          </w:p>
        </w:tc>
      </w:tr>
      <w:tr w:rsidR="007E60D0">
        <w:trPr>
          <w:trHeight w:val="300"/>
        </w:trPr>
        <w:tc>
          <w:tcPr>
            <w:tcW w:w="2160" w:type="dxa"/>
            <w:tcBorders>
              <w:top w:val="single" w:sz="4" w:space="0" w:color="000000"/>
              <w:left w:val="single" w:sz="4" w:space="0" w:color="000000"/>
              <w:bottom w:val="single" w:sz="4" w:space="0" w:color="000000"/>
            </w:tcBorders>
            <w:shd w:val="clear" w:color="auto" w:fill="auto"/>
            <w:vAlign w:val="bottom"/>
          </w:tcPr>
          <w:p w:rsidR="007E60D0" w:rsidRDefault="007E60D0">
            <w:pPr>
              <w:snapToGrid w:val="0"/>
              <w:jc w:val="center"/>
              <w:rPr>
                <w:sz w:val="22"/>
                <w:szCs w:val="24"/>
              </w:rPr>
            </w:pPr>
            <w:r>
              <w:rPr>
                <w:sz w:val="22"/>
                <w:szCs w:val="24"/>
              </w:rPr>
              <w:t>2015</w:t>
            </w:r>
          </w:p>
        </w:tc>
        <w:tc>
          <w:tcPr>
            <w:tcW w:w="2340"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sz w:val="22"/>
                <w:szCs w:val="24"/>
              </w:rPr>
            </w:pPr>
            <w:r>
              <w:rPr>
                <w:sz w:val="22"/>
                <w:szCs w:val="24"/>
              </w:rPr>
              <w:t>1.100</w:t>
            </w:r>
          </w:p>
        </w:tc>
        <w:tc>
          <w:tcPr>
            <w:tcW w:w="2350"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center"/>
              <w:rPr>
                <w:sz w:val="22"/>
                <w:szCs w:val="24"/>
              </w:rPr>
            </w:pPr>
            <w:r>
              <w:rPr>
                <w:sz w:val="22"/>
                <w:szCs w:val="24"/>
              </w:rPr>
              <w:t>550</w:t>
            </w:r>
          </w:p>
        </w:tc>
      </w:tr>
      <w:tr w:rsidR="007E60D0">
        <w:trPr>
          <w:trHeight w:val="300"/>
        </w:trPr>
        <w:tc>
          <w:tcPr>
            <w:tcW w:w="2160" w:type="dxa"/>
            <w:tcBorders>
              <w:top w:val="single" w:sz="4" w:space="0" w:color="000000"/>
              <w:left w:val="single" w:sz="4" w:space="0" w:color="000000"/>
              <w:bottom w:val="single" w:sz="4" w:space="0" w:color="000000"/>
            </w:tcBorders>
            <w:shd w:val="clear" w:color="auto" w:fill="auto"/>
            <w:vAlign w:val="bottom"/>
          </w:tcPr>
          <w:p w:rsidR="007E60D0" w:rsidRDefault="007E60D0">
            <w:pPr>
              <w:snapToGrid w:val="0"/>
              <w:jc w:val="center"/>
              <w:rPr>
                <w:sz w:val="22"/>
                <w:szCs w:val="24"/>
              </w:rPr>
            </w:pPr>
            <w:r>
              <w:rPr>
                <w:sz w:val="22"/>
                <w:szCs w:val="24"/>
              </w:rPr>
              <w:t>2016</w:t>
            </w:r>
          </w:p>
        </w:tc>
        <w:tc>
          <w:tcPr>
            <w:tcW w:w="2340" w:type="dxa"/>
            <w:tcBorders>
              <w:top w:val="single" w:sz="4" w:space="0" w:color="000000"/>
              <w:left w:val="single" w:sz="4" w:space="0" w:color="000000"/>
              <w:bottom w:val="single" w:sz="4" w:space="0" w:color="000000"/>
            </w:tcBorders>
            <w:shd w:val="clear" w:color="auto" w:fill="auto"/>
          </w:tcPr>
          <w:p w:rsidR="007E60D0" w:rsidRDefault="007E60D0">
            <w:pPr>
              <w:snapToGrid w:val="0"/>
              <w:jc w:val="center"/>
              <w:rPr>
                <w:sz w:val="22"/>
                <w:szCs w:val="24"/>
              </w:rPr>
            </w:pPr>
            <w:r>
              <w:rPr>
                <w:sz w:val="22"/>
                <w:szCs w:val="24"/>
              </w:rPr>
              <w:t>1.100</w:t>
            </w:r>
          </w:p>
        </w:tc>
        <w:tc>
          <w:tcPr>
            <w:tcW w:w="2350" w:type="dxa"/>
            <w:tcBorders>
              <w:top w:val="single" w:sz="4" w:space="0" w:color="000000"/>
              <w:left w:val="single" w:sz="4" w:space="0" w:color="000000"/>
              <w:bottom w:val="single" w:sz="4" w:space="0" w:color="000000"/>
              <w:right w:val="single" w:sz="4" w:space="0" w:color="000000"/>
            </w:tcBorders>
            <w:shd w:val="clear" w:color="auto" w:fill="auto"/>
          </w:tcPr>
          <w:p w:rsidR="007E60D0" w:rsidRDefault="007E60D0">
            <w:pPr>
              <w:snapToGrid w:val="0"/>
              <w:jc w:val="center"/>
              <w:rPr>
                <w:sz w:val="22"/>
                <w:szCs w:val="24"/>
              </w:rPr>
            </w:pPr>
            <w:r>
              <w:rPr>
                <w:sz w:val="22"/>
                <w:szCs w:val="24"/>
              </w:rPr>
              <w:t>550</w:t>
            </w:r>
          </w:p>
        </w:tc>
      </w:tr>
    </w:tbl>
    <w:p w:rsidR="007E60D0" w:rsidRDefault="007E60D0">
      <w:pPr>
        <w:pStyle w:val="Prrafodelista"/>
        <w:tabs>
          <w:tab w:val="left" w:pos="2160"/>
        </w:tabs>
        <w:ind w:left="360"/>
        <w:jc w:val="center"/>
        <w:rPr>
          <w:rFonts w:ascii="Times New Roman" w:hAnsi="Times New Roman" w:cs="Times New Roman"/>
          <w:sz w:val="24"/>
          <w:szCs w:val="24"/>
          <w:lang w:val="es-ES_tradnl"/>
        </w:rPr>
      </w:pPr>
    </w:p>
    <w:p w:rsidR="007E60D0" w:rsidRDefault="007E60D0">
      <w:pPr>
        <w:pStyle w:val="xl35"/>
        <w:tabs>
          <w:tab w:val="left" w:pos="2160"/>
        </w:tabs>
        <w:spacing w:before="0" w:after="0"/>
        <w:rPr>
          <w:rFonts w:ascii="Times New Roman" w:hAnsi="Times New Roman" w:cs="Times New Roman"/>
          <w:bCs w:val="0"/>
        </w:rPr>
      </w:pPr>
    </w:p>
    <w:p w:rsidR="007E60D0" w:rsidRDefault="007E60D0">
      <w:pPr>
        <w:pStyle w:val="xl35"/>
        <w:tabs>
          <w:tab w:val="left" w:pos="2160"/>
        </w:tabs>
        <w:spacing w:before="0" w:after="0"/>
        <w:rPr>
          <w:rFonts w:ascii="Times New Roman" w:hAnsi="Times New Roman" w:cs="Times New Roman"/>
          <w:bCs w:val="0"/>
        </w:rPr>
      </w:pPr>
      <w:r>
        <w:rPr>
          <w:rFonts w:ascii="Times New Roman" w:hAnsi="Times New Roman" w:cs="Times New Roman"/>
          <w:bCs w:val="0"/>
        </w:rPr>
        <w:t>5. RESULTADOS FISCALES  VIGENCIA ANTERIOR</w:t>
      </w:r>
    </w:p>
    <w:p w:rsidR="007E60D0" w:rsidRDefault="007E60D0">
      <w:pPr>
        <w:tabs>
          <w:tab w:val="left" w:pos="2160"/>
        </w:tabs>
        <w:jc w:val="both"/>
        <w:rPr>
          <w:b/>
          <w:szCs w:val="24"/>
        </w:rPr>
      </w:pPr>
    </w:p>
    <w:p w:rsidR="007E60D0" w:rsidRDefault="007E60D0">
      <w:pPr>
        <w:tabs>
          <w:tab w:val="left" w:pos="2160"/>
        </w:tabs>
        <w:jc w:val="both"/>
        <w:rPr>
          <w:szCs w:val="24"/>
        </w:rPr>
      </w:pPr>
      <w:r>
        <w:rPr>
          <w:szCs w:val="24"/>
        </w:rPr>
        <w:t>A continuación se mostrará un análisis del superávit o déficit presupuestal durante las tres últimas vigencias.</w:t>
      </w:r>
    </w:p>
    <w:p w:rsidR="007E60D0" w:rsidRDefault="007E60D0">
      <w:pPr>
        <w:tabs>
          <w:tab w:val="left" w:pos="2160"/>
        </w:tabs>
        <w:jc w:val="both"/>
        <w:rPr>
          <w:b/>
          <w:szCs w:val="24"/>
        </w:rPr>
      </w:pPr>
    </w:p>
    <w:p w:rsidR="007E60D0" w:rsidRDefault="007E60D0">
      <w:pPr>
        <w:tabs>
          <w:tab w:val="left" w:pos="2160"/>
        </w:tabs>
        <w:jc w:val="both"/>
        <w:rPr>
          <w:b/>
          <w:szCs w:val="24"/>
        </w:rPr>
      </w:pPr>
    </w:p>
    <w:p w:rsidR="007E60D0" w:rsidRDefault="007E60D0">
      <w:pPr>
        <w:tabs>
          <w:tab w:val="left" w:pos="2160"/>
        </w:tabs>
        <w:jc w:val="both"/>
        <w:rPr>
          <w:b/>
          <w:szCs w:val="24"/>
        </w:rPr>
      </w:pPr>
      <w:r>
        <w:rPr>
          <w:b/>
          <w:szCs w:val="24"/>
        </w:rPr>
        <w:t>5.1 SUPERÁVIT O DEFICIT PRESUPUESTAL</w:t>
      </w:r>
    </w:p>
    <w:p w:rsidR="007E60D0" w:rsidRDefault="007E60D0">
      <w:pPr>
        <w:tabs>
          <w:tab w:val="left" w:pos="2160"/>
        </w:tabs>
        <w:jc w:val="both"/>
        <w:rPr>
          <w:szCs w:val="24"/>
        </w:rPr>
      </w:pPr>
    </w:p>
    <w:p w:rsidR="007E60D0" w:rsidRDefault="007E60D0">
      <w:pPr>
        <w:tabs>
          <w:tab w:val="left" w:pos="2160"/>
        </w:tabs>
        <w:jc w:val="both"/>
        <w:rPr>
          <w:szCs w:val="24"/>
        </w:rPr>
      </w:pPr>
      <w:r>
        <w:rPr>
          <w:szCs w:val="24"/>
        </w:rPr>
        <w:t>Al observar el siguiente cuadro se puede apreciar que el Municipio presentó déficit presupuestal en el 2008, un superávit presupuestal en  2009 y se proyecta así para 2010.</w:t>
      </w:r>
    </w:p>
    <w:p w:rsidR="007E60D0" w:rsidRDefault="007E60D0">
      <w:pPr>
        <w:tabs>
          <w:tab w:val="left" w:pos="2160"/>
        </w:tabs>
        <w:jc w:val="both"/>
        <w:rPr>
          <w:szCs w:val="24"/>
        </w:rPr>
      </w:pPr>
    </w:p>
    <w:p w:rsidR="007E60D0" w:rsidRDefault="007E60D0">
      <w:pPr>
        <w:tabs>
          <w:tab w:val="left" w:pos="2160"/>
        </w:tabs>
        <w:jc w:val="both"/>
        <w:rPr>
          <w:szCs w:val="24"/>
        </w:rPr>
      </w:pPr>
    </w:p>
    <w:p w:rsidR="007E60D0" w:rsidRDefault="007E60D0">
      <w:pPr>
        <w:tabs>
          <w:tab w:val="left" w:pos="2160"/>
        </w:tabs>
        <w:jc w:val="both"/>
        <w:rPr>
          <w:szCs w:val="24"/>
        </w:rPr>
      </w:pPr>
    </w:p>
    <w:tbl>
      <w:tblPr>
        <w:tblW w:w="0" w:type="auto"/>
        <w:tblInd w:w="70" w:type="dxa"/>
        <w:tblLayout w:type="fixed"/>
        <w:tblCellMar>
          <w:left w:w="70" w:type="dxa"/>
          <w:right w:w="70" w:type="dxa"/>
        </w:tblCellMar>
        <w:tblLook w:val="0000"/>
      </w:tblPr>
      <w:tblGrid>
        <w:gridCol w:w="1865"/>
        <w:gridCol w:w="1072"/>
        <w:gridCol w:w="1067"/>
        <w:gridCol w:w="1350"/>
        <w:gridCol w:w="20"/>
      </w:tblGrid>
      <w:tr w:rsidR="007E60D0">
        <w:trPr>
          <w:gridAfter w:val="1"/>
          <w:wAfter w:w="20" w:type="dxa"/>
          <w:trHeight w:val="330"/>
        </w:trPr>
        <w:tc>
          <w:tcPr>
            <w:tcW w:w="5354" w:type="dxa"/>
            <w:gridSpan w:val="4"/>
            <w:shd w:val="clear" w:color="auto" w:fill="auto"/>
            <w:vAlign w:val="center"/>
          </w:tcPr>
          <w:p w:rsidR="007E60D0" w:rsidRDefault="007E60D0">
            <w:pPr>
              <w:snapToGrid w:val="0"/>
              <w:jc w:val="center"/>
              <w:rPr>
                <w:b/>
                <w:bCs/>
                <w:color w:val="000000"/>
                <w:sz w:val="22"/>
                <w:szCs w:val="22"/>
              </w:rPr>
            </w:pPr>
            <w:r>
              <w:rPr>
                <w:b/>
                <w:bCs/>
                <w:color w:val="000000"/>
                <w:sz w:val="22"/>
                <w:szCs w:val="22"/>
              </w:rPr>
              <w:t>CUADRO No. 16</w:t>
            </w:r>
          </w:p>
        </w:tc>
      </w:tr>
      <w:tr w:rsidR="007E60D0">
        <w:trPr>
          <w:gridAfter w:val="1"/>
          <w:wAfter w:w="20" w:type="dxa"/>
          <w:trHeight w:val="315"/>
        </w:trPr>
        <w:tc>
          <w:tcPr>
            <w:tcW w:w="5354" w:type="dxa"/>
            <w:gridSpan w:val="4"/>
            <w:shd w:val="clear" w:color="auto" w:fill="auto"/>
            <w:vAlign w:val="center"/>
          </w:tcPr>
          <w:p w:rsidR="007E60D0" w:rsidRDefault="007E60D0">
            <w:pPr>
              <w:snapToGrid w:val="0"/>
              <w:jc w:val="center"/>
              <w:rPr>
                <w:b/>
                <w:bCs/>
                <w:color w:val="000000"/>
                <w:sz w:val="22"/>
                <w:szCs w:val="22"/>
              </w:rPr>
            </w:pPr>
            <w:r>
              <w:rPr>
                <w:b/>
                <w:bCs/>
                <w:color w:val="000000"/>
                <w:sz w:val="22"/>
                <w:szCs w:val="22"/>
              </w:rPr>
              <w:t>SUPERÁVIT O DEFICIT PRESUPUESTAL</w:t>
            </w:r>
          </w:p>
        </w:tc>
      </w:tr>
      <w:tr w:rsidR="007E60D0">
        <w:trPr>
          <w:gridAfter w:val="1"/>
          <w:wAfter w:w="20" w:type="dxa"/>
          <w:trHeight w:val="270"/>
        </w:trPr>
        <w:tc>
          <w:tcPr>
            <w:tcW w:w="5354" w:type="dxa"/>
            <w:gridSpan w:val="4"/>
            <w:tcBorders>
              <w:bottom w:val="single" w:sz="8" w:space="0" w:color="000000"/>
            </w:tcBorders>
            <w:shd w:val="clear" w:color="auto" w:fill="auto"/>
            <w:vAlign w:val="center"/>
          </w:tcPr>
          <w:p w:rsidR="007E60D0" w:rsidRDefault="007E60D0">
            <w:pPr>
              <w:snapToGrid w:val="0"/>
              <w:jc w:val="center"/>
              <w:rPr>
                <w:b/>
                <w:bCs/>
                <w:color w:val="000000"/>
                <w:sz w:val="22"/>
                <w:szCs w:val="22"/>
              </w:rPr>
            </w:pPr>
          </w:p>
        </w:tc>
      </w:tr>
      <w:tr w:rsidR="007E60D0">
        <w:trPr>
          <w:trHeight w:val="270"/>
        </w:trPr>
        <w:tc>
          <w:tcPr>
            <w:tcW w:w="1865" w:type="dxa"/>
            <w:tcBorders>
              <w:left w:val="single" w:sz="8" w:space="0" w:color="000000"/>
              <w:bottom w:val="single" w:sz="8" w:space="0" w:color="000000"/>
            </w:tcBorders>
            <w:shd w:val="clear" w:color="auto" w:fill="auto"/>
            <w:vAlign w:val="center"/>
          </w:tcPr>
          <w:p w:rsidR="007E60D0" w:rsidRDefault="007E60D0">
            <w:pPr>
              <w:snapToGrid w:val="0"/>
              <w:jc w:val="center"/>
              <w:rPr>
                <w:b/>
                <w:bCs/>
                <w:color w:val="000000"/>
                <w:sz w:val="22"/>
                <w:szCs w:val="22"/>
              </w:rPr>
            </w:pPr>
          </w:p>
        </w:tc>
        <w:tc>
          <w:tcPr>
            <w:tcW w:w="1072" w:type="dxa"/>
            <w:tcBorders>
              <w:left w:val="single" w:sz="8" w:space="0" w:color="000000"/>
              <w:bottom w:val="single" w:sz="8"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2008</w:t>
            </w:r>
          </w:p>
        </w:tc>
        <w:tc>
          <w:tcPr>
            <w:tcW w:w="1067" w:type="dxa"/>
            <w:tcBorders>
              <w:left w:val="single" w:sz="8" w:space="0" w:color="000000"/>
              <w:bottom w:val="single" w:sz="8"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2009</w:t>
            </w:r>
          </w:p>
        </w:tc>
        <w:tc>
          <w:tcPr>
            <w:tcW w:w="1370" w:type="dxa"/>
            <w:gridSpan w:val="2"/>
            <w:tcBorders>
              <w:left w:val="single" w:sz="8" w:space="0" w:color="000000"/>
              <w:bottom w:val="single" w:sz="8" w:space="0" w:color="000000"/>
              <w:right w:val="single" w:sz="8"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2010</w:t>
            </w:r>
          </w:p>
        </w:tc>
      </w:tr>
      <w:tr w:rsidR="007E60D0">
        <w:trPr>
          <w:trHeight w:val="270"/>
        </w:trPr>
        <w:tc>
          <w:tcPr>
            <w:tcW w:w="1865" w:type="dxa"/>
            <w:tcBorders>
              <w:left w:val="single" w:sz="8" w:space="0" w:color="000000"/>
              <w:bottom w:val="single" w:sz="8"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TOTAL RECAUDADO</w:t>
            </w:r>
          </w:p>
        </w:tc>
        <w:tc>
          <w:tcPr>
            <w:tcW w:w="1072" w:type="dxa"/>
            <w:tcBorders>
              <w:top w:val="single" w:sz="4" w:space="0" w:color="000000"/>
              <w:left w:val="single" w:sz="8" w:space="0" w:color="000000"/>
              <w:bottom w:val="single" w:sz="4" w:space="0" w:color="000000"/>
            </w:tcBorders>
            <w:shd w:val="clear" w:color="auto" w:fill="auto"/>
            <w:vAlign w:val="center"/>
          </w:tcPr>
          <w:p w:rsidR="007E60D0" w:rsidRDefault="007E60D0">
            <w:pPr>
              <w:snapToGrid w:val="0"/>
              <w:jc w:val="center"/>
              <w:rPr>
                <w:sz w:val="22"/>
                <w:szCs w:val="22"/>
              </w:rPr>
            </w:pPr>
            <w:r>
              <w:rPr>
                <w:sz w:val="22"/>
                <w:szCs w:val="22"/>
              </w:rPr>
              <w:t>33.965</w:t>
            </w:r>
          </w:p>
        </w:tc>
        <w:tc>
          <w:tcPr>
            <w:tcW w:w="1067" w:type="dxa"/>
            <w:tcBorders>
              <w:top w:val="single" w:sz="4" w:space="0" w:color="000000"/>
              <w:left w:val="single" w:sz="4" w:space="0" w:color="000000"/>
              <w:bottom w:val="single" w:sz="4" w:space="0" w:color="000000"/>
            </w:tcBorders>
            <w:shd w:val="clear" w:color="auto" w:fill="auto"/>
            <w:vAlign w:val="center"/>
          </w:tcPr>
          <w:p w:rsidR="007E60D0" w:rsidRDefault="007E60D0">
            <w:pPr>
              <w:snapToGrid w:val="0"/>
              <w:jc w:val="center"/>
              <w:rPr>
                <w:sz w:val="22"/>
                <w:szCs w:val="22"/>
              </w:rPr>
            </w:pPr>
            <w:r>
              <w:rPr>
                <w:sz w:val="22"/>
                <w:szCs w:val="22"/>
              </w:rPr>
              <w:t>28.103</w:t>
            </w:r>
          </w:p>
        </w:tc>
        <w:tc>
          <w:tcPr>
            <w:tcW w:w="1370" w:type="dxa"/>
            <w:gridSpan w:val="2"/>
            <w:tcBorders>
              <w:top w:val="single" w:sz="4" w:space="0" w:color="000000"/>
              <w:left w:val="single" w:sz="4" w:space="0" w:color="000000"/>
              <w:bottom w:val="single" w:sz="4" w:space="0" w:color="000000"/>
              <w:right w:val="single" w:sz="8" w:space="0" w:color="000000"/>
            </w:tcBorders>
            <w:shd w:val="clear" w:color="auto" w:fill="auto"/>
            <w:vAlign w:val="center"/>
          </w:tcPr>
          <w:p w:rsidR="007E60D0" w:rsidRDefault="007E60D0">
            <w:pPr>
              <w:snapToGrid w:val="0"/>
              <w:jc w:val="center"/>
              <w:rPr>
                <w:sz w:val="22"/>
                <w:szCs w:val="22"/>
              </w:rPr>
            </w:pPr>
            <w:r>
              <w:rPr>
                <w:sz w:val="22"/>
                <w:szCs w:val="22"/>
              </w:rPr>
              <w:t>31.839</w:t>
            </w:r>
          </w:p>
        </w:tc>
      </w:tr>
      <w:tr w:rsidR="007E60D0">
        <w:trPr>
          <w:trHeight w:val="270"/>
        </w:trPr>
        <w:tc>
          <w:tcPr>
            <w:tcW w:w="1865" w:type="dxa"/>
            <w:tcBorders>
              <w:left w:val="single" w:sz="8" w:space="0" w:color="000000"/>
              <w:bottom w:val="single" w:sz="8"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TOTAL COMPROMISOS</w:t>
            </w:r>
          </w:p>
        </w:tc>
        <w:tc>
          <w:tcPr>
            <w:tcW w:w="1072" w:type="dxa"/>
            <w:tcBorders>
              <w:left w:val="single" w:sz="8" w:space="0" w:color="000000"/>
              <w:bottom w:val="single" w:sz="4" w:space="0" w:color="000000"/>
            </w:tcBorders>
            <w:shd w:val="clear" w:color="auto" w:fill="auto"/>
            <w:vAlign w:val="center"/>
          </w:tcPr>
          <w:p w:rsidR="007E60D0" w:rsidRDefault="007E60D0">
            <w:pPr>
              <w:snapToGrid w:val="0"/>
              <w:jc w:val="center"/>
              <w:rPr>
                <w:sz w:val="22"/>
                <w:szCs w:val="22"/>
              </w:rPr>
            </w:pPr>
            <w:r>
              <w:rPr>
                <w:sz w:val="22"/>
                <w:szCs w:val="22"/>
              </w:rPr>
              <w:t>34.777</w:t>
            </w:r>
          </w:p>
        </w:tc>
        <w:tc>
          <w:tcPr>
            <w:tcW w:w="1067" w:type="dxa"/>
            <w:tcBorders>
              <w:left w:val="single" w:sz="4" w:space="0" w:color="000000"/>
              <w:bottom w:val="single" w:sz="4" w:space="0" w:color="000000"/>
            </w:tcBorders>
            <w:shd w:val="clear" w:color="auto" w:fill="auto"/>
            <w:vAlign w:val="center"/>
          </w:tcPr>
          <w:p w:rsidR="007E60D0" w:rsidRDefault="007E60D0">
            <w:pPr>
              <w:snapToGrid w:val="0"/>
              <w:jc w:val="center"/>
              <w:rPr>
                <w:sz w:val="22"/>
                <w:szCs w:val="22"/>
              </w:rPr>
            </w:pPr>
            <w:r>
              <w:rPr>
                <w:sz w:val="22"/>
                <w:szCs w:val="22"/>
              </w:rPr>
              <w:t>32.886</w:t>
            </w:r>
          </w:p>
        </w:tc>
        <w:tc>
          <w:tcPr>
            <w:tcW w:w="1370" w:type="dxa"/>
            <w:gridSpan w:val="2"/>
            <w:tcBorders>
              <w:left w:val="single" w:sz="4" w:space="0" w:color="000000"/>
              <w:bottom w:val="single" w:sz="4" w:space="0" w:color="000000"/>
              <w:right w:val="single" w:sz="8" w:space="0" w:color="000000"/>
            </w:tcBorders>
            <w:shd w:val="clear" w:color="auto" w:fill="auto"/>
            <w:vAlign w:val="center"/>
          </w:tcPr>
          <w:p w:rsidR="007E60D0" w:rsidRDefault="007E60D0">
            <w:pPr>
              <w:snapToGrid w:val="0"/>
              <w:jc w:val="center"/>
              <w:rPr>
                <w:sz w:val="22"/>
                <w:szCs w:val="22"/>
              </w:rPr>
            </w:pPr>
            <w:r>
              <w:rPr>
                <w:sz w:val="22"/>
                <w:szCs w:val="22"/>
              </w:rPr>
              <w:t>34.817</w:t>
            </w:r>
          </w:p>
        </w:tc>
      </w:tr>
      <w:tr w:rsidR="007E60D0">
        <w:trPr>
          <w:trHeight w:val="270"/>
        </w:trPr>
        <w:tc>
          <w:tcPr>
            <w:tcW w:w="1865" w:type="dxa"/>
            <w:tcBorders>
              <w:left w:val="single" w:sz="8" w:space="0" w:color="000000"/>
              <w:bottom w:val="single" w:sz="8" w:space="0" w:color="000000"/>
            </w:tcBorders>
            <w:shd w:val="clear" w:color="auto" w:fill="auto"/>
            <w:vAlign w:val="center"/>
          </w:tcPr>
          <w:p w:rsidR="007E60D0" w:rsidRDefault="007E60D0">
            <w:pPr>
              <w:snapToGrid w:val="0"/>
              <w:jc w:val="center"/>
              <w:rPr>
                <w:b/>
                <w:bCs/>
                <w:color w:val="000000"/>
                <w:sz w:val="22"/>
                <w:szCs w:val="22"/>
              </w:rPr>
            </w:pPr>
            <w:r>
              <w:rPr>
                <w:b/>
                <w:bCs/>
                <w:color w:val="000000"/>
                <w:sz w:val="22"/>
                <w:szCs w:val="22"/>
              </w:rPr>
              <w:t xml:space="preserve">SUPERAVIT O </w:t>
            </w:r>
            <w:r>
              <w:rPr>
                <w:b/>
                <w:bCs/>
                <w:color w:val="000000"/>
                <w:sz w:val="22"/>
                <w:szCs w:val="22"/>
              </w:rPr>
              <w:lastRenderedPageBreak/>
              <w:t>DEFICIT</w:t>
            </w:r>
          </w:p>
        </w:tc>
        <w:tc>
          <w:tcPr>
            <w:tcW w:w="1072" w:type="dxa"/>
            <w:tcBorders>
              <w:left w:val="single" w:sz="8" w:space="0" w:color="000000"/>
              <w:bottom w:val="single" w:sz="8" w:space="0" w:color="000000"/>
            </w:tcBorders>
            <w:shd w:val="clear" w:color="auto" w:fill="auto"/>
            <w:vAlign w:val="center"/>
          </w:tcPr>
          <w:p w:rsidR="007E60D0" w:rsidRDefault="007E60D0">
            <w:pPr>
              <w:snapToGrid w:val="0"/>
              <w:jc w:val="center"/>
              <w:rPr>
                <w:color w:val="000000"/>
                <w:sz w:val="22"/>
                <w:szCs w:val="22"/>
              </w:rPr>
            </w:pPr>
            <w:r>
              <w:rPr>
                <w:color w:val="000000"/>
                <w:sz w:val="22"/>
                <w:szCs w:val="22"/>
              </w:rPr>
              <w:lastRenderedPageBreak/>
              <w:t>-812</w:t>
            </w:r>
          </w:p>
        </w:tc>
        <w:tc>
          <w:tcPr>
            <w:tcW w:w="1067" w:type="dxa"/>
            <w:tcBorders>
              <w:left w:val="single" w:sz="8" w:space="0" w:color="000000"/>
              <w:bottom w:val="single" w:sz="8" w:space="0" w:color="000000"/>
            </w:tcBorders>
            <w:shd w:val="clear" w:color="auto" w:fill="auto"/>
            <w:vAlign w:val="center"/>
          </w:tcPr>
          <w:p w:rsidR="007E60D0" w:rsidRDefault="007E60D0">
            <w:pPr>
              <w:snapToGrid w:val="0"/>
              <w:jc w:val="center"/>
              <w:rPr>
                <w:color w:val="000000"/>
                <w:sz w:val="22"/>
                <w:szCs w:val="22"/>
              </w:rPr>
            </w:pPr>
            <w:r>
              <w:rPr>
                <w:color w:val="000000"/>
                <w:sz w:val="22"/>
                <w:szCs w:val="22"/>
              </w:rPr>
              <w:t>-4.783</w:t>
            </w:r>
          </w:p>
        </w:tc>
        <w:tc>
          <w:tcPr>
            <w:tcW w:w="1370" w:type="dxa"/>
            <w:gridSpan w:val="2"/>
            <w:tcBorders>
              <w:left w:val="single" w:sz="8" w:space="0" w:color="000000"/>
              <w:bottom w:val="single" w:sz="8" w:space="0" w:color="000000"/>
              <w:right w:val="single" w:sz="8" w:space="0" w:color="000000"/>
            </w:tcBorders>
            <w:shd w:val="clear" w:color="auto" w:fill="auto"/>
            <w:vAlign w:val="center"/>
          </w:tcPr>
          <w:p w:rsidR="007E60D0" w:rsidRDefault="007E60D0">
            <w:pPr>
              <w:snapToGrid w:val="0"/>
              <w:jc w:val="center"/>
              <w:rPr>
                <w:color w:val="000000"/>
                <w:sz w:val="22"/>
                <w:szCs w:val="22"/>
              </w:rPr>
            </w:pPr>
            <w:r>
              <w:rPr>
                <w:color w:val="000000"/>
                <w:sz w:val="22"/>
                <w:szCs w:val="22"/>
              </w:rPr>
              <w:t>-2.977</w:t>
            </w:r>
          </w:p>
        </w:tc>
      </w:tr>
    </w:tbl>
    <w:p w:rsidR="007E60D0" w:rsidRDefault="007E60D0">
      <w:pPr>
        <w:tabs>
          <w:tab w:val="left" w:pos="2160"/>
        </w:tabs>
        <w:jc w:val="both"/>
        <w:rPr>
          <w:szCs w:val="24"/>
        </w:rPr>
      </w:pPr>
    </w:p>
    <w:p w:rsidR="007E60D0" w:rsidRDefault="007E60D0">
      <w:pPr>
        <w:tabs>
          <w:tab w:val="left" w:pos="2160"/>
        </w:tabs>
        <w:jc w:val="center"/>
        <w:rPr>
          <w:b/>
          <w:szCs w:val="24"/>
        </w:rPr>
      </w:pPr>
      <w:r>
        <w:rPr>
          <w:b/>
          <w:szCs w:val="24"/>
        </w:rPr>
        <w:t>Gráfica No. 10</w:t>
      </w:r>
    </w:p>
    <w:p w:rsidR="007E60D0" w:rsidRDefault="007E60D0">
      <w:pPr>
        <w:tabs>
          <w:tab w:val="left" w:pos="2160"/>
        </w:tabs>
        <w:jc w:val="center"/>
        <w:rPr>
          <w:b/>
          <w:szCs w:val="24"/>
        </w:rPr>
      </w:pPr>
      <w:r>
        <w:rPr>
          <w:b/>
          <w:szCs w:val="24"/>
        </w:rPr>
        <w:t>Superávit o Déficit Presupuestal</w:t>
      </w:r>
    </w:p>
    <w:p w:rsidR="007E60D0" w:rsidRDefault="007E60D0">
      <w:pPr>
        <w:tabs>
          <w:tab w:val="left" w:pos="2160"/>
        </w:tabs>
        <w:jc w:val="center"/>
        <w:rPr>
          <w:b/>
          <w:szCs w:val="24"/>
          <w:lang w:val="es-CO"/>
        </w:rPr>
      </w:pPr>
    </w:p>
    <w:p w:rsidR="007E60D0" w:rsidRDefault="00944E93">
      <w:pPr>
        <w:tabs>
          <w:tab w:val="left" w:pos="2160"/>
        </w:tabs>
        <w:jc w:val="center"/>
        <w:rPr>
          <w:b/>
          <w:szCs w:val="24"/>
          <w:lang w:val="es-CO"/>
        </w:rPr>
      </w:pPr>
      <w:r>
        <w:rPr>
          <w:b/>
          <w:noProof/>
          <w:szCs w:val="24"/>
          <w:lang w:val="es-CO" w:eastAsia="es-CO"/>
        </w:rPr>
        <w:drawing>
          <wp:inline distT="0" distB="0" distL="0" distR="0">
            <wp:extent cx="4781550" cy="2743200"/>
            <wp:effectExtent l="1905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a:srcRect b="-116"/>
                    <a:stretch>
                      <a:fillRect/>
                    </a:stretch>
                  </pic:blipFill>
                  <pic:spPr bwMode="auto">
                    <a:xfrm>
                      <a:off x="0" y="0"/>
                      <a:ext cx="4781550" cy="2743200"/>
                    </a:xfrm>
                    <a:prstGeom prst="rect">
                      <a:avLst/>
                    </a:prstGeom>
                    <a:solidFill>
                      <a:srgbClr val="FFFFFF"/>
                    </a:solidFill>
                    <a:ln w="9525">
                      <a:noFill/>
                      <a:miter lim="800000"/>
                      <a:headEnd/>
                      <a:tailEnd/>
                    </a:ln>
                  </pic:spPr>
                </pic:pic>
              </a:graphicData>
            </a:graphic>
          </wp:inline>
        </w:drawing>
      </w:r>
    </w:p>
    <w:p w:rsidR="007E60D0" w:rsidRDefault="007E60D0">
      <w:pPr>
        <w:tabs>
          <w:tab w:val="left" w:pos="2160"/>
        </w:tabs>
        <w:jc w:val="center"/>
        <w:rPr>
          <w:b/>
          <w:szCs w:val="24"/>
          <w:lang w:val="es-CO"/>
        </w:rPr>
      </w:pPr>
    </w:p>
    <w:p w:rsidR="007E60D0" w:rsidRDefault="007E60D0">
      <w:pPr>
        <w:tabs>
          <w:tab w:val="left" w:pos="2160"/>
        </w:tabs>
        <w:jc w:val="center"/>
        <w:rPr>
          <w:b/>
          <w:szCs w:val="24"/>
          <w:lang w:val="es-CO"/>
        </w:rPr>
      </w:pPr>
    </w:p>
    <w:p w:rsidR="007E60D0" w:rsidRDefault="007E60D0">
      <w:pPr>
        <w:tabs>
          <w:tab w:val="left" w:pos="2160"/>
        </w:tabs>
        <w:rPr>
          <w:b/>
          <w:szCs w:val="24"/>
        </w:rPr>
      </w:pPr>
      <w:r>
        <w:rPr>
          <w:b/>
          <w:szCs w:val="24"/>
        </w:rPr>
        <w:t>5.2 CAPACIDAD DE ENDEUDAMIENTO</w:t>
      </w:r>
    </w:p>
    <w:p w:rsidR="007E60D0" w:rsidRDefault="007E60D0">
      <w:pPr>
        <w:tabs>
          <w:tab w:val="left" w:pos="2160"/>
        </w:tabs>
        <w:jc w:val="both"/>
        <w:rPr>
          <w:b/>
          <w:szCs w:val="24"/>
        </w:rPr>
      </w:pPr>
    </w:p>
    <w:p w:rsidR="007E60D0" w:rsidRDefault="007E60D0">
      <w:pPr>
        <w:tabs>
          <w:tab w:val="left" w:pos="2160"/>
        </w:tabs>
        <w:jc w:val="both"/>
        <w:rPr>
          <w:szCs w:val="24"/>
        </w:rPr>
      </w:pPr>
      <w:r>
        <w:rPr>
          <w:szCs w:val="24"/>
        </w:rPr>
        <w:t>De igual manera para las vigencias anteriores 2008 y la actual 2009, el municipio se encuentra dentro de los topes establecidos por la Ley 358 de 1997, y de esta manera cumpliendo con la citada ley.</w:t>
      </w:r>
    </w:p>
    <w:p w:rsidR="007E60D0" w:rsidRDefault="007E60D0">
      <w:pPr>
        <w:tabs>
          <w:tab w:val="left" w:pos="2160"/>
        </w:tabs>
        <w:jc w:val="both"/>
        <w:rPr>
          <w:szCs w:val="24"/>
        </w:rPr>
      </w:pPr>
    </w:p>
    <w:tbl>
      <w:tblPr>
        <w:tblW w:w="0" w:type="auto"/>
        <w:tblInd w:w="-5" w:type="dxa"/>
        <w:tblLayout w:type="fixed"/>
        <w:tblCellMar>
          <w:left w:w="70" w:type="dxa"/>
          <w:right w:w="70" w:type="dxa"/>
        </w:tblCellMar>
        <w:tblLook w:val="0000"/>
      </w:tblPr>
      <w:tblGrid>
        <w:gridCol w:w="5045"/>
        <w:gridCol w:w="1620"/>
        <w:gridCol w:w="2170"/>
      </w:tblGrid>
      <w:tr w:rsidR="007E60D0">
        <w:trPr>
          <w:trHeight w:val="315"/>
        </w:trPr>
        <w:tc>
          <w:tcPr>
            <w:tcW w:w="5045" w:type="dxa"/>
            <w:tcBorders>
              <w:top w:val="single" w:sz="4" w:space="0" w:color="000000"/>
              <w:left w:val="single" w:sz="4" w:space="0" w:color="000000"/>
              <w:bottom w:val="single" w:sz="4" w:space="0" w:color="000000"/>
            </w:tcBorders>
            <w:shd w:val="clear" w:color="auto" w:fill="auto"/>
            <w:vAlign w:val="bottom"/>
          </w:tcPr>
          <w:p w:rsidR="007E60D0" w:rsidRDefault="007E60D0">
            <w:pPr>
              <w:snapToGrid w:val="0"/>
              <w:jc w:val="center"/>
              <w:rPr>
                <w:b/>
                <w:bCs/>
                <w:sz w:val="22"/>
                <w:szCs w:val="24"/>
              </w:rPr>
            </w:pPr>
            <w:r>
              <w:rPr>
                <w:b/>
                <w:bCs/>
                <w:sz w:val="22"/>
                <w:szCs w:val="24"/>
              </w:rPr>
              <w:t>INDICADOR</w:t>
            </w:r>
          </w:p>
        </w:tc>
        <w:tc>
          <w:tcPr>
            <w:tcW w:w="1620" w:type="dxa"/>
            <w:tcBorders>
              <w:top w:val="single" w:sz="4" w:space="0" w:color="000000"/>
              <w:left w:val="single" w:sz="4" w:space="0" w:color="000000"/>
              <w:bottom w:val="single" w:sz="4" w:space="0" w:color="000000"/>
            </w:tcBorders>
            <w:shd w:val="clear" w:color="auto" w:fill="auto"/>
            <w:vAlign w:val="bottom"/>
          </w:tcPr>
          <w:p w:rsidR="007E60D0" w:rsidRDefault="007E60D0">
            <w:pPr>
              <w:snapToGrid w:val="0"/>
              <w:jc w:val="center"/>
              <w:rPr>
                <w:b/>
                <w:bCs/>
                <w:sz w:val="22"/>
                <w:szCs w:val="24"/>
              </w:rPr>
            </w:pPr>
            <w:r>
              <w:rPr>
                <w:b/>
                <w:bCs/>
                <w:sz w:val="22"/>
                <w:szCs w:val="24"/>
              </w:rPr>
              <w:t>TOPES</w:t>
            </w:r>
          </w:p>
        </w:tc>
        <w:tc>
          <w:tcPr>
            <w:tcW w:w="2170" w:type="dxa"/>
            <w:tcBorders>
              <w:top w:val="single" w:sz="4" w:space="0" w:color="000000"/>
              <w:left w:val="single" w:sz="4" w:space="0" w:color="000000"/>
              <w:bottom w:val="single" w:sz="4" w:space="0" w:color="000000"/>
              <w:right w:val="single" w:sz="4" w:space="0" w:color="000000"/>
            </w:tcBorders>
            <w:shd w:val="clear" w:color="auto" w:fill="auto"/>
            <w:vAlign w:val="bottom"/>
          </w:tcPr>
          <w:p w:rsidR="007E60D0" w:rsidRDefault="007E60D0">
            <w:pPr>
              <w:snapToGrid w:val="0"/>
              <w:jc w:val="center"/>
              <w:rPr>
                <w:b/>
                <w:bCs/>
                <w:sz w:val="22"/>
                <w:szCs w:val="24"/>
              </w:rPr>
            </w:pPr>
            <w:r>
              <w:rPr>
                <w:b/>
                <w:bCs/>
                <w:sz w:val="22"/>
                <w:szCs w:val="24"/>
              </w:rPr>
              <w:t>SEMAFORO</w:t>
            </w:r>
          </w:p>
        </w:tc>
      </w:tr>
      <w:tr w:rsidR="007E60D0">
        <w:trPr>
          <w:trHeight w:val="300"/>
        </w:trPr>
        <w:tc>
          <w:tcPr>
            <w:tcW w:w="5045" w:type="dxa"/>
            <w:tcBorders>
              <w:left w:val="single" w:sz="4" w:space="0" w:color="000000"/>
              <w:bottom w:val="single" w:sz="4" w:space="0" w:color="000000"/>
            </w:tcBorders>
            <w:shd w:val="clear" w:color="auto" w:fill="auto"/>
            <w:vAlign w:val="bottom"/>
          </w:tcPr>
          <w:p w:rsidR="007E60D0" w:rsidRDefault="007E60D0">
            <w:pPr>
              <w:snapToGrid w:val="0"/>
              <w:rPr>
                <w:sz w:val="22"/>
                <w:szCs w:val="24"/>
              </w:rPr>
            </w:pPr>
            <w:r>
              <w:rPr>
                <w:sz w:val="22"/>
                <w:szCs w:val="24"/>
              </w:rPr>
              <w:t>INTERESES DEUDA/ AHORRO OPERACIONAL</w:t>
            </w:r>
          </w:p>
        </w:tc>
        <w:tc>
          <w:tcPr>
            <w:tcW w:w="1620" w:type="dxa"/>
            <w:tcBorders>
              <w:left w:val="single" w:sz="4" w:space="0" w:color="000000"/>
              <w:bottom w:val="single" w:sz="4" w:space="0" w:color="000000"/>
            </w:tcBorders>
            <w:shd w:val="clear" w:color="auto" w:fill="auto"/>
            <w:vAlign w:val="bottom"/>
          </w:tcPr>
          <w:p w:rsidR="007E60D0" w:rsidRDefault="007E60D0">
            <w:pPr>
              <w:snapToGrid w:val="0"/>
              <w:jc w:val="center"/>
              <w:rPr>
                <w:sz w:val="22"/>
                <w:szCs w:val="24"/>
              </w:rPr>
            </w:pPr>
            <w:r>
              <w:rPr>
                <w:sz w:val="22"/>
                <w:szCs w:val="24"/>
              </w:rPr>
              <w:t>&lt;40%</w:t>
            </w:r>
          </w:p>
        </w:tc>
        <w:tc>
          <w:tcPr>
            <w:tcW w:w="2170" w:type="dxa"/>
            <w:tcBorders>
              <w:left w:val="single" w:sz="4" w:space="0" w:color="000000"/>
              <w:bottom w:val="single" w:sz="4" w:space="0" w:color="000000"/>
              <w:right w:val="single" w:sz="4" w:space="0" w:color="000000"/>
            </w:tcBorders>
            <w:shd w:val="clear" w:color="auto" w:fill="auto"/>
            <w:vAlign w:val="bottom"/>
          </w:tcPr>
          <w:p w:rsidR="007E60D0" w:rsidRDefault="007E60D0">
            <w:pPr>
              <w:snapToGrid w:val="0"/>
              <w:jc w:val="center"/>
              <w:rPr>
                <w:sz w:val="22"/>
                <w:szCs w:val="24"/>
              </w:rPr>
            </w:pPr>
            <w:r>
              <w:rPr>
                <w:sz w:val="22"/>
                <w:szCs w:val="24"/>
              </w:rPr>
              <w:t>Verde</w:t>
            </w:r>
          </w:p>
        </w:tc>
      </w:tr>
      <w:tr w:rsidR="007E60D0">
        <w:trPr>
          <w:trHeight w:val="300"/>
        </w:trPr>
        <w:tc>
          <w:tcPr>
            <w:tcW w:w="5045" w:type="dxa"/>
            <w:tcBorders>
              <w:left w:val="single" w:sz="4" w:space="0" w:color="000000"/>
              <w:bottom w:val="single" w:sz="4" w:space="0" w:color="000000"/>
            </w:tcBorders>
            <w:shd w:val="clear" w:color="auto" w:fill="auto"/>
            <w:vAlign w:val="bottom"/>
          </w:tcPr>
          <w:p w:rsidR="007E60D0" w:rsidRDefault="007E60D0">
            <w:pPr>
              <w:snapToGrid w:val="0"/>
              <w:rPr>
                <w:sz w:val="22"/>
                <w:szCs w:val="24"/>
              </w:rPr>
            </w:pPr>
            <w:r>
              <w:rPr>
                <w:sz w:val="22"/>
                <w:szCs w:val="24"/>
              </w:rPr>
              <w:t>SALDO DEUDA / INGRESOS CORRIENTES</w:t>
            </w:r>
          </w:p>
        </w:tc>
        <w:tc>
          <w:tcPr>
            <w:tcW w:w="1620" w:type="dxa"/>
            <w:tcBorders>
              <w:left w:val="single" w:sz="4" w:space="0" w:color="000000"/>
              <w:bottom w:val="single" w:sz="4" w:space="0" w:color="000000"/>
            </w:tcBorders>
            <w:shd w:val="clear" w:color="auto" w:fill="auto"/>
            <w:vAlign w:val="bottom"/>
          </w:tcPr>
          <w:p w:rsidR="007E60D0" w:rsidRDefault="007E60D0">
            <w:pPr>
              <w:snapToGrid w:val="0"/>
              <w:jc w:val="center"/>
              <w:rPr>
                <w:sz w:val="22"/>
                <w:szCs w:val="24"/>
              </w:rPr>
            </w:pPr>
            <w:r>
              <w:rPr>
                <w:sz w:val="22"/>
                <w:szCs w:val="24"/>
              </w:rPr>
              <w:t>&lt;80%</w:t>
            </w:r>
          </w:p>
        </w:tc>
        <w:tc>
          <w:tcPr>
            <w:tcW w:w="2170" w:type="dxa"/>
            <w:tcBorders>
              <w:left w:val="single" w:sz="4" w:space="0" w:color="000000"/>
              <w:bottom w:val="single" w:sz="4" w:space="0" w:color="000000"/>
              <w:right w:val="single" w:sz="4" w:space="0" w:color="000000"/>
            </w:tcBorders>
            <w:shd w:val="clear" w:color="auto" w:fill="auto"/>
            <w:vAlign w:val="bottom"/>
          </w:tcPr>
          <w:p w:rsidR="007E60D0" w:rsidRDefault="007E60D0">
            <w:pPr>
              <w:snapToGrid w:val="0"/>
              <w:jc w:val="center"/>
              <w:rPr>
                <w:sz w:val="22"/>
                <w:szCs w:val="24"/>
              </w:rPr>
            </w:pPr>
            <w:r>
              <w:rPr>
                <w:sz w:val="22"/>
                <w:szCs w:val="24"/>
              </w:rPr>
              <w:t>Verde</w:t>
            </w:r>
          </w:p>
        </w:tc>
      </w:tr>
    </w:tbl>
    <w:p w:rsidR="007E60D0" w:rsidRDefault="007E60D0">
      <w:pPr>
        <w:tabs>
          <w:tab w:val="left" w:pos="2160"/>
        </w:tabs>
        <w:rPr>
          <w:b/>
          <w:szCs w:val="24"/>
        </w:rPr>
      </w:pPr>
    </w:p>
    <w:p w:rsidR="007E60D0" w:rsidRDefault="007E60D0">
      <w:pPr>
        <w:tabs>
          <w:tab w:val="left" w:pos="2160"/>
        </w:tabs>
        <w:rPr>
          <w:b/>
          <w:szCs w:val="24"/>
        </w:rPr>
      </w:pPr>
    </w:p>
    <w:p w:rsidR="007E60D0" w:rsidRDefault="007E60D0">
      <w:pPr>
        <w:tabs>
          <w:tab w:val="left" w:pos="2160"/>
        </w:tabs>
        <w:rPr>
          <w:b/>
          <w:szCs w:val="24"/>
        </w:rPr>
      </w:pPr>
    </w:p>
    <w:p w:rsidR="007E60D0" w:rsidRDefault="007E60D0">
      <w:pPr>
        <w:tabs>
          <w:tab w:val="left" w:pos="2160"/>
        </w:tabs>
        <w:rPr>
          <w:b/>
          <w:szCs w:val="24"/>
        </w:rPr>
      </w:pPr>
      <w:r>
        <w:rPr>
          <w:b/>
          <w:szCs w:val="24"/>
        </w:rPr>
        <w:t>5.3 INDICADORES DE LA LEY 617 DE 2000</w:t>
      </w:r>
    </w:p>
    <w:p w:rsidR="007E60D0" w:rsidRDefault="007E60D0">
      <w:pPr>
        <w:tabs>
          <w:tab w:val="left" w:pos="2160"/>
        </w:tabs>
        <w:jc w:val="both"/>
        <w:rPr>
          <w:b/>
          <w:szCs w:val="24"/>
        </w:rPr>
      </w:pPr>
    </w:p>
    <w:p w:rsidR="007E60D0" w:rsidRDefault="007E60D0">
      <w:pPr>
        <w:tabs>
          <w:tab w:val="left" w:pos="2160"/>
        </w:tabs>
        <w:jc w:val="both"/>
        <w:rPr>
          <w:szCs w:val="24"/>
        </w:rPr>
      </w:pPr>
      <w:r>
        <w:rPr>
          <w:szCs w:val="24"/>
        </w:rPr>
        <w:t>Al comparar los ingresos corrientes de libre destinación ICLD con los gastos de funcionamiento (Concejo, Personería y alcaldía), se puede apreciar para las vigencias 2008 al 2010, que el Municipio ha cumplido con los indicadores contemplados en la ley:</w:t>
      </w:r>
    </w:p>
    <w:p w:rsidR="007E60D0" w:rsidRDefault="007E60D0">
      <w:pPr>
        <w:tabs>
          <w:tab w:val="left" w:pos="2160"/>
        </w:tabs>
        <w:jc w:val="both"/>
        <w:rPr>
          <w:szCs w:val="24"/>
        </w:rPr>
      </w:pPr>
    </w:p>
    <w:p w:rsidR="007E60D0" w:rsidRDefault="007E60D0">
      <w:pPr>
        <w:tabs>
          <w:tab w:val="left" w:pos="2160"/>
        </w:tabs>
        <w:jc w:val="both"/>
        <w:rPr>
          <w:szCs w:val="24"/>
        </w:rPr>
      </w:pPr>
    </w:p>
    <w:p w:rsidR="007E60D0" w:rsidRDefault="007E60D0">
      <w:pPr>
        <w:tabs>
          <w:tab w:val="left" w:pos="2160"/>
        </w:tabs>
        <w:jc w:val="center"/>
        <w:rPr>
          <w:b/>
          <w:szCs w:val="24"/>
        </w:rPr>
      </w:pPr>
      <w:r>
        <w:rPr>
          <w:b/>
          <w:szCs w:val="24"/>
        </w:rPr>
        <w:t>CUADRO No. 17</w:t>
      </w:r>
    </w:p>
    <w:tbl>
      <w:tblPr>
        <w:tblW w:w="0" w:type="auto"/>
        <w:tblInd w:w="-10" w:type="dxa"/>
        <w:tblLayout w:type="fixed"/>
        <w:tblCellMar>
          <w:left w:w="70" w:type="dxa"/>
          <w:right w:w="70" w:type="dxa"/>
        </w:tblCellMar>
        <w:tblLook w:val="0000"/>
      </w:tblPr>
      <w:tblGrid>
        <w:gridCol w:w="5212"/>
        <w:gridCol w:w="1155"/>
        <w:gridCol w:w="1155"/>
        <w:gridCol w:w="1155"/>
        <w:gridCol w:w="10"/>
        <w:gridCol w:w="10"/>
      </w:tblGrid>
      <w:tr w:rsidR="007E60D0">
        <w:trPr>
          <w:gridAfter w:val="2"/>
          <w:wAfter w:w="20" w:type="dxa"/>
          <w:trHeight w:val="330"/>
        </w:trPr>
        <w:tc>
          <w:tcPr>
            <w:tcW w:w="8677" w:type="dxa"/>
            <w:gridSpan w:val="4"/>
            <w:tcBorders>
              <w:bottom w:val="single" w:sz="4" w:space="0" w:color="000000"/>
            </w:tcBorders>
            <w:shd w:val="clear" w:color="auto" w:fill="auto"/>
            <w:vAlign w:val="bottom"/>
          </w:tcPr>
          <w:p w:rsidR="007E60D0" w:rsidRDefault="007E60D0">
            <w:pPr>
              <w:snapToGrid w:val="0"/>
              <w:jc w:val="center"/>
              <w:rPr>
                <w:b/>
                <w:bCs/>
                <w:sz w:val="22"/>
                <w:szCs w:val="24"/>
              </w:rPr>
            </w:pPr>
            <w:r>
              <w:rPr>
                <w:b/>
                <w:bCs/>
                <w:sz w:val="22"/>
                <w:szCs w:val="24"/>
              </w:rPr>
              <w:lastRenderedPageBreak/>
              <w:t>INDICADORES DE LA LEY 617 DE 2000</w:t>
            </w:r>
          </w:p>
          <w:p w:rsidR="007E60D0" w:rsidRDefault="007E60D0">
            <w:pPr>
              <w:jc w:val="center"/>
              <w:rPr>
                <w:b/>
                <w:bCs/>
                <w:sz w:val="22"/>
                <w:szCs w:val="24"/>
              </w:rPr>
            </w:pPr>
          </w:p>
        </w:tc>
      </w:tr>
      <w:tr w:rsidR="007E60D0">
        <w:trPr>
          <w:gridAfter w:val="1"/>
          <w:wAfter w:w="10" w:type="dxa"/>
          <w:trHeight w:val="330"/>
        </w:trPr>
        <w:tc>
          <w:tcPr>
            <w:tcW w:w="5212" w:type="dxa"/>
            <w:tcBorders>
              <w:top w:val="single" w:sz="4" w:space="0" w:color="000000"/>
              <w:left w:val="single" w:sz="4" w:space="0" w:color="000000"/>
              <w:bottom w:val="single" w:sz="8" w:space="0" w:color="000000"/>
            </w:tcBorders>
            <w:shd w:val="clear" w:color="auto" w:fill="auto"/>
            <w:vAlign w:val="bottom"/>
          </w:tcPr>
          <w:p w:rsidR="007E60D0" w:rsidRDefault="007E60D0">
            <w:pPr>
              <w:snapToGrid w:val="0"/>
              <w:jc w:val="center"/>
              <w:rPr>
                <w:b/>
                <w:bCs/>
                <w:sz w:val="22"/>
                <w:szCs w:val="24"/>
              </w:rPr>
            </w:pPr>
            <w:r>
              <w:rPr>
                <w:b/>
                <w:bCs/>
                <w:sz w:val="22"/>
                <w:szCs w:val="24"/>
              </w:rPr>
              <w:t>INDICADOR</w:t>
            </w:r>
          </w:p>
        </w:tc>
        <w:tc>
          <w:tcPr>
            <w:tcW w:w="1155" w:type="dxa"/>
            <w:tcBorders>
              <w:top w:val="single" w:sz="4" w:space="0" w:color="000000"/>
              <w:left w:val="single" w:sz="8" w:space="0" w:color="000000"/>
              <w:bottom w:val="single" w:sz="8" w:space="0" w:color="000000"/>
            </w:tcBorders>
            <w:shd w:val="clear" w:color="auto" w:fill="auto"/>
            <w:vAlign w:val="bottom"/>
          </w:tcPr>
          <w:p w:rsidR="007E60D0" w:rsidRDefault="007E60D0">
            <w:pPr>
              <w:snapToGrid w:val="0"/>
              <w:jc w:val="center"/>
              <w:rPr>
                <w:b/>
                <w:bCs/>
                <w:sz w:val="22"/>
                <w:szCs w:val="24"/>
              </w:rPr>
            </w:pPr>
            <w:r>
              <w:rPr>
                <w:b/>
                <w:bCs/>
                <w:sz w:val="22"/>
                <w:szCs w:val="24"/>
              </w:rPr>
              <w:t>Año 2008</w:t>
            </w:r>
          </w:p>
        </w:tc>
        <w:tc>
          <w:tcPr>
            <w:tcW w:w="1155" w:type="dxa"/>
            <w:tcBorders>
              <w:top w:val="single" w:sz="4" w:space="0" w:color="000000"/>
              <w:left w:val="single" w:sz="8" w:space="0" w:color="000000"/>
              <w:bottom w:val="single" w:sz="8" w:space="0" w:color="000000"/>
            </w:tcBorders>
            <w:shd w:val="clear" w:color="auto" w:fill="auto"/>
            <w:vAlign w:val="bottom"/>
          </w:tcPr>
          <w:p w:rsidR="007E60D0" w:rsidRDefault="007E60D0">
            <w:pPr>
              <w:snapToGrid w:val="0"/>
              <w:jc w:val="center"/>
              <w:rPr>
                <w:b/>
                <w:bCs/>
                <w:sz w:val="22"/>
                <w:szCs w:val="24"/>
              </w:rPr>
            </w:pPr>
            <w:r>
              <w:rPr>
                <w:b/>
                <w:bCs/>
                <w:sz w:val="22"/>
                <w:szCs w:val="24"/>
              </w:rPr>
              <w:t>Año 2008</w:t>
            </w:r>
          </w:p>
        </w:tc>
        <w:tc>
          <w:tcPr>
            <w:tcW w:w="1165" w:type="dxa"/>
            <w:gridSpan w:val="2"/>
            <w:tcBorders>
              <w:top w:val="single" w:sz="4" w:space="0" w:color="000000"/>
              <w:left w:val="single" w:sz="8" w:space="0" w:color="000000"/>
              <w:bottom w:val="single" w:sz="8" w:space="0" w:color="000000"/>
              <w:right w:val="single" w:sz="4" w:space="0" w:color="000000"/>
            </w:tcBorders>
            <w:shd w:val="clear" w:color="auto" w:fill="auto"/>
            <w:vAlign w:val="bottom"/>
          </w:tcPr>
          <w:p w:rsidR="007E60D0" w:rsidRDefault="007E60D0">
            <w:pPr>
              <w:snapToGrid w:val="0"/>
              <w:jc w:val="center"/>
              <w:rPr>
                <w:b/>
                <w:bCs/>
                <w:sz w:val="22"/>
                <w:szCs w:val="24"/>
              </w:rPr>
            </w:pPr>
            <w:r>
              <w:rPr>
                <w:b/>
                <w:bCs/>
                <w:sz w:val="22"/>
                <w:szCs w:val="24"/>
              </w:rPr>
              <w:t>Año 2009</w:t>
            </w:r>
          </w:p>
        </w:tc>
      </w:tr>
      <w:tr w:rsidR="007E60D0">
        <w:trPr>
          <w:gridAfter w:val="1"/>
          <w:wAfter w:w="10" w:type="dxa"/>
          <w:trHeight w:val="330"/>
        </w:trPr>
        <w:tc>
          <w:tcPr>
            <w:tcW w:w="5212" w:type="dxa"/>
            <w:tcBorders>
              <w:top w:val="single" w:sz="8" w:space="0" w:color="000000"/>
              <w:left w:val="single" w:sz="4" w:space="0" w:color="000000"/>
              <w:bottom w:val="single" w:sz="4" w:space="0" w:color="000000"/>
            </w:tcBorders>
            <w:shd w:val="clear" w:color="auto" w:fill="auto"/>
            <w:vAlign w:val="bottom"/>
          </w:tcPr>
          <w:p w:rsidR="007E60D0" w:rsidRDefault="007E60D0">
            <w:pPr>
              <w:snapToGrid w:val="0"/>
              <w:rPr>
                <w:b/>
                <w:bCs/>
                <w:sz w:val="22"/>
                <w:szCs w:val="24"/>
              </w:rPr>
            </w:pPr>
            <w:r>
              <w:rPr>
                <w:b/>
                <w:bCs/>
                <w:sz w:val="22"/>
                <w:szCs w:val="24"/>
              </w:rPr>
              <w:t>GASTOS DE FUNCIONAMIENTO / I.C.L.D</w:t>
            </w:r>
          </w:p>
        </w:tc>
        <w:tc>
          <w:tcPr>
            <w:tcW w:w="1155" w:type="dxa"/>
            <w:tcBorders>
              <w:top w:val="single" w:sz="8" w:space="0" w:color="000000"/>
              <w:left w:val="single" w:sz="8" w:space="0" w:color="000000"/>
              <w:bottom w:val="single" w:sz="4" w:space="0" w:color="000000"/>
            </w:tcBorders>
            <w:shd w:val="clear" w:color="auto" w:fill="auto"/>
            <w:vAlign w:val="center"/>
          </w:tcPr>
          <w:p w:rsidR="007E60D0" w:rsidRDefault="007E60D0">
            <w:pPr>
              <w:snapToGrid w:val="0"/>
              <w:jc w:val="center"/>
              <w:rPr>
                <w:b/>
                <w:bCs/>
                <w:sz w:val="22"/>
                <w:szCs w:val="22"/>
              </w:rPr>
            </w:pPr>
            <w:r>
              <w:rPr>
                <w:b/>
                <w:bCs/>
                <w:sz w:val="22"/>
                <w:szCs w:val="22"/>
              </w:rPr>
              <w:t>80%</w:t>
            </w:r>
          </w:p>
        </w:tc>
        <w:tc>
          <w:tcPr>
            <w:tcW w:w="1155" w:type="dxa"/>
            <w:tcBorders>
              <w:top w:val="single" w:sz="8" w:space="0" w:color="000000"/>
              <w:left w:val="single" w:sz="8" w:space="0" w:color="000000"/>
              <w:bottom w:val="single" w:sz="4" w:space="0" w:color="000000"/>
            </w:tcBorders>
            <w:shd w:val="clear" w:color="auto" w:fill="auto"/>
            <w:vAlign w:val="center"/>
          </w:tcPr>
          <w:p w:rsidR="007E60D0" w:rsidRDefault="007E60D0">
            <w:pPr>
              <w:snapToGrid w:val="0"/>
              <w:jc w:val="center"/>
              <w:rPr>
                <w:b/>
                <w:bCs/>
                <w:sz w:val="22"/>
                <w:szCs w:val="22"/>
              </w:rPr>
            </w:pPr>
            <w:r>
              <w:rPr>
                <w:b/>
                <w:bCs/>
                <w:sz w:val="22"/>
                <w:szCs w:val="22"/>
              </w:rPr>
              <w:t>80%</w:t>
            </w:r>
          </w:p>
        </w:tc>
        <w:tc>
          <w:tcPr>
            <w:tcW w:w="1165" w:type="dxa"/>
            <w:gridSpan w:val="2"/>
            <w:tcBorders>
              <w:top w:val="single" w:sz="8" w:space="0" w:color="000000"/>
              <w:left w:val="single" w:sz="8" w:space="0" w:color="000000"/>
              <w:bottom w:val="single" w:sz="4" w:space="0" w:color="000000"/>
              <w:right w:val="single" w:sz="4" w:space="0" w:color="000000"/>
            </w:tcBorders>
            <w:shd w:val="clear" w:color="auto" w:fill="auto"/>
            <w:vAlign w:val="center"/>
          </w:tcPr>
          <w:p w:rsidR="007E60D0" w:rsidRDefault="007E60D0">
            <w:pPr>
              <w:snapToGrid w:val="0"/>
              <w:jc w:val="center"/>
              <w:rPr>
                <w:b/>
                <w:bCs/>
                <w:sz w:val="22"/>
                <w:szCs w:val="22"/>
              </w:rPr>
            </w:pPr>
            <w:r>
              <w:rPr>
                <w:b/>
                <w:bCs/>
                <w:sz w:val="22"/>
                <w:szCs w:val="22"/>
              </w:rPr>
              <w:t>80%</w:t>
            </w:r>
          </w:p>
        </w:tc>
      </w:tr>
      <w:tr w:rsidR="007E60D0">
        <w:trPr>
          <w:trHeight w:val="645"/>
        </w:trPr>
        <w:tc>
          <w:tcPr>
            <w:tcW w:w="5212" w:type="dxa"/>
            <w:tcBorders>
              <w:top w:val="single" w:sz="4" w:space="0" w:color="000000"/>
              <w:left w:val="single" w:sz="8" w:space="0" w:color="000000"/>
              <w:bottom w:val="single" w:sz="8" w:space="0" w:color="000000"/>
            </w:tcBorders>
            <w:shd w:val="clear" w:color="auto" w:fill="auto"/>
            <w:vAlign w:val="bottom"/>
          </w:tcPr>
          <w:p w:rsidR="007E60D0" w:rsidRDefault="007E60D0">
            <w:pPr>
              <w:snapToGrid w:val="0"/>
              <w:jc w:val="both"/>
              <w:rPr>
                <w:b/>
                <w:bCs/>
                <w:sz w:val="22"/>
                <w:szCs w:val="24"/>
              </w:rPr>
            </w:pPr>
            <w:r>
              <w:rPr>
                <w:b/>
                <w:bCs/>
                <w:sz w:val="22"/>
                <w:szCs w:val="24"/>
              </w:rPr>
              <w:t>GASTOS DE FUNCIONAMIENTO(Sin Transferencias) / I.C.L.D</w:t>
            </w:r>
          </w:p>
        </w:tc>
        <w:tc>
          <w:tcPr>
            <w:tcW w:w="1155" w:type="dxa"/>
            <w:tcBorders>
              <w:top w:val="single" w:sz="4" w:space="0" w:color="000000"/>
              <w:left w:val="single" w:sz="8" w:space="0" w:color="000000"/>
              <w:bottom w:val="single" w:sz="8" w:space="0" w:color="000000"/>
            </w:tcBorders>
            <w:shd w:val="clear" w:color="auto" w:fill="auto"/>
            <w:vAlign w:val="center"/>
          </w:tcPr>
          <w:p w:rsidR="007E60D0" w:rsidRDefault="007E60D0">
            <w:pPr>
              <w:snapToGrid w:val="0"/>
              <w:jc w:val="center"/>
              <w:rPr>
                <w:b/>
                <w:bCs/>
                <w:sz w:val="22"/>
                <w:szCs w:val="22"/>
              </w:rPr>
            </w:pPr>
            <w:r>
              <w:rPr>
                <w:b/>
                <w:bCs/>
                <w:sz w:val="22"/>
                <w:szCs w:val="22"/>
              </w:rPr>
              <w:t>43,23%</w:t>
            </w:r>
          </w:p>
        </w:tc>
        <w:tc>
          <w:tcPr>
            <w:tcW w:w="1155" w:type="dxa"/>
            <w:tcBorders>
              <w:top w:val="single" w:sz="4" w:space="0" w:color="000000"/>
              <w:left w:val="single" w:sz="8" w:space="0" w:color="000000"/>
              <w:bottom w:val="single" w:sz="8" w:space="0" w:color="000000"/>
            </w:tcBorders>
            <w:shd w:val="clear" w:color="auto" w:fill="auto"/>
            <w:vAlign w:val="center"/>
          </w:tcPr>
          <w:p w:rsidR="007E60D0" w:rsidRDefault="007E60D0">
            <w:pPr>
              <w:snapToGrid w:val="0"/>
              <w:jc w:val="center"/>
              <w:rPr>
                <w:b/>
                <w:bCs/>
                <w:sz w:val="22"/>
                <w:szCs w:val="22"/>
              </w:rPr>
            </w:pPr>
            <w:r>
              <w:rPr>
                <w:b/>
                <w:bCs/>
                <w:sz w:val="22"/>
                <w:szCs w:val="22"/>
              </w:rPr>
              <w:t>48,64%</w:t>
            </w:r>
          </w:p>
        </w:tc>
        <w:tc>
          <w:tcPr>
            <w:tcW w:w="1175" w:type="dxa"/>
            <w:gridSpan w:val="3"/>
            <w:tcBorders>
              <w:top w:val="single" w:sz="4" w:space="0" w:color="000000"/>
              <w:left w:val="single" w:sz="8" w:space="0" w:color="000000"/>
              <w:bottom w:val="single" w:sz="8" w:space="0" w:color="000000"/>
              <w:right w:val="single" w:sz="8" w:space="0" w:color="000000"/>
            </w:tcBorders>
            <w:shd w:val="clear" w:color="auto" w:fill="auto"/>
            <w:vAlign w:val="center"/>
          </w:tcPr>
          <w:p w:rsidR="007E60D0" w:rsidRDefault="007E60D0">
            <w:pPr>
              <w:snapToGrid w:val="0"/>
              <w:jc w:val="center"/>
              <w:rPr>
                <w:b/>
                <w:bCs/>
                <w:sz w:val="22"/>
                <w:szCs w:val="22"/>
              </w:rPr>
            </w:pPr>
            <w:r>
              <w:rPr>
                <w:b/>
                <w:bCs/>
                <w:sz w:val="22"/>
                <w:szCs w:val="22"/>
              </w:rPr>
              <w:t>52,38%</w:t>
            </w:r>
          </w:p>
        </w:tc>
      </w:tr>
    </w:tbl>
    <w:p w:rsidR="007E60D0" w:rsidRDefault="007E60D0">
      <w:pPr>
        <w:tabs>
          <w:tab w:val="left" w:pos="2160"/>
        </w:tabs>
        <w:jc w:val="center"/>
        <w:rPr>
          <w:b/>
          <w:szCs w:val="24"/>
        </w:rPr>
      </w:pPr>
    </w:p>
    <w:p w:rsidR="007E60D0" w:rsidRDefault="007E60D0">
      <w:pPr>
        <w:tabs>
          <w:tab w:val="left" w:pos="2160"/>
        </w:tabs>
        <w:jc w:val="center"/>
        <w:rPr>
          <w:b/>
          <w:szCs w:val="24"/>
        </w:rPr>
      </w:pPr>
    </w:p>
    <w:p w:rsidR="007E60D0" w:rsidRDefault="007E60D0">
      <w:pPr>
        <w:tabs>
          <w:tab w:val="left" w:pos="2160"/>
        </w:tabs>
        <w:jc w:val="center"/>
        <w:rPr>
          <w:b/>
          <w:szCs w:val="24"/>
        </w:rPr>
      </w:pPr>
    </w:p>
    <w:p w:rsidR="007E60D0" w:rsidRDefault="007E60D0">
      <w:pPr>
        <w:tabs>
          <w:tab w:val="left" w:pos="2160"/>
        </w:tabs>
        <w:jc w:val="center"/>
        <w:rPr>
          <w:b/>
          <w:szCs w:val="24"/>
        </w:rPr>
      </w:pPr>
    </w:p>
    <w:p w:rsidR="007E60D0" w:rsidRDefault="007E60D0">
      <w:pPr>
        <w:tabs>
          <w:tab w:val="left" w:pos="2160"/>
        </w:tabs>
        <w:jc w:val="center"/>
        <w:rPr>
          <w:b/>
          <w:szCs w:val="24"/>
        </w:rPr>
      </w:pPr>
    </w:p>
    <w:p w:rsidR="007E60D0" w:rsidRDefault="007E60D0">
      <w:pPr>
        <w:tabs>
          <w:tab w:val="left" w:pos="2160"/>
        </w:tabs>
        <w:jc w:val="center"/>
        <w:rPr>
          <w:b/>
          <w:szCs w:val="24"/>
        </w:rPr>
      </w:pPr>
    </w:p>
    <w:p w:rsidR="007E60D0" w:rsidRDefault="007E60D0">
      <w:pPr>
        <w:tabs>
          <w:tab w:val="left" w:pos="2160"/>
        </w:tabs>
        <w:jc w:val="center"/>
        <w:rPr>
          <w:b/>
          <w:szCs w:val="24"/>
        </w:rPr>
      </w:pPr>
    </w:p>
    <w:p w:rsidR="007E60D0" w:rsidRDefault="007E60D0">
      <w:pPr>
        <w:tabs>
          <w:tab w:val="left" w:pos="2160"/>
        </w:tabs>
        <w:jc w:val="center"/>
        <w:rPr>
          <w:b/>
          <w:szCs w:val="24"/>
        </w:rPr>
      </w:pPr>
    </w:p>
    <w:p w:rsidR="007E60D0" w:rsidRDefault="007E60D0">
      <w:pPr>
        <w:tabs>
          <w:tab w:val="left" w:pos="2160"/>
        </w:tabs>
        <w:jc w:val="center"/>
        <w:rPr>
          <w:b/>
          <w:szCs w:val="24"/>
        </w:rPr>
      </w:pPr>
    </w:p>
    <w:p w:rsidR="007E60D0" w:rsidRDefault="007E60D0">
      <w:pPr>
        <w:tabs>
          <w:tab w:val="left" w:pos="2160"/>
        </w:tabs>
        <w:jc w:val="center"/>
        <w:rPr>
          <w:b/>
          <w:szCs w:val="24"/>
        </w:rPr>
      </w:pPr>
    </w:p>
    <w:p w:rsidR="007E60D0" w:rsidRDefault="007E60D0">
      <w:pPr>
        <w:tabs>
          <w:tab w:val="left" w:pos="2160"/>
        </w:tabs>
        <w:jc w:val="center"/>
        <w:rPr>
          <w:b/>
          <w:szCs w:val="24"/>
        </w:rPr>
      </w:pPr>
    </w:p>
    <w:p w:rsidR="007E60D0" w:rsidRDefault="007E60D0">
      <w:pPr>
        <w:tabs>
          <w:tab w:val="left" w:pos="2160"/>
        </w:tabs>
        <w:jc w:val="center"/>
        <w:rPr>
          <w:b/>
          <w:szCs w:val="24"/>
        </w:rPr>
      </w:pPr>
    </w:p>
    <w:p w:rsidR="007E60D0" w:rsidRDefault="007E60D0">
      <w:pPr>
        <w:tabs>
          <w:tab w:val="left" w:pos="2160"/>
        </w:tabs>
        <w:jc w:val="center"/>
        <w:rPr>
          <w:b/>
          <w:szCs w:val="24"/>
        </w:rPr>
      </w:pPr>
    </w:p>
    <w:p w:rsidR="007E60D0" w:rsidRDefault="007E60D0">
      <w:pPr>
        <w:tabs>
          <w:tab w:val="left" w:pos="2160"/>
        </w:tabs>
        <w:jc w:val="center"/>
        <w:rPr>
          <w:b/>
          <w:szCs w:val="24"/>
        </w:rPr>
      </w:pPr>
    </w:p>
    <w:p w:rsidR="007E60D0" w:rsidRDefault="007E60D0">
      <w:pPr>
        <w:tabs>
          <w:tab w:val="left" w:pos="2160"/>
        </w:tabs>
        <w:jc w:val="center"/>
        <w:rPr>
          <w:b/>
          <w:szCs w:val="24"/>
        </w:rPr>
      </w:pPr>
    </w:p>
    <w:p w:rsidR="007E60D0" w:rsidRDefault="007E60D0">
      <w:pPr>
        <w:tabs>
          <w:tab w:val="left" w:pos="2160"/>
        </w:tabs>
        <w:jc w:val="center"/>
        <w:rPr>
          <w:b/>
          <w:szCs w:val="24"/>
        </w:rPr>
      </w:pPr>
    </w:p>
    <w:p w:rsidR="007E60D0" w:rsidRDefault="007E60D0">
      <w:pPr>
        <w:tabs>
          <w:tab w:val="left" w:pos="2160"/>
        </w:tabs>
        <w:jc w:val="center"/>
        <w:rPr>
          <w:b/>
          <w:szCs w:val="24"/>
        </w:rPr>
      </w:pPr>
    </w:p>
    <w:p w:rsidR="007E60D0" w:rsidRDefault="007E60D0">
      <w:pPr>
        <w:tabs>
          <w:tab w:val="left" w:pos="2160"/>
        </w:tabs>
        <w:jc w:val="center"/>
        <w:rPr>
          <w:b/>
          <w:szCs w:val="24"/>
        </w:rPr>
      </w:pPr>
    </w:p>
    <w:p w:rsidR="007E60D0" w:rsidRDefault="007E60D0">
      <w:pPr>
        <w:tabs>
          <w:tab w:val="left" w:pos="2160"/>
        </w:tabs>
        <w:jc w:val="center"/>
        <w:rPr>
          <w:b/>
          <w:szCs w:val="24"/>
        </w:rPr>
      </w:pPr>
    </w:p>
    <w:p w:rsidR="007E60D0" w:rsidRDefault="007E60D0">
      <w:pPr>
        <w:tabs>
          <w:tab w:val="left" w:pos="2160"/>
        </w:tabs>
        <w:jc w:val="center"/>
        <w:rPr>
          <w:b/>
          <w:szCs w:val="24"/>
        </w:rPr>
      </w:pPr>
    </w:p>
    <w:p w:rsidR="007E60D0" w:rsidRDefault="007E60D0">
      <w:pPr>
        <w:tabs>
          <w:tab w:val="left" w:pos="2160"/>
        </w:tabs>
        <w:jc w:val="center"/>
        <w:rPr>
          <w:b/>
          <w:szCs w:val="24"/>
        </w:rPr>
      </w:pPr>
    </w:p>
    <w:p w:rsidR="007E60D0" w:rsidRDefault="007E60D0">
      <w:pPr>
        <w:tabs>
          <w:tab w:val="left" w:pos="2160"/>
        </w:tabs>
        <w:jc w:val="center"/>
        <w:rPr>
          <w:b/>
          <w:szCs w:val="24"/>
        </w:rPr>
      </w:pPr>
    </w:p>
    <w:p w:rsidR="007E60D0" w:rsidRDefault="007E60D0">
      <w:pPr>
        <w:tabs>
          <w:tab w:val="left" w:pos="2160"/>
        </w:tabs>
        <w:jc w:val="center"/>
        <w:rPr>
          <w:b/>
          <w:szCs w:val="24"/>
        </w:rPr>
      </w:pPr>
    </w:p>
    <w:p w:rsidR="007E60D0" w:rsidRDefault="007E60D0">
      <w:pPr>
        <w:tabs>
          <w:tab w:val="left" w:pos="2160"/>
        </w:tabs>
        <w:jc w:val="center"/>
        <w:rPr>
          <w:b/>
          <w:szCs w:val="24"/>
        </w:rPr>
      </w:pPr>
    </w:p>
    <w:p w:rsidR="007E60D0" w:rsidRDefault="007E60D0">
      <w:pPr>
        <w:tabs>
          <w:tab w:val="left" w:pos="2160"/>
        </w:tabs>
        <w:jc w:val="center"/>
        <w:rPr>
          <w:b/>
          <w:szCs w:val="24"/>
        </w:rPr>
      </w:pPr>
    </w:p>
    <w:p w:rsidR="007E60D0" w:rsidRDefault="007E60D0">
      <w:pPr>
        <w:tabs>
          <w:tab w:val="left" w:pos="2160"/>
        </w:tabs>
        <w:jc w:val="center"/>
        <w:rPr>
          <w:b/>
          <w:szCs w:val="24"/>
        </w:rPr>
      </w:pPr>
    </w:p>
    <w:p w:rsidR="007E60D0" w:rsidRDefault="007E60D0">
      <w:pPr>
        <w:tabs>
          <w:tab w:val="left" w:pos="2160"/>
        </w:tabs>
        <w:jc w:val="center"/>
        <w:rPr>
          <w:b/>
          <w:szCs w:val="24"/>
        </w:rPr>
      </w:pPr>
    </w:p>
    <w:p w:rsidR="007E60D0" w:rsidRDefault="007E60D0">
      <w:pPr>
        <w:tabs>
          <w:tab w:val="left" w:pos="2160"/>
        </w:tabs>
        <w:jc w:val="center"/>
        <w:rPr>
          <w:b/>
          <w:szCs w:val="24"/>
        </w:rPr>
      </w:pPr>
    </w:p>
    <w:p w:rsidR="007E60D0" w:rsidRDefault="007E60D0">
      <w:pPr>
        <w:tabs>
          <w:tab w:val="left" w:pos="2160"/>
        </w:tabs>
        <w:jc w:val="center"/>
        <w:rPr>
          <w:b/>
          <w:szCs w:val="24"/>
        </w:rPr>
      </w:pPr>
    </w:p>
    <w:p w:rsidR="007E60D0" w:rsidRDefault="007E60D0">
      <w:pPr>
        <w:tabs>
          <w:tab w:val="left" w:pos="2160"/>
        </w:tabs>
        <w:jc w:val="center"/>
        <w:rPr>
          <w:b/>
          <w:szCs w:val="24"/>
        </w:rPr>
      </w:pPr>
      <w:r>
        <w:rPr>
          <w:b/>
          <w:szCs w:val="24"/>
        </w:rPr>
        <w:t>6. CONCLUSIONES</w:t>
      </w:r>
    </w:p>
    <w:p w:rsidR="007E60D0" w:rsidRDefault="007E60D0">
      <w:pPr>
        <w:tabs>
          <w:tab w:val="left" w:pos="2160"/>
        </w:tabs>
        <w:jc w:val="both"/>
        <w:rPr>
          <w:szCs w:val="24"/>
        </w:rPr>
      </w:pPr>
    </w:p>
    <w:p w:rsidR="007E60D0" w:rsidRDefault="007E60D0">
      <w:pPr>
        <w:numPr>
          <w:ilvl w:val="0"/>
          <w:numId w:val="6"/>
        </w:numPr>
        <w:tabs>
          <w:tab w:val="left" w:pos="2160"/>
        </w:tabs>
        <w:jc w:val="both"/>
        <w:rPr>
          <w:szCs w:val="24"/>
        </w:rPr>
      </w:pPr>
      <w:r>
        <w:rPr>
          <w:szCs w:val="24"/>
        </w:rPr>
        <w:t>Luego de evaluar la actual situación del Municipio de Palermo frente al cumplimiento de la Ley 819 de 2003 y Ley 358 de 1997, se puede concluir que el Municipio puede estar amenazado hacia el futuro en el sostenimiento de sus gastos de funcionamiento, puesto que sus rentas propias no alcanzarían a cubrir estos gastos.</w:t>
      </w:r>
    </w:p>
    <w:p w:rsidR="007E60D0" w:rsidRDefault="007E60D0">
      <w:pPr>
        <w:tabs>
          <w:tab w:val="left" w:pos="2160"/>
        </w:tabs>
        <w:ind w:left="360"/>
        <w:jc w:val="both"/>
        <w:rPr>
          <w:szCs w:val="24"/>
        </w:rPr>
      </w:pPr>
    </w:p>
    <w:p w:rsidR="007E60D0" w:rsidRDefault="007E60D0">
      <w:pPr>
        <w:numPr>
          <w:ilvl w:val="0"/>
          <w:numId w:val="6"/>
        </w:numPr>
        <w:tabs>
          <w:tab w:val="left" w:pos="2160"/>
        </w:tabs>
        <w:jc w:val="both"/>
        <w:rPr>
          <w:szCs w:val="24"/>
        </w:rPr>
      </w:pPr>
      <w:r>
        <w:rPr>
          <w:szCs w:val="24"/>
        </w:rPr>
        <w:lastRenderedPageBreak/>
        <w:t>Ante este panorama, es necesario plantear unas estrategias de tipo fiscal y administrativo, como es la aplicación de la proyección establecida en el diagnóstico de este Marco Fiscal de Mediano Plazo para el municipio de Palermo 2011 -2021, que consiste en proyectar los ingresos durante el 2011, en un aumento general para las rentas propias del 3,5% anual.</w:t>
      </w:r>
    </w:p>
    <w:p w:rsidR="007E60D0" w:rsidRDefault="007E60D0">
      <w:pPr>
        <w:tabs>
          <w:tab w:val="left" w:pos="2160"/>
        </w:tabs>
        <w:ind w:left="720"/>
        <w:jc w:val="both"/>
        <w:rPr>
          <w:szCs w:val="24"/>
        </w:rPr>
      </w:pPr>
    </w:p>
    <w:p w:rsidR="007E60D0" w:rsidRDefault="007E60D0">
      <w:pPr>
        <w:numPr>
          <w:ilvl w:val="0"/>
          <w:numId w:val="6"/>
        </w:numPr>
        <w:tabs>
          <w:tab w:val="left" w:pos="2160"/>
        </w:tabs>
        <w:jc w:val="both"/>
        <w:rPr>
          <w:szCs w:val="24"/>
        </w:rPr>
      </w:pPr>
      <w:r>
        <w:rPr>
          <w:szCs w:val="24"/>
        </w:rPr>
        <w:t>Es importante implementar la actualización catastral y crear una cultura en los habitantes que le permita mejorar el recaudo del impuesto predial y el de industria – comercio, pues se debe recordar que parte de los gastos de funcionamiento, están sustentados en sus rentas propias de libre destinación que corresponden al esfuerzo fiscal.</w:t>
      </w:r>
    </w:p>
    <w:p w:rsidR="007E60D0" w:rsidRDefault="007E60D0">
      <w:pPr>
        <w:pStyle w:val="Prrafodelista"/>
        <w:rPr>
          <w:rFonts w:ascii="Times New Roman" w:hAnsi="Times New Roman" w:cs="Times New Roman"/>
          <w:sz w:val="24"/>
          <w:szCs w:val="24"/>
        </w:rPr>
      </w:pPr>
    </w:p>
    <w:p w:rsidR="007E60D0" w:rsidRDefault="007E60D0">
      <w:pPr>
        <w:numPr>
          <w:ilvl w:val="0"/>
          <w:numId w:val="6"/>
        </w:numPr>
        <w:tabs>
          <w:tab w:val="left" w:pos="2160"/>
        </w:tabs>
        <w:jc w:val="both"/>
        <w:rPr>
          <w:szCs w:val="24"/>
        </w:rPr>
      </w:pPr>
      <w:r>
        <w:rPr>
          <w:szCs w:val="24"/>
        </w:rPr>
        <w:t>Es necesario luchar contra la evasión y la elusión de impuestos, ampliar la base de los contribuyentes y de esta forma identificar a aquellos que no están cumpliendo con las obligaciones.  Al contar con la base potencial y con los que efectivamente pagan impuestos, es posible conocer a los evasores y morosos para definir la mejor manera que contribuyan efectivamente y lograr recuperar cartera no cancelada en vigencias anteriores.</w:t>
      </w:r>
    </w:p>
    <w:p w:rsidR="007E60D0" w:rsidRDefault="007E60D0">
      <w:pPr>
        <w:tabs>
          <w:tab w:val="left" w:pos="2160"/>
        </w:tabs>
        <w:ind w:left="720"/>
        <w:jc w:val="both"/>
        <w:rPr>
          <w:szCs w:val="24"/>
        </w:rPr>
      </w:pPr>
    </w:p>
    <w:p w:rsidR="007E60D0" w:rsidRDefault="007E60D0">
      <w:pPr>
        <w:numPr>
          <w:ilvl w:val="0"/>
          <w:numId w:val="6"/>
        </w:numPr>
        <w:tabs>
          <w:tab w:val="left" w:pos="2160"/>
        </w:tabs>
        <w:jc w:val="both"/>
        <w:rPr>
          <w:szCs w:val="24"/>
        </w:rPr>
      </w:pPr>
      <w:r>
        <w:rPr>
          <w:szCs w:val="24"/>
        </w:rPr>
        <w:t>Continuar con los ajustes en los gastos de funcionamiento tendientes a alcanzar el indicador establecido por la Ley 617 de 2000 equivalente al 80% de los ingresos corrientes de libre destinación.</w:t>
      </w:r>
    </w:p>
    <w:p w:rsidR="007E60D0" w:rsidRDefault="007E60D0">
      <w:pPr>
        <w:pStyle w:val="Prrafodelista"/>
        <w:rPr>
          <w:rFonts w:ascii="Times New Roman" w:hAnsi="Times New Roman" w:cs="Times New Roman"/>
          <w:sz w:val="24"/>
          <w:szCs w:val="24"/>
        </w:rPr>
      </w:pPr>
    </w:p>
    <w:p w:rsidR="007E60D0" w:rsidRDefault="007E60D0">
      <w:pPr>
        <w:numPr>
          <w:ilvl w:val="0"/>
          <w:numId w:val="6"/>
        </w:numPr>
        <w:tabs>
          <w:tab w:val="left" w:pos="2160"/>
        </w:tabs>
        <w:jc w:val="both"/>
        <w:rPr>
          <w:szCs w:val="24"/>
        </w:rPr>
      </w:pPr>
      <w:r>
        <w:rPr>
          <w:szCs w:val="24"/>
        </w:rPr>
        <w:t>Los gastos de funcionamiento permitidos sobre los recursos de las inversiones en el presupuesto deben reflejarse por este sector mejorando el cumplimiento de metas y de eficiencia  fiscal.</w:t>
      </w:r>
    </w:p>
    <w:p w:rsidR="007E60D0" w:rsidRDefault="007E60D0">
      <w:pPr>
        <w:pStyle w:val="Prrafodelista"/>
        <w:rPr>
          <w:rFonts w:ascii="Times New Roman" w:hAnsi="Times New Roman" w:cs="Times New Roman"/>
          <w:sz w:val="24"/>
          <w:szCs w:val="24"/>
        </w:rPr>
      </w:pPr>
    </w:p>
    <w:p w:rsidR="007E60D0" w:rsidRDefault="007E60D0">
      <w:pPr>
        <w:numPr>
          <w:ilvl w:val="0"/>
          <w:numId w:val="6"/>
        </w:numPr>
        <w:tabs>
          <w:tab w:val="left" w:pos="2160"/>
        </w:tabs>
        <w:jc w:val="both"/>
        <w:rPr>
          <w:szCs w:val="24"/>
        </w:rPr>
      </w:pPr>
      <w:r>
        <w:rPr>
          <w:szCs w:val="24"/>
        </w:rPr>
        <w:t>Revisar cuidadosamente las exenciones otorgadas a los contribuyentes de forma que  no generen desestimulo a la eficiencia fiscal.</w:t>
      </w:r>
    </w:p>
    <w:p w:rsidR="007E60D0" w:rsidRDefault="007E60D0">
      <w:pPr>
        <w:pStyle w:val="Prrafodelista"/>
        <w:rPr>
          <w:rFonts w:ascii="Times New Roman" w:hAnsi="Times New Roman" w:cs="Times New Roman"/>
          <w:sz w:val="24"/>
          <w:szCs w:val="24"/>
        </w:rPr>
      </w:pPr>
    </w:p>
    <w:p w:rsidR="007E60D0" w:rsidRDefault="007E60D0">
      <w:pPr>
        <w:numPr>
          <w:ilvl w:val="0"/>
          <w:numId w:val="6"/>
        </w:numPr>
        <w:tabs>
          <w:tab w:val="left" w:pos="2160"/>
        </w:tabs>
        <w:jc w:val="both"/>
        <w:rPr>
          <w:szCs w:val="24"/>
        </w:rPr>
      </w:pPr>
      <w:r>
        <w:rPr>
          <w:szCs w:val="24"/>
        </w:rPr>
        <w:t xml:space="preserve">El  Municipio debe realizar esfuerzos para actualizar su pasivo pensional de tal  forma que  reduzca las obligaciones contraídas  en el presupuesto  y se conozca el valor real  de estos pasivos en cumplimiento de la Ley 100 de 1993,   con el fin de comenzar a constituir y aprovisionar la respectiva reserva, puesto que no tener este pasivo claro conlleva a riesgos frente a su estabilidad fiscal  y su futuro como entidad viable y autónoma. </w:t>
      </w:r>
    </w:p>
    <w:p w:rsidR="007E60D0" w:rsidRDefault="007E60D0">
      <w:pPr>
        <w:pStyle w:val="Prrafodelista"/>
        <w:rPr>
          <w:rFonts w:ascii="Times New Roman" w:hAnsi="Times New Roman" w:cs="Times New Roman"/>
          <w:sz w:val="24"/>
          <w:szCs w:val="24"/>
        </w:rPr>
      </w:pPr>
    </w:p>
    <w:p w:rsidR="007E60D0" w:rsidRDefault="007E60D0">
      <w:pPr>
        <w:numPr>
          <w:ilvl w:val="0"/>
          <w:numId w:val="6"/>
        </w:numPr>
        <w:tabs>
          <w:tab w:val="left" w:pos="2160"/>
        </w:tabs>
        <w:jc w:val="both"/>
        <w:rPr>
          <w:szCs w:val="24"/>
        </w:rPr>
      </w:pPr>
      <w:r>
        <w:rPr>
          <w:szCs w:val="24"/>
        </w:rPr>
        <w:t xml:space="preserve">La deuda pública municipal siguiendo los parámetros establecidos en la ley 358 de 1997 tiene un comportamiento estable, pero se deben mantener los parámetros en los próximos años para no alterar la estabilidad financiera. </w:t>
      </w:r>
    </w:p>
    <w:p w:rsidR="007E60D0" w:rsidRDefault="007E60D0"/>
    <w:sectPr w:rsidR="007E60D0">
      <w:headerReference w:type="default" r:id="rId16"/>
      <w:footerReference w:type="even" r:id="rId17"/>
      <w:footerReference w:type="default" r:id="rId18"/>
      <w:headerReference w:type="first" r:id="rId19"/>
      <w:footerReference w:type="first" r:id="rId20"/>
      <w:pgSz w:w="12240" w:h="15840"/>
      <w:pgMar w:top="1417" w:right="1701" w:bottom="1417" w:left="1701" w:header="708" w:footer="708"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A7CCA" w:rsidRDefault="00FA7CCA">
      <w:r>
        <w:separator/>
      </w:r>
    </w:p>
  </w:endnote>
  <w:endnote w:type="continuationSeparator" w:id="0">
    <w:p w:rsidR="00FA7CCA" w:rsidRDefault="00FA7CCA">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 w:name="Mangal">
    <w:panose1 w:val="02040503050203030202"/>
    <w:charset w:val="00"/>
    <w:family w:val="roman"/>
    <w:pitch w:val="variable"/>
    <w:sig w:usb0="00008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Arial Unicode MS">
    <w:panose1 w:val="020B0604020202020204"/>
    <w:charset w:val="80"/>
    <w:family w:val="swiss"/>
    <w:pitch w:val="variable"/>
    <w:sig w:usb0="F7FFAFFF" w:usb1="E9DFFFFF" w:usb2="0000003F" w:usb3="00000000" w:csb0="003F01FF" w:csb1="00000000"/>
  </w:font>
  <w:font w:name="Arioso">
    <w:altName w:val="Courier New"/>
    <w:charset w:val="00"/>
    <w:family w:val="auto"/>
    <w:pitch w:val="variable"/>
    <w:sig w:usb0="00000000" w:usb1="00000000" w:usb2="00000000" w:usb3="00000000" w:csb0="00000000" w:csb1="00000000"/>
  </w:font>
  <w:font w:name="Brush Script MT">
    <w:panose1 w:val="03060802040406070304"/>
    <w:charset w:val="00"/>
    <w:family w:val="script"/>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60D0" w:rsidRDefault="007E60D0"/>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60D0" w:rsidRDefault="007E60D0">
    <w:pPr>
      <w:pStyle w:val="Piedepgina"/>
      <w:jc w:val="center"/>
      <w:rPr>
        <w:rFonts w:ascii="Arioso" w:hAnsi="Arioso" w:cs="Arioso"/>
        <w:b/>
        <w:i/>
        <w:sz w:val="22"/>
        <w:lang w:val="es-MX"/>
      </w:rPr>
    </w:pPr>
    <w:r>
      <w:rPr>
        <w:rFonts w:ascii="Arioso" w:hAnsi="Arioso" w:cs="Arioso"/>
        <w:b/>
        <w:i/>
        <w:sz w:val="22"/>
        <w:lang w:val="es-MX"/>
      </w:rPr>
      <w:t>“</w:t>
    </w:r>
    <w:r>
      <w:rPr>
        <w:rFonts w:ascii="Brush Script MT" w:hAnsi="Brush Script MT" w:cs="Brush Script MT"/>
        <w:b/>
        <w:i/>
        <w:sz w:val="28"/>
        <w:szCs w:val="28"/>
        <w:lang w:val="es-MX"/>
      </w:rPr>
      <w:t>Por el Camino del Progreso</w:t>
    </w:r>
    <w:r>
      <w:rPr>
        <w:rFonts w:ascii="Arioso" w:hAnsi="Arioso" w:cs="Arioso"/>
        <w:b/>
        <w:i/>
        <w:sz w:val="22"/>
        <w:lang w:val="es-MX"/>
      </w:rPr>
      <w:t>”</w:t>
    </w:r>
  </w:p>
  <w:p w:rsidR="007E60D0" w:rsidRDefault="007E60D0">
    <w:pPr>
      <w:pStyle w:val="Piedepgina"/>
      <w:jc w:val="center"/>
      <w:rPr>
        <w:i/>
        <w:sz w:val="22"/>
        <w:lang w:val="es-MX"/>
      </w:rPr>
    </w:pPr>
    <w:r>
      <w:rPr>
        <w:i/>
        <w:sz w:val="22"/>
        <w:lang w:val="es-MX"/>
      </w:rPr>
      <w:t>Carrera 8 No. 8-54 Teléfonos: 8784011 – 8783815 – fax 8784116</w:t>
    </w:r>
  </w:p>
  <w:p w:rsidR="007E60D0" w:rsidRDefault="007E60D0">
    <w:pPr>
      <w:pStyle w:val="Piedepgina"/>
      <w:jc w:val="center"/>
      <w:rPr>
        <w:i/>
        <w:sz w:val="22"/>
        <w:lang w:val="es-MX"/>
      </w:rPr>
    </w:pPr>
    <w:r>
      <w:rPr>
        <w:i/>
        <w:sz w:val="22"/>
        <w:lang w:val="es-MX"/>
      </w:rPr>
      <w:t>Correo Electrónico alcaldia@palermo-huila.gov.co</w:t>
    </w:r>
  </w:p>
  <w:p w:rsidR="007E60D0" w:rsidRDefault="007E60D0">
    <w:pPr>
      <w:pStyle w:val="Piedepgina"/>
      <w:rPr>
        <w:lang w:val="es-MX"/>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60D0" w:rsidRDefault="007E60D0"/>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A7CCA" w:rsidRDefault="00FA7CCA">
      <w:r>
        <w:separator/>
      </w:r>
    </w:p>
  </w:footnote>
  <w:footnote w:type="continuationSeparator" w:id="0">
    <w:p w:rsidR="00FA7CCA" w:rsidRDefault="00FA7CCA">
      <w:r>
        <w:continuationSeparator/>
      </w:r>
    </w:p>
  </w:footnote>
  <w:footnote w:id="1">
    <w:p w:rsidR="007E60D0" w:rsidRDefault="007E60D0">
      <w:pPr>
        <w:pStyle w:val="Textonotapiedepagina"/>
      </w:pPr>
      <w:r>
        <w:rPr>
          <w:rStyle w:val="Caracteresdenotaalpie"/>
        </w:rPr>
        <w:footnoteRef/>
      </w:r>
      <w:hyperlink r:id="rId1" w:history="1">
        <w:r>
          <w:rPr>
            <w:rStyle w:val="Hipervnculo"/>
          </w:rPr>
          <w:tab/>
          <w:t>http://www.dnp.gov.co/PortalWeb/Programas/DesarrolloTerritorial/EvaluaciónySeguimientodelaDescentralización/DesempeñoFiscal/tabid/386/Default.aspx</w:t>
        </w:r>
      </w:hyperlink>
    </w:p>
  </w:footnote>
  <w:footnote w:id="2">
    <w:p w:rsidR="007E60D0" w:rsidRDefault="007E60D0">
      <w:pPr>
        <w:pStyle w:val="Textonotapie"/>
        <w:rPr>
          <w:color w:val="000000"/>
          <w:sz w:val="18"/>
          <w:szCs w:val="18"/>
          <w:lang w:val="es-CO"/>
        </w:rPr>
      </w:pPr>
      <w:r>
        <w:rPr>
          <w:rStyle w:val="Caracteresdenotaalpie"/>
        </w:rPr>
        <w:footnoteRef/>
      </w:r>
      <w:r>
        <w:rPr>
          <w:sz w:val="18"/>
          <w:szCs w:val="18"/>
        </w:rPr>
        <w:tab/>
        <w:t xml:space="preserve"> </w:t>
      </w:r>
      <w:r>
        <w:rPr>
          <w:color w:val="000000"/>
          <w:sz w:val="18"/>
          <w:szCs w:val="18"/>
          <w:lang w:val="es-CO"/>
        </w:rPr>
        <w:t>www.minhacienda.gov.co/MinHacienda/haciendapublica/regulacionfinancieraysocial/fonpet/consulta_entid_terr</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60D0" w:rsidRDefault="007E60D0">
    <w:pPr>
      <w:pStyle w:val="Encabezado"/>
      <w:jc w:val="center"/>
      <w:rPr>
        <w:i/>
        <w:lang w:val="es-MX"/>
      </w:rPr>
    </w:pPr>
    <w:r>
      <w:rPr>
        <w:i/>
        <w:lang w:val="es-MX"/>
      </w:rPr>
      <w:t>DEPARTAMENTO DEL HUILA</w:t>
    </w:r>
  </w:p>
  <w:p w:rsidR="007E60D0" w:rsidRDefault="007E60D0">
    <w:pPr>
      <w:pStyle w:val="Encabezado"/>
      <w:jc w:val="center"/>
      <w:rPr>
        <w:i/>
        <w:lang w:val="es-MX"/>
      </w:rPr>
    </w:pPr>
    <w:r>
      <w:rPr>
        <w:i/>
        <w:lang w:val="es-MX"/>
      </w:rPr>
      <w:t>ALCALDÍA MUNICIPAL</w:t>
    </w:r>
  </w:p>
  <w:p w:rsidR="007E60D0" w:rsidRDefault="007E60D0">
    <w:pPr>
      <w:pStyle w:val="Encabezado"/>
      <w:jc w:val="center"/>
      <w:rPr>
        <w:i/>
        <w:lang w:val="es-MX"/>
      </w:rPr>
    </w:pPr>
    <w:r>
      <w:rPr>
        <w:i/>
        <w:lang w:val="es-MX"/>
      </w:rPr>
      <w:t>MUNICIPIO DE PALERMO</w:t>
    </w:r>
  </w:p>
  <w:p w:rsidR="007E60D0" w:rsidRDefault="007E60D0">
    <w:pPr>
      <w:pStyle w:val="Encabezado"/>
      <w:jc w:val="cent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60D0" w:rsidRDefault="007E60D0"/>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00000002"/>
    <w:multiLevelType w:val="singleLevel"/>
    <w:tmpl w:val="00000002"/>
    <w:name w:val="WW8Num6"/>
    <w:lvl w:ilvl="0">
      <w:start w:val="1"/>
      <w:numFmt w:val="bullet"/>
      <w:lvlText w:val=""/>
      <w:lvlJc w:val="left"/>
      <w:pPr>
        <w:tabs>
          <w:tab w:val="num" w:pos="720"/>
        </w:tabs>
        <w:ind w:left="720" w:hanging="360"/>
      </w:pPr>
      <w:rPr>
        <w:rFonts w:ascii="Symbol" w:hAnsi="Symbol" w:cs="Symbol"/>
      </w:rPr>
    </w:lvl>
  </w:abstractNum>
  <w:abstractNum w:abstractNumId="2">
    <w:nsid w:val="00000003"/>
    <w:multiLevelType w:val="multilevel"/>
    <w:tmpl w:val="00000003"/>
    <w:name w:val="WW8Num7"/>
    <w:lvl w:ilvl="0">
      <w:start w:val="1"/>
      <w:numFmt w:val="decimal"/>
      <w:lvlText w:val="%1."/>
      <w:lvlJc w:val="left"/>
      <w:pPr>
        <w:tabs>
          <w:tab w:val="num" w:pos="0"/>
        </w:tabs>
        <w:ind w:left="720" w:hanging="360"/>
      </w:pPr>
      <w:rPr>
        <w:rFonts w:ascii="Times New Roman" w:hAnsi="Times New Roman" w:cs="Times New Roman"/>
        <w:b/>
        <w:bCs/>
        <w:sz w:val="24"/>
        <w:szCs w:val="24"/>
      </w:rPr>
    </w:lvl>
    <w:lvl w:ilvl="1">
      <w:start w:val="1"/>
      <w:numFmt w:val="decimal"/>
      <w:lvlText w:val="%1.%2"/>
      <w:lvlJc w:val="left"/>
      <w:pPr>
        <w:tabs>
          <w:tab w:val="num" w:pos="0"/>
        </w:tabs>
        <w:ind w:left="810" w:hanging="450"/>
      </w:pPr>
      <w:rPr>
        <w:rFonts w:ascii="Times New Roman" w:hAnsi="Times New Roman" w:cs="Times New Roman"/>
        <w:b/>
        <w:bCs/>
        <w:sz w:val="24"/>
        <w:szCs w:val="24"/>
      </w:rPr>
    </w:lvl>
    <w:lvl w:ilvl="2">
      <w:start w:val="1"/>
      <w:numFmt w:val="decimal"/>
      <w:lvlText w:val="%1.%2.%3"/>
      <w:lvlJc w:val="left"/>
      <w:pPr>
        <w:tabs>
          <w:tab w:val="num" w:pos="0"/>
        </w:tabs>
        <w:ind w:left="1080" w:hanging="720"/>
      </w:pPr>
      <w:rPr>
        <w:rFonts w:ascii="Times New Roman" w:hAnsi="Times New Roman" w:cs="Times New Roman"/>
        <w:b/>
        <w:bCs/>
        <w:sz w:val="24"/>
        <w:szCs w:val="24"/>
      </w:rPr>
    </w:lvl>
    <w:lvl w:ilvl="3">
      <w:start w:val="1"/>
      <w:numFmt w:val="decimal"/>
      <w:lvlText w:val="%1.%2.%3.%4"/>
      <w:lvlJc w:val="left"/>
      <w:pPr>
        <w:tabs>
          <w:tab w:val="num" w:pos="0"/>
        </w:tabs>
        <w:ind w:left="1440" w:hanging="1080"/>
      </w:pPr>
      <w:rPr>
        <w:rFonts w:ascii="Times New Roman" w:hAnsi="Times New Roman" w:cs="Times New Roman"/>
        <w:b/>
        <w:bCs/>
        <w:sz w:val="24"/>
        <w:szCs w:val="24"/>
      </w:rPr>
    </w:lvl>
    <w:lvl w:ilvl="4">
      <w:start w:val="1"/>
      <w:numFmt w:val="decimal"/>
      <w:lvlText w:val="%1.%2.%3.%4.%5"/>
      <w:lvlJc w:val="left"/>
      <w:pPr>
        <w:tabs>
          <w:tab w:val="num" w:pos="0"/>
        </w:tabs>
        <w:ind w:left="1440" w:hanging="1080"/>
      </w:pPr>
      <w:rPr>
        <w:rFonts w:ascii="Times New Roman" w:hAnsi="Times New Roman" w:cs="Times New Roman"/>
        <w:b/>
        <w:bCs/>
        <w:sz w:val="24"/>
        <w:szCs w:val="24"/>
      </w:rPr>
    </w:lvl>
    <w:lvl w:ilvl="5">
      <w:start w:val="1"/>
      <w:numFmt w:val="decimal"/>
      <w:lvlText w:val="%1.%2.%3.%4.%5.%6"/>
      <w:lvlJc w:val="left"/>
      <w:pPr>
        <w:tabs>
          <w:tab w:val="num" w:pos="0"/>
        </w:tabs>
        <w:ind w:left="1800" w:hanging="1440"/>
      </w:pPr>
      <w:rPr>
        <w:rFonts w:ascii="Times New Roman" w:hAnsi="Times New Roman" w:cs="Times New Roman"/>
        <w:b/>
        <w:bCs/>
        <w:sz w:val="24"/>
        <w:szCs w:val="24"/>
      </w:rPr>
    </w:lvl>
    <w:lvl w:ilvl="6">
      <w:start w:val="1"/>
      <w:numFmt w:val="decimal"/>
      <w:lvlText w:val="%1.%2.%3.%4.%5.%6.%7"/>
      <w:lvlJc w:val="left"/>
      <w:pPr>
        <w:tabs>
          <w:tab w:val="num" w:pos="0"/>
        </w:tabs>
        <w:ind w:left="1800" w:hanging="1440"/>
      </w:pPr>
      <w:rPr>
        <w:rFonts w:ascii="Times New Roman" w:hAnsi="Times New Roman" w:cs="Times New Roman"/>
        <w:b/>
        <w:bCs/>
        <w:sz w:val="24"/>
        <w:szCs w:val="24"/>
      </w:rPr>
    </w:lvl>
    <w:lvl w:ilvl="7">
      <w:start w:val="1"/>
      <w:numFmt w:val="decimal"/>
      <w:lvlText w:val="%1.%2.%3.%4.%5.%6.%7.%8"/>
      <w:lvlJc w:val="left"/>
      <w:pPr>
        <w:tabs>
          <w:tab w:val="num" w:pos="0"/>
        </w:tabs>
        <w:ind w:left="2160" w:hanging="1800"/>
      </w:pPr>
      <w:rPr>
        <w:rFonts w:ascii="Times New Roman" w:hAnsi="Times New Roman" w:cs="Times New Roman"/>
        <w:b/>
        <w:bCs/>
        <w:sz w:val="24"/>
        <w:szCs w:val="24"/>
      </w:rPr>
    </w:lvl>
    <w:lvl w:ilvl="8">
      <w:start w:val="1"/>
      <w:numFmt w:val="decimal"/>
      <w:lvlText w:val="%1.%2.%3.%4.%5.%6.%7.%8.%9"/>
      <w:lvlJc w:val="left"/>
      <w:pPr>
        <w:tabs>
          <w:tab w:val="num" w:pos="0"/>
        </w:tabs>
        <w:ind w:left="2520" w:hanging="2160"/>
      </w:pPr>
      <w:rPr>
        <w:rFonts w:ascii="Times New Roman" w:hAnsi="Times New Roman" w:cs="Times New Roman"/>
        <w:b/>
        <w:bCs/>
        <w:sz w:val="24"/>
        <w:szCs w:val="24"/>
      </w:rPr>
    </w:lvl>
  </w:abstractNum>
  <w:abstractNum w:abstractNumId="3">
    <w:nsid w:val="00000004"/>
    <w:multiLevelType w:val="singleLevel"/>
    <w:tmpl w:val="00000004"/>
    <w:name w:val="WW8Num8"/>
    <w:lvl w:ilvl="0">
      <w:start w:val="1"/>
      <w:numFmt w:val="bullet"/>
      <w:lvlText w:val=""/>
      <w:lvlJc w:val="left"/>
      <w:pPr>
        <w:tabs>
          <w:tab w:val="num" w:pos="720"/>
        </w:tabs>
        <w:ind w:left="720" w:hanging="360"/>
      </w:pPr>
      <w:rPr>
        <w:rFonts w:ascii="Wingdings" w:hAnsi="Wingdings" w:cs="Wingdings"/>
      </w:rPr>
    </w:lvl>
  </w:abstractNum>
  <w:abstractNum w:abstractNumId="4">
    <w:nsid w:val="00000005"/>
    <w:multiLevelType w:val="multilevel"/>
    <w:tmpl w:val="00000005"/>
    <w:name w:val="WW8Num9"/>
    <w:lvl w:ilvl="0">
      <w:start w:val="2"/>
      <w:numFmt w:val="decimal"/>
      <w:lvlText w:val="%1"/>
      <w:lvlJc w:val="left"/>
      <w:pPr>
        <w:tabs>
          <w:tab w:val="num" w:pos="705"/>
        </w:tabs>
        <w:ind w:left="705" w:hanging="705"/>
      </w:pPr>
      <w:rPr>
        <w:rFonts w:cs="Times New Roman"/>
      </w:rPr>
    </w:lvl>
    <w:lvl w:ilvl="1">
      <w:start w:val="3"/>
      <w:numFmt w:val="decimal"/>
      <w:lvlText w:val="%1.%2"/>
      <w:lvlJc w:val="left"/>
      <w:pPr>
        <w:tabs>
          <w:tab w:val="num" w:pos="705"/>
        </w:tabs>
        <w:ind w:left="705" w:hanging="705"/>
      </w:pPr>
      <w:rPr>
        <w:rFonts w:cs="Times New Roman"/>
      </w:rPr>
    </w:lvl>
    <w:lvl w:ilvl="2">
      <w:start w:val="2"/>
      <w:numFmt w:val="decimal"/>
      <w:lvlText w:val="%1.%2.%3"/>
      <w:lvlJc w:val="left"/>
      <w:pPr>
        <w:tabs>
          <w:tab w:val="num" w:pos="720"/>
        </w:tabs>
        <w:ind w:left="720" w:hanging="720"/>
      </w:pPr>
      <w:rPr>
        <w:rFonts w:cs="Times New Roman"/>
      </w:rPr>
    </w:lvl>
    <w:lvl w:ilvl="3">
      <w:start w:val="1"/>
      <w:numFmt w:val="decimal"/>
      <w:lvlText w:val="%1.%2.%3.%4"/>
      <w:lvlJc w:val="left"/>
      <w:pPr>
        <w:tabs>
          <w:tab w:val="num" w:pos="1080"/>
        </w:tabs>
        <w:ind w:left="1080" w:hanging="108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440"/>
        </w:tabs>
        <w:ind w:left="1440" w:hanging="1440"/>
      </w:pPr>
      <w:rPr>
        <w:rFonts w:cs="Times New Roman"/>
      </w:rPr>
    </w:lvl>
    <w:lvl w:ilvl="7">
      <w:start w:val="1"/>
      <w:numFmt w:val="decimal"/>
      <w:lvlText w:val="%1.%2.%3.%4.%5.%6.%7.%8"/>
      <w:lvlJc w:val="left"/>
      <w:pPr>
        <w:tabs>
          <w:tab w:val="num" w:pos="1800"/>
        </w:tabs>
        <w:ind w:left="1800" w:hanging="1800"/>
      </w:pPr>
      <w:rPr>
        <w:rFonts w:cs="Times New Roman"/>
      </w:rPr>
    </w:lvl>
    <w:lvl w:ilvl="8">
      <w:start w:val="1"/>
      <w:numFmt w:val="decimal"/>
      <w:lvlText w:val="%1.%2.%3.%4.%5.%6.%7.%8.%9"/>
      <w:lvlJc w:val="left"/>
      <w:pPr>
        <w:tabs>
          <w:tab w:val="num" w:pos="1800"/>
        </w:tabs>
        <w:ind w:left="1800" w:hanging="1800"/>
      </w:pPr>
      <w:rPr>
        <w:rFonts w:cs="Times New Roman"/>
      </w:rPr>
    </w:lvl>
  </w:abstractNum>
  <w:abstractNum w:abstractNumId="5">
    <w:nsid w:val="00000006"/>
    <w:multiLevelType w:val="singleLevel"/>
    <w:tmpl w:val="00000006"/>
    <w:name w:val="WW8Num10"/>
    <w:lvl w:ilvl="0">
      <w:start w:val="1"/>
      <w:numFmt w:val="bullet"/>
      <w:lvlText w:val=""/>
      <w:lvlJc w:val="left"/>
      <w:pPr>
        <w:tabs>
          <w:tab w:val="num" w:pos="720"/>
        </w:tabs>
        <w:ind w:left="720" w:hanging="360"/>
      </w:pPr>
      <w:rPr>
        <w:rFonts w:ascii="Wingdings" w:hAnsi="Wingdings" w:cs="Wingdings"/>
      </w:rPr>
    </w:lvl>
  </w:abstractNum>
  <w:abstractNum w:abstractNumId="6">
    <w:nsid w:val="00000007"/>
    <w:multiLevelType w:val="singleLevel"/>
    <w:tmpl w:val="00000007"/>
    <w:name w:val="WW8Num11"/>
    <w:lvl w:ilvl="0">
      <w:start w:val="1"/>
      <w:numFmt w:val="bullet"/>
      <w:lvlText w:val=""/>
      <w:lvlJc w:val="left"/>
      <w:pPr>
        <w:tabs>
          <w:tab w:val="num" w:pos="1080"/>
        </w:tabs>
        <w:ind w:left="1080" w:hanging="360"/>
      </w:pPr>
      <w:rPr>
        <w:rFonts w:ascii="Wingdings" w:hAnsi="Wingdings" w:cs="Wingdings"/>
      </w:rPr>
    </w:lvl>
  </w:abstractNum>
  <w:abstractNum w:abstractNumId="7">
    <w:nsid w:val="00000008"/>
    <w:multiLevelType w:val="multilevel"/>
    <w:tmpl w:val="00000008"/>
    <w:name w:val="WW8Num16"/>
    <w:lvl w:ilvl="0">
      <w:start w:val="1"/>
      <w:numFmt w:val="decimal"/>
      <w:lvlText w:val="%1"/>
      <w:lvlJc w:val="left"/>
      <w:pPr>
        <w:tabs>
          <w:tab w:val="num" w:pos="0"/>
        </w:tabs>
        <w:ind w:left="600" w:hanging="600"/>
      </w:pPr>
      <w:rPr>
        <w:rFonts w:cs="Times New Roman"/>
      </w:rPr>
    </w:lvl>
    <w:lvl w:ilvl="1">
      <w:start w:val="5"/>
      <w:numFmt w:val="decimal"/>
      <w:lvlText w:val="%1.%2"/>
      <w:lvlJc w:val="left"/>
      <w:pPr>
        <w:tabs>
          <w:tab w:val="num" w:pos="0"/>
        </w:tabs>
        <w:ind w:left="780" w:hanging="600"/>
      </w:pPr>
      <w:rPr>
        <w:rFonts w:cs="Times New Roman"/>
      </w:rPr>
    </w:lvl>
    <w:lvl w:ilvl="2">
      <w:start w:val="1"/>
      <w:numFmt w:val="decimal"/>
      <w:lvlText w:val="%1.%2.%3"/>
      <w:lvlJc w:val="left"/>
      <w:pPr>
        <w:tabs>
          <w:tab w:val="num" w:pos="0"/>
        </w:tabs>
        <w:ind w:left="1080" w:hanging="720"/>
      </w:pPr>
      <w:rPr>
        <w:rFonts w:cs="Times New Roman"/>
      </w:rPr>
    </w:lvl>
    <w:lvl w:ilvl="3">
      <w:start w:val="1"/>
      <w:numFmt w:val="decimal"/>
      <w:lvlText w:val="%1.%2.%3.%4"/>
      <w:lvlJc w:val="left"/>
      <w:pPr>
        <w:tabs>
          <w:tab w:val="num" w:pos="0"/>
        </w:tabs>
        <w:ind w:left="1620" w:hanging="1080"/>
      </w:pPr>
      <w:rPr>
        <w:rFonts w:cs="Times New Roman"/>
      </w:rPr>
    </w:lvl>
    <w:lvl w:ilvl="4">
      <w:start w:val="1"/>
      <w:numFmt w:val="decimal"/>
      <w:lvlText w:val="%1.%2.%3.%4.%5"/>
      <w:lvlJc w:val="left"/>
      <w:pPr>
        <w:tabs>
          <w:tab w:val="num" w:pos="0"/>
        </w:tabs>
        <w:ind w:left="1800" w:hanging="1080"/>
      </w:pPr>
      <w:rPr>
        <w:rFonts w:cs="Times New Roman"/>
      </w:rPr>
    </w:lvl>
    <w:lvl w:ilvl="5">
      <w:start w:val="1"/>
      <w:numFmt w:val="decimal"/>
      <w:lvlText w:val="%1.%2.%3.%4.%5.%6"/>
      <w:lvlJc w:val="left"/>
      <w:pPr>
        <w:tabs>
          <w:tab w:val="num" w:pos="0"/>
        </w:tabs>
        <w:ind w:left="2340" w:hanging="1440"/>
      </w:pPr>
      <w:rPr>
        <w:rFonts w:cs="Times New Roman"/>
      </w:rPr>
    </w:lvl>
    <w:lvl w:ilvl="6">
      <w:start w:val="1"/>
      <w:numFmt w:val="decimal"/>
      <w:lvlText w:val="%1.%2.%3.%4.%5.%6.%7"/>
      <w:lvlJc w:val="left"/>
      <w:pPr>
        <w:tabs>
          <w:tab w:val="num" w:pos="0"/>
        </w:tabs>
        <w:ind w:left="2520" w:hanging="1440"/>
      </w:pPr>
      <w:rPr>
        <w:rFonts w:cs="Times New Roman"/>
      </w:rPr>
    </w:lvl>
    <w:lvl w:ilvl="7">
      <w:start w:val="1"/>
      <w:numFmt w:val="decimal"/>
      <w:lvlText w:val="%1.%2.%3.%4.%5.%6.%7.%8"/>
      <w:lvlJc w:val="left"/>
      <w:pPr>
        <w:tabs>
          <w:tab w:val="num" w:pos="0"/>
        </w:tabs>
        <w:ind w:left="3060" w:hanging="1800"/>
      </w:pPr>
      <w:rPr>
        <w:rFonts w:cs="Times New Roman"/>
      </w:rPr>
    </w:lvl>
    <w:lvl w:ilvl="8">
      <w:start w:val="1"/>
      <w:numFmt w:val="decimal"/>
      <w:lvlText w:val="%1.%2.%3.%4.%5.%6.%7.%8.%9"/>
      <w:lvlJc w:val="left"/>
      <w:pPr>
        <w:tabs>
          <w:tab w:val="num" w:pos="0"/>
        </w:tabs>
        <w:ind w:left="3600" w:hanging="2160"/>
      </w:pPr>
      <w:rPr>
        <w:rFonts w:cs="Times New Roman"/>
      </w:rPr>
    </w:lvl>
  </w:abstractNum>
  <w:abstractNum w:abstractNumId="8">
    <w:nsid w:val="00000009"/>
    <w:multiLevelType w:val="singleLevel"/>
    <w:tmpl w:val="00000009"/>
    <w:name w:val="WW8Num17"/>
    <w:lvl w:ilvl="0">
      <w:start w:val="1"/>
      <w:numFmt w:val="bullet"/>
      <w:lvlText w:val=""/>
      <w:lvlJc w:val="left"/>
      <w:pPr>
        <w:tabs>
          <w:tab w:val="num" w:pos="720"/>
        </w:tabs>
        <w:ind w:left="720" w:hanging="360"/>
      </w:pPr>
      <w:rPr>
        <w:rFonts w:ascii="Wingdings" w:hAnsi="Wingdings" w:cs="Wingdings"/>
      </w:rPr>
    </w:lvl>
  </w:abstractNum>
  <w:abstractNum w:abstractNumId="9">
    <w:nsid w:val="0000000A"/>
    <w:multiLevelType w:val="multilevel"/>
    <w:tmpl w:val="0000000A"/>
    <w:name w:val="WW8Num18"/>
    <w:lvl w:ilvl="0">
      <w:start w:val="2"/>
      <w:numFmt w:val="decimal"/>
      <w:lvlText w:val="%1"/>
      <w:lvlJc w:val="left"/>
      <w:pPr>
        <w:tabs>
          <w:tab w:val="num" w:pos="705"/>
        </w:tabs>
        <w:ind w:left="705" w:hanging="705"/>
      </w:pPr>
      <w:rPr>
        <w:rFonts w:cs="Times New Roman"/>
      </w:rPr>
    </w:lvl>
    <w:lvl w:ilvl="1">
      <w:start w:val="1"/>
      <w:numFmt w:val="decimal"/>
      <w:lvlText w:val="%1.%2"/>
      <w:lvlJc w:val="left"/>
      <w:pPr>
        <w:tabs>
          <w:tab w:val="num" w:pos="705"/>
        </w:tabs>
        <w:ind w:left="705" w:hanging="705"/>
      </w:pPr>
      <w:rPr>
        <w:rFonts w:cs="Times New Roman"/>
        <w:sz w:val="22"/>
        <w:szCs w:val="22"/>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1080"/>
        </w:tabs>
        <w:ind w:left="1080" w:hanging="108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440"/>
        </w:tabs>
        <w:ind w:left="1440" w:hanging="1440"/>
      </w:pPr>
      <w:rPr>
        <w:rFonts w:cs="Times New Roman"/>
      </w:rPr>
    </w:lvl>
    <w:lvl w:ilvl="7">
      <w:start w:val="1"/>
      <w:numFmt w:val="decimal"/>
      <w:lvlText w:val="%1.%2.%3.%4.%5.%6.%7.%8"/>
      <w:lvlJc w:val="left"/>
      <w:pPr>
        <w:tabs>
          <w:tab w:val="num" w:pos="1800"/>
        </w:tabs>
        <w:ind w:left="1800" w:hanging="1800"/>
      </w:pPr>
      <w:rPr>
        <w:rFonts w:cs="Times New Roman"/>
      </w:rPr>
    </w:lvl>
    <w:lvl w:ilvl="8">
      <w:start w:val="1"/>
      <w:numFmt w:val="decimal"/>
      <w:lvlText w:val="%1.%2.%3.%4.%5.%6.%7.%8.%9"/>
      <w:lvlJc w:val="left"/>
      <w:pPr>
        <w:tabs>
          <w:tab w:val="num" w:pos="1800"/>
        </w:tabs>
        <w:ind w:left="1800" w:hanging="1800"/>
      </w:pPr>
      <w:rPr>
        <w:rFonts w:cs="Times New Roman"/>
      </w:rPr>
    </w:lvl>
  </w:abstractNum>
  <w:abstractNum w:abstractNumId="10">
    <w:nsid w:val="0000000B"/>
    <w:multiLevelType w:val="singleLevel"/>
    <w:tmpl w:val="0000000B"/>
    <w:name w:val="WW8Num21"/>
    <w:lvl w:ilvl="0">
      <w:start w:val="1"/>
      <w:numFmt w:val="lowerLetter"/>
      <w:lvlText w:val="%1)"/>
      <w:lvlJc w:val="left"/>
      <w:pPr>
        <w:tabs>
          <w:tab w:val="num" w:pos="0"/>
        </w:tabs>
        <w:ind w:left="720" w:hanging="360"/>
      </w:pPr>
      <w:rPr>
        <w:rFonts w:cs="Times New Roman"/>
      </w:rPr>
    </w:lvl>
  </w:abstractNum>
  <w:abstractNum w:abstractNumId="11">
    <w:nsid w:val="0000000C"/>
    <w:multiLevelType w:val="multilevel"/>
    <w:tmpl w:val="0000000C"/>
    <w:name w:val="WW8Num22"/>
    <w:lvl w:ilvl="0">
      <w:start w:val="1"/>
      <w:numFmt w:val="decimal"/>
      <w:lvlText w:val="%1"/>
      <w:lvlJc w:val="left"/>
      <w:pPr>
        <w:tabs>
          <w:tab w:val="num" w:pos="0"/>
        </w:tabs>
        <w:ind w:left="600" w:hanging="600"/>
      </w:pPr>
      <w:rPr>
        <w:rFonts w:cs="Times New Roman"/>
      </w:rPr>
    </w:lvl>
    <w:lvl w:ilvl="1">
      <w:start w:val="3"/>
      <w:numFmt w:val="decimal"/>
      <w:lvlText w:val="%1.%2"/>
      <w:lvlJc w:val="left"/>
      <w:pPr>
        <w:tabs>
          <w:tab w:val="num" w:pos="0"/>
        </w:tabs>
        <w:ind w:left="600" w:hanging="600"/>
      </w:pPr>
      <w:rPr>
        <w:rFonts w:cs="Times New Roman"/>
      </w:rPr>
    </w:lvl>
    <w:lvl w:ilvl="2">
      <w:start w:val="1"/>
      <w:numFmt w:val="decimal"/>
      <w:lvlText w:val="%1.%2.%3"/>
      <w:lvlJc w:val="left"/>
      <w:pPr>
        <w:tabs>
          <w:tab w:val="num" w:pos="0"/>
        </w:tabs>
        <w:ind w:left="720" w:hanging="720"/>
      </w:pPr>
      <w:rPr>
        <w:rFonts w:cs="Times New Roman"/>
      </w:rPr>
    </w:lvl>
    <w:lvl w:ilvl="3">
      <w:start w:val="1"/>
      <w:numFmt w:val="decimal"/>
      <w:lvlText w:val="%1.%2.%3.%4"/>
      <w:lvlJc w:val="left"/>
      <w:pPr>
        <w:tabs>
          <w:tab w:val="num" w:pos="0"/>
        </w:tabs>
        <w:ind w:left="1080" w:hanging="108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440" w:hanging="144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800" w:hanging="1800"/>
      </w:pPr>
      <w:rPr>
        <w:rFonts w:cs="Times New Roman"/>
      </w:rPr>
    </w:lvl>
    <w:lvl w:ilvl="8">
      <w:start w:val="1"/>
      <w:numFmt w:val="decimal"/>
      <w:lvlText w:val="%1.%2.%3.%4.%5.%6.%7.%8.%9"/>
      <w:lvlJc w:val="left"/>
      <w:pPr>
        <w:tabs>
          <w:tab w:val="num" w:pos="0"/>
        </w:tabs>
        <w:ind w:left="2160" w:hanging="2160"/>
      </w:pPr>
      <w:rPr>
        <w:rFonts w:cs="Times New Roman"/>
      </w:rPr>
    </w:lvl>
  </w:abstractNum>
  <w:abstractNum w:abstractNumId="12">
    <w:nsid w:val="0000000D"/>
    <w:multiLevelType w:val="singleLevel"/>
    <w:tmpl w:val="0000000D"/>
    <w:name w:val="WW8Num24"/>
    <w:lvl w:ilvl="0">
      <w:start w:val="1"/>
      <w:numFmt w:val="decimal"/>
      <w:lvlText w:val="%1."/>
      <w:lvlJc w:val="left"/>
      <w:pPr>
        <w:tabs>
          <w:tab w:val="num" w:pos="720"/>
        </w:tabs>
        <w:ind w:left="720" w:hanging="360"/>
      </w:pPr>
      <w:rPr>
        <w:rFonts w:cs="Times New Roman"/>
        <w:b/>
      </w:rPr>
    </w:lvl>
  </w:abstractNum>
  <w:abstractNum w:abstractNumId="13">
    <w:nsid w:val="0000000E"/>
    <w:multiLevelType w:val="singleLevel"/>
    <w:tmpl w:val="0000000E"/>
    <w:name w:val="WW8Num25"/>
    <w:lvl w:ilvl="0">
      <w:start w:val="1"/>
      <w:numFmt w:val="bullet"/>
      <w:lvlText w:val=""/>
      <w:lvlJc w:val="left"/>
      <w:pPr>
        <w:tabs>
          <w:tab w:val="num" w:pos="0"/>
        </w:tabs>
        <w:ind w:left="720" w:hanging="360"/>
      </w:pPr>
      <w:rPr>
        <w:rFonts w:ascii="Wingdings" w:hAnsi="Wingdings" w:cs="Wingdings"/>
      </w:rPr>
    </w:lvl>
  </w:abstractNum>
  <w:abstractNum w:abstractNumId="14">
    <w:nsid w:val="0000000F"/>
    <w:multiLevelType w:val="multilevel"/>
    <w:tmpl w:val="0000000F"/>
    <w:name w:val="WW8Num27"/>
    <w:lvl w:ilvl="0">
      <w:start w:val="1"/>
      <w:numFmt w:val="decimal"/>
      <w:lvlText w:val="%1"/>
      <w:lvlJc w:val="left"/>
      <w:pPr>
        <w:tabs>
          <w:tab w:val="num" w:pos="0"/>
        </w:tabs>
        <w:ind w:left="600" w:hanging="600"/>
      </w:pPr>
      <w:rPr>
        <w:rFonts w:cs="Times New Roman"/>
      </w:rPr>
    </w:lvl>
    <w:lvl w:ilvl="1">
      <w:start w:val="2"/>
      <w:numFmt w:val="decimal"/>
      <w:lvlText w:val="%1.%2"/>
      <w:lvlJc w:val="left"/>
      <w:pPr>
        <w:tabs>
          <w:tab w:val="num" w:pos="0"/>
        </w:tabs>
        <w:ind w:left="600" w:hanging="600"/>
      </w:pPr>
      <w:rPr>
        <w:rFonts w:cs="Times New Roman"/>
      </w:rPr>
    </w:lvl>
    <w:lvl w:ilvl="2">
      <w:start w:val="4"/>
      <w:numFmt w:val="decimal"/>
      <w:lvlText w:val="%1.%2.%3"/>
      <w:lvlJc w:val="left"/>
      <w:pPr>
        <w:tabs>
          <w:tab w:val="num" w:pos="0"/>
        </w:tabs>
        <w:ind w:left="720" w:hanging="720"/>
      </w:pPr>
      <w:rPr>
        <w:rFonts w:cs="Times New Roman"/>
      </w:rPr>
    </w:lvl>
    <w:lvl w:ilvl="3">
      <w:start w:val="1"/>
      <w:numFmt w:val="decimal"/>
      <w:lvlText w:val="%1.%2.%3.%4"/>
      <w:lvlJc w:val="left"/>
      <w:pPr>
        <w:tabs>
          <w:tab w:val="num" w:pos="0"/>
        </w:tabs>
        <w:ind w:left="1080" w:hanging="108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440" w:hanging="144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800" w:hanging="1800"/>
      </w:pPr>
      <w:rPr>
        <w:rFonts w:cs="Times New Roman"/>
      </w:rPr>
    </w:lvl>
    <w:lvl w:ilvl="8">
      <w:start w:val="1"/>
      <w:numFmt w:val="decimal"/>
      <w:lvlText w:val="%1.%2.%3.%4.%5.%6.%7.%8.%9"/>
      <w:lvlJc w:val="left"/>
      <w:pPr>
        <w:tabs>
          <w:tab w:val="num" w:pos="0"/>
        </w:tabs>
        <w:ind w:left="2160" w:hanging="2160"/>
      </w:pPr>
      <w:rPr>
        <w:rFonts w:cs="Times New Roman"/>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stylePaneFormatFilter w:val="0000"/>
  <w:defaultTabStop w:val="708"/>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footnotePr>
    <w:footnote w:id="-1"/>
    <w:footnote w:id="0"/>
  </w:footnotePr>
  <w:endnotePr>
    <w:endnote w:id="-1"/>
    <w:endnote w:id="0"/>
  </w:endnotePr>
  <w:compat/>
  <w:rsids>
    <w:rsidRoot w:val="0058635C"/>
    <w:rsid w:val="0058635C"/>
    <w:rsid w:val="007E60D0"/>
    <w:rsid w:val="00944E93"/>
    <w:rsid w:val="00FA7CCA"/>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uppressAutoHyphens/>
    </w:pPr>
    <w:rPr>
      <w:sz w:val="24"/>
      <w:lang w:val="es-ES" w:eastAsia="ar-SA"/>
    </w:rPr>
  </w:style>
  <w:style w:type="paragraph" w:styleId="Ttulo1">
    <w:name w:val="heading 1"/>
    <w:basedOn w:val="Normal"/>
    <w:next w:val="Normal"/>
    <w:qFormat/>
    <w:pPr>
      <w:keepNext/>
      <w:numPr>
        <w:numId w:val="1"/>
      </w:numPr>
      <w:jc w:val="center"/>
      <w:outlineLvl w:val="0"/>
    </w:pPr>
    <w:rPr>
      <w:rFonts w:ascii="Arial" w:hAnsi="Arial" w:cs="Arial"/>
      <w:sz w:val="28"/>
      <w:szCs w:val="24"/>
    </w:rPr>
  </w:style>
  <w:style w:type="paragraph" w:styleId="Ttulo2">
    <w:name w:val="heading 2"/>
    <w:basedOn w:val="Normal"/>
    <w:next w:val="Normal"/>
    <w:qFormat/>
    <w:pPr>
      <w:keepNext/>
      <w:numPr>
        <w:ilvl w:val="1"/>
        <w:numId w:val="1"/>
      </w:numPr>
      <w:spacing w:before="240" w:after="60"/>
      <w:outlineLvl w:val="1"/>
    </w:pPr>
    <w:rPr>
      <w:rFonts w:ascii="Arial" w:hAnsi="Arial" w:cs="Arial"/>
      <w:b/>
      <w:bCs/>
      <w:i/>
      <w:iCs/>
      <w:sz w:val="28"/>
      <w:szCs w:val="28"/>
    </w:rPr>
  </w:style>
  <w:style w:type="paragraph" w:styleId="Ttulo3">
    <w:name w:val="heading 3"/>
    <w:basedOn w:val="Normal"/>
    <w:next w:val="Normal"/>
    <w:qFormat/>
    <w:pPr>
      <w:keepNext/>
      <w:numPr>
        <w:ilvl w:val="2"/>
        <w:numId w:val="1"/>
      </w:numPr>
      <w:spacing w:line="200" w:lineRule="atLeast"/>
      <w:outlineLvl w:val="2"/>
    </w:pPr>
    <w:rPr>
      <w:rFonts w:ascii="Arial" w:hAnsi="Arial" w:cs="Arial"/>
      <w:b/>
      <w:sz w:val="22"/>
      <w:szCs w:val="22"/>
    </w:rPr>
  </w:style>
  <w:style w:type="character" w:default="1" w:styleId="Fuentedeprrafopredeter">
    <w:name w:val="Default Paragraph Font"/>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WW8Num1z0">
    <w:name w:val="WW8Num1z0"/>
    <w:rPr>
      <w:rFonts w:ascii="Symbol" w:hAnsi="Symbol" w:cs="Symbol"/>
    </w:rPr>
  </w:style>
  <w:style w:type="character" w:customStyle="1" w:styleId="WW8Num2z0">
    <w:name w:val="WW8Num2z0"/>
    <w:rPr>
      <w:rFonts w:ascii="Symbol" w:hAnsi="Symbol" w:cs="Symbol"/>
    </w:rPr>
  </w:style>
  <w:style w:type="character" w:customStyle="1" w:styleId="WW8Num3z0">
    <w:name w:val="WW8Num3z0"/>
    <w:rPr>
      <w:rFonts w:ascii="Symbol" w:hAnsi="Symbol" w:cs="Symbol"/>
    </w:rPr>
  </w:style>
  <w:style w:type="character" w:customStyle="1" w:styleId="WW8Num5z0">
    <w:name w:val="WW8Num5z0"/>
    <w:rPr>
      <w:rFonts w:ascii="Wingdings" w:hAnsi="Wingdings" w:cs="Wingdings"/>
    </w:rPr>
  </w:style>
  <w:style w:type="character" w:customStyle="1" w:styleId="WW8Num5z1">
    <w:name w:val="WW8Num5z1"/>
    <w:rPr>
      <w:rFonts w:ascii="Courier New" w:hAnsi="Courier New" w:cs="Courier New"/>
    </w:rPr>
  </w:style>
  <w:style w:type="character" w:customStyle="1" w:styleId="WW8Num5z3">
    <w:name w:val="WW8Num5z3"/>
    <w:rPr>
      <w:rFonts w:ascii="Symbol" w:hAnsi="Symbol" w:cs="Symbol"/>
    </w:rPr>
  </w:style>
  <w:style w:type="character" w:customStyle="1" w:styleId="WW8Num6z0">
    <w:name w:val="WW8Num6z0"/>
    <w:rPr>
      <w:rFonts w:ascii="Symbol" w:hAnsi="Symbol" w:cs="Symbol"/>
    </w:rPr>
  </w:style>
  <w:style w:type="character" w:customStyle="1" w:styleId="WW8Num6z1">
    <w:name w:val="WW8Num6z1"/>
    <w:rPr>
      <w:rFonts w:ascii="Courier New" w:hAnsi="Courier New" w:cs="Courier New"/>
    </w:rPr>
  </w:style>
  <w:style w:type="character" w:customStyle="1" w:styleId="WW8Num6z2">
    <w:name w:val="WW8Num6z2"/>
    <w:rPr>
      <w:rFonts w:ascii="Wingdings" w:hAnsi="Wingdings" w:cs="Wingdings"/>
    </w:rPr>
  </w:style>
  <w:style w:type="character" w:customStyle="1" w:styleId="WW8Num7z0">
    <w:name w:val="WW8Num7z0"/>
    <w:rPr>
      <w:rFonts w:ascii="Times New Roman" w:hAnsi="Times New Roman" w:cs="Times New Roman"/>
      <w:b/>
      <w:bCs/>
      <w:sz w:val="24"/>
      <w:szCs w:val="24"/>
    </w:rPr>
  </w:style>
  <w:style w:type="character" w:customStyle="1" w:styleId="WW8Num8z0">
    <w:name w:val="WW8Num8z0"/>
    <w:rPr>
      <w:rFonts w:ascii="Wingdings" w:hAnsi="Wingdings" w:cs="Wingdings"/>
    </w:rPr>
  </w:style>
  <w:style w:type="character" w:customStyle="1" w:styleId="WW8Num8z1">
    <w:name w:val="WW8Num8z1"/>
    <w:rPr>
      <w:rFonts w:ascii="Courier New" w:hAnsi="Courier New" w:cs="Courier New"/>
    </w:rPr>
  </w:style>
  <w:style w:type="character" w:customStyle="1" w:styleId="WW8Num8z3">
    <w:name w:val="WW8Num8z3"/>
    <w:rPr>
      <w:rFonts w:ascii="Symbol" w:hAnsi="Symbol" w:cs="Symbol"/>
    </w:rPr>
  </w:style>
  <w:style w:type="character" w:customStyle="1" w:styleId="WW8Num9z0">
    <w:name w:val="WW8Num9z0"/>
    <w:rPr>
      <w:rFonts w:cs="Times New Roman"/>
    </w:rPr>
  </w:style>
  <w:style w:type="character" w:customStyle="1" w:styleId="WW8Num10z0">
    <w:name w:val="WW8Num10z0"/>
    <w:rPr>
      <w:rFonts w:ascii="Wingdings" w:hAnsi="Wingdings" w:cs="Wingdings"/>
    </w:rPr>
  </w:style>
  <w:style w:type="character" w:customStyle="1" w:styleId="WW8Num10z1">
    <w:name w:val="WW8Num10z1"/>
    <w:rPr>
      <w:rFonts w:ascii="Courier New" w:hAnsi="Courier New" w:cs="Courier New"/>
    </w:rPr>
  </w:style>
  <w:style w:type="character" w:customStyle="1" w:styleId="WW8Num10z3">
    <w:name w:val="WW8Num10z3"/>
    <w:rPr>
      <w:rFonts w:ascii="Symbol" w:hAnsi="Symbol" w:cs="Symbol"/>
    </w:rPr>
  </w:style>
  <w:style w:type="character" w:customStyle="1" w:styleId="WW8Num11z0">
    <w:name w:val="WW8Num11z0"/>
    <w:rPr>
      <w:rFonts w:ascii="Wingdings" w:hAnsi="Wingdings" w:cs="Wingdings"/>
    </w:rPr>
  </w:style>
  <w:style w:type="character" w:customStyle="1" w:styleId="WW8Num11z1">
    <w:name w:val="WW8Num11z1"/>
    <w:rPr>
      <w:rFonts w:ascii="Courier New" w:hAnsi="Courier New" w:cs="Courier New"/>
    </w:rPr>
  </w:style>
  <w:style w:type="character" w:customStyle="1" w:styleId="WW8Num11z3">
    <w:name w:val="WW8Num11z3"/>
    <w:rPr>
      <w:rFonts w:ascii="Symbol" w:hAnsi="Symbol" w:cs="Symbol"/>
    </w:rPr>
  </w:style>
  <w:style w:type="character" w:customStyle="1" w:styleId="WW8Num12z0">
    <w:name w:val="WW8Num12z0"/>
    <w:rPr>
      <w:rFonts w:ascii="Wingdings" w:hAnsi="Wingdings" w:cs="Wingdings"/>
    </w:rPr>
  </w:style>
  <w:style w:type="character" w:customStyle="1" w:styleId="WW8Num12z1">
    <w:name w:val="WW8Num12z1"/>
    <w:rPr>
      <w:rFonts w:ascii="Symbol" w:eastAsia="Times New Roman" w:hAnsi="Symbol" w:cs="Arial"/>
    </w:rPr>
  </w:style>
  <w:style w:type="character" w:customStyle="1" w:styleId="WW8Num12z3">
    <w:name w:val="WW8Num12z3"/>
    <w:rPr>
      <w:rFonts w:ascii="Symbol" w:hAnsi="Symbol" w:cs="Symbol"/>
    </w:rPr>
  </w:style>
  <w:style w:type="character" w:customStyle="1" w:styleId="WW8Num12z4">
    <w:name w:val="WW8Num12z4"/>
    <w:rPr>
      <w:rFonts w:ascii="Courier New" w:hAnsi="Courier New" w:cs="Courier New"/>
    </w:rPr>
  </w:style>
  <w:style w:type="character" w:customStyle="1" w:styleId="WW8Num13z0">
    <w:name w:val="WW8Num13z0"/>
    <w:rPr>
      <w:b/>
    </w:rPr>
  </w:style>
  <w:style w:type="character" w:customStyle="1" w:styleId="WW8Num14z0">
    <w:name w:val="WW8Num14z0"/>
    <w:rPr>
      <w:rFonts w:ascii="Wingdings" w:hAnsi="Wingdings" w:cs="Wingdings"/>
    </w:rPr>
  </w:style>
  <w:style w:type="character" w:customStyle="1" w:styleId="WW8Num14z1">
    <w:name w:val="WW8Num14z1"/>
    <w:rPr>
      <w:rFonts w:ascii="Courier New" w:hAnsi="Courier New" w:cs="Courier New"/>
    </w:rPr>
  </w:style>
  <w:style w:type="character" w:customStyle="1" w:styleId="WW8Num14z3">
    <w:name w:val="WW8Num14z3"/>
    <w:rPr>
      <w:rFonts w:ascii="Symbol" w:hAnsi="Symbol" w:cs="Symbol"/>
    </w:rPr>
  </w:style>
  <w:style w:type="character" w:customStyle="1" w:styleId="WW8Num15z0">
    <w:name w:val="WW8Num15z0"/>
    <w:rPr>
      <w:rFonts w:ascii="Wingdings" w:hAnsi="Wingdings" w:cs="Wingdings"/>
    </w:rPr>
  </w:style>
  <w:style w:type="character" w:customStyle="1" w:styleId="WW8Num15z1">
    <w:name w:val="WW8Num15z1"/>
    <w:rPr>
      <w:rFonts w:ascii="Courier New" w:hAnsi="Courier New" w:cs="Courier New"/>
    </w:rPr>
  </w:style>
  <w:style w:type="character" w:customStyle="1" w:styleId="WW8Num15z3">
    <w:name w:val="WW8Num15z3"/>
    <w:rPr>
      <w:rFonts w:ascii="Symbol" w:hAnsi="Symbol" w:cs="Symbol"/>
    </w:rPr>
  </w:style>
  <w:style w:type="character" w:customStyle="1" w:styleId="WW8Num16z0">
    <w:name w:val="WW8Num16z0"/>
    <w:rPr>
      <w:rFonts w:cs="Times New Roman"/>
    </w:rPr>
  </w:style>
  <w:style w:type="character" w:customStyle="1" w:styleId="WW8Num17z0">
    <w:name w:val="WW8Num17z0"/>
    <w:rPr>
      <w:rFonts w:ascii="Wingdings" w:hAnsi="Wingdings" w:cs="Wingdings"/>
    </w:rPr>
  </w:style>
  <w:style w:type="character" w:customStyle="1" w:styleId="WW8Num17z1">
    <w:name w:val="WW8Num17z1"/>
    <w:rPr>
      <w:rFonts w:ascii="Courier New" w:hAnsi="Courier New" w:cs="Courier New"/>
    </w:rPr>
  </w:style>
  <w:style w:type="character" w:customStyle="1" w:styleId="WW8Num17z3">
    <w:name w:val="WW8Num17z3"/>
    <w:rPr>
      <w:rFonts w:ascii="Symbol" w:hAnsi="Symbol" w:cs="Symbol"/>
    </w:rPr>
  </w:style>
  <w:style w:type="character" w:customStyle="1" w:styleId="WW8Num18z0">
    <w:name w:val="WW8Num18z0"/>
    <w:rPr>
      <w:rFonts w:cs="Times New Roman"/>
    </w:rPr>
  </w:style>
  <w:style w:type="character" w:customStyle="1" w:styleId="WW8Num18z1">
    <w:name w:val="WW8Num18z1"/>
    <w:rPr>
      <w:rFonts w:cs="Times New Roman"/>
      <w:sz w:val="22"/>
      <w:szCs w:val="22"/>
    </w:rPr>
  </w:style>
  <w:style w:type="character" w:customStyle="1" w:styleId="WW8Num19z0">
    <w:name w:val="WW8Num19z0"/>
    <w:rPr>
      <w:b/>
    </w:rPr>
  </w:style>
  <w:style w:type="character" w:customStyle="1" w:styleId="WW8Num20z1">
    <w:name w:val="WW8Num20z1"/>
    <w:rPr>
      <w:b/>
    </w:rPr>
  </w:style>
  <w:style w:type="character" w:customStyle="1" w:styleId="WW8Num21z0">
    <w:name w:val="WW8Num21z0"/>
    <w:rPr>
      <w:rFonts w:cs="Times New Roman"/>
    </w:rPr>
  </w:style>
  <w:style w:type="character" w:customStyle="1" w:styleId="WW8Num22z0">
    <w:name w:val="WW8Num22z0"/>
    <w:rPr>
      <w:rFonts w:cs="Times New Roman"/>
    </w:rPr>
  </w:style>
  <w:style w:type="character" w:customStyle="1" w:styleId="WW8Num23z0">
    <w:name w:val="WW8Num23z0"/>
    <w:rPr>
      <w:rFonts w:ascii="Wingdings" w:hAnsi="Wingdings" w:cs="Wingdings"/>
    </w:rPr>
  </w:style>
  <w:style w:type="character" w:customStyle="1" w:styleId="WW8Num23z1">
    <w:name w:val="WW8Num23z1"/>
    <w:rPr>
      <w:rFonts w:ascii="Courier New" w:hAnsi="Courier New" w:cs="Courier New"/>
    </w:rPr>
  </w:style>
  <w:style w:type="character" w:customStyle="1" w:styleId="WW8Num23z3">
    <w:name w:val="WW8Num23z3"/>
    <w:rPr>
      <w:rFonts w:ascii="Symbol" w:hAnsi="Symbol" w:cs="Symbol"/>
    </w:rPr>
  </w:style>
  <w:style w:type="character" w:customStyle="1" w:styleId="WW8Num24z0">
    <w:name w:val="WW8Num24z0"/>
    <w:rPr>
      <w:rFonts w:cs="Times New Roman"/>
      <w:b/>
    </w:rPr>
  </w:style>
  <w:style w:type="character" w:customStyle="1" w:styleId="WW8Num24z1">
    <w:name w:val="WW8Num24z1"/>
    <w:rPr>
      <w:rFonts w:ascii="Courier New" w:hAnsi="Courier New" w:cs="Courier New"/>
    </w:rPr>
  </w:style>
  <w:style w:type="character" w:customStyle="1" w:styleId="WW8Num24z2">
    <w:name w:val="WW8Num24z2"/>
    <w:rPr>
      <w:rFonts w:ascii="Wingdings" w:hAnsi="Wingdings" w:cs="Wingdings"/>
    </w:rPr>
  </w:style>
  <w:style w:type="character" w:customStyle="1" w:styleId="WW8Num24z3">
    <w:name w:val="WW8Num24z3"/>
    <w:rPr>
      <w:rFonts w:ascii="Symbol" w:hAnsi="Symbol" w:cs="Symbol"/>
    </w:rPr>
  </w:style>
  <w:style w:type="character" w:customStyle="1" w:styleId="WW8Num25z0">
    <w:name w:val="WW8Num25z0"/>
    <w:rPr>
      <w:rFonts w:ascii="Wingdings" w:hAnsi="Wingdings" w:cs="Wingdings"/>
    </w:rPr>
  </w:style>
  <w:style w:type="character" w:customStyle="1" w:styleId="WW8Num25z1">
    <w:name w:val="WW8Num25z1"/>
    <w:rPr>
      <w:rFonts w:ascii="Courier New" w:hAnsi="Courier New" w:cs="Courier New"/>
    </w:rPr>
  </w:style>
  <w:style w:type="character" w:customStyle="1" w:styleId="WW8Num25z3">
    <w:name w:val="WW8Num25z3"/>
    <w:rPr>
      <w:rFonts w:ascii="Symbol" w:hAnsi="Symbol" w:cs="Symbol"/>
    </w:rPr>
  </w:style>
  <w:style w:type="character" w:customStyle="1" w:styleId="WW8Num26z0">
    <w:name w:val="WW8Num26z0"/>
    <w:rPr>
      <w:rFonts w:ascii="Wingdings" w:hAnsi="Wingdings" w:cs="Wingdings"/>
    </w:rPr>
  </w:style>
  <w:style w:type="character" w:customStyle="1" w:styleId="WW8Num26z1">
    <w:name w:val="WW8Num26z1"/>
    <w:rPr>
      <w:rFonts w:ascii="Courier New" w:hAnsi="Courier New" w:cs="Courier New"/>
    </w:rPr>
  </w:style>
  <w:style w:type="character" w:customStyle="1" w:styleId="WW8Num26z3">
    <w:name w:val="WW8Num26z3"/>
    <w:rPr>
      <w:rFonts w:ascii="Symbol" w:hAnsi="Symbol" w:cs="Symbol"/>
    </w:rPr>
  </w:style>
  <w:style w:type="character" w:customStyle="1" w:styleId="WW8Num27z0">
    <w:name w:val="WW8Num27z0"/>
    <w:rPr>
      <w:rFonts w:cs="Times New Roman"/>
    </w:rPr>
  </w:style>
  <w:style w:type="character" w:customStyle="1" w:styleId="Fuentedeprrafopredeter1">
    <w:name w:val="Fuente de párrafo predeter.1"/>
  </w:style>
  <w:style w:type="character" w:customStyle="1" w:styleId="TextodegloboCar">
    <w:name w:val="Texto de globo Car"/>
    <w:basedOn w:val="Fuentedeprrafopredeter1"/>
    <w:rPr>
      <w:rFonts w:ascii="Tahoma" w:eastAsia="Times New Roman" w:hAnsi="Tahoma" w:cs="Tahoma"/>
      <w:sz w:val="16"/>
      <w:szCs w:val="16"/>
      <w:lang w:val="es-ES"/>
    </w:rPr>
  </w:style>
  <w:style w:type="character" w:customStyle="1" w:styleId="EncabezadoCar">
    <w:name w:val="Encabezado Car"/>
    <w:basedOn w:val="Fuentedeprrafopredeter1"/>
    <w:rPr>
      <w:rFonts w:ascii="Times New Roman" w:eastAsia="Times New Roman" w:hAnsi="Times New Roman" w:cs="Times New Roman"/>
      <w:sz w:val="24"/>
      <w:szCs w:val="20"/>
      <w:lang w:val="es-ES"/>
    </w:rPr>
  </w:style>
  <w:style w:type="character" w:customStyle="1" w:styleId="PiedepginaCar">
    <w:name w:val="Pie de página Car"/>
    <w:basedOn w:val="Fuentedeprrafopredeter1"/>
    <w:rPr>
      <w:rFonts w:ascii="Times New Roman" w:eastAsia="Times New Roman" w:hAnsi="Times New Roman" w:cs="Times New Roman"/>
      <w:sz w:val="24"/>
      <w:szCs w:val="20"/>
      <w:lang w:val="es-ES"/>
    </w:rPr>
  </w:style>
  <w:style w:type="character" w:customStyle="1" w:styleId="TextoindependienteCar">
    <w:name w:val="Texto independiente Car"/>
    <w:basedOn w:val="Fuentedeprrafopredeter1"/>
    <w:rPr>
      <w:rFonts w:ascii="Times New Roman" w:eastAsia="Times New Roman" w:hAnsi="Times New Roman" w:cs="Times New Roman"/>
      <w:sz w:val="24"/>
      <w:szCs w:val="24"/>
    </w:rPr>
  </w:style>
  <w:style w:type="character" w:customStyle="1" w:styleId="Ttulo1Car">
    <w:name w:val="Título 1 Car"/>
    <w:basedOn w:val="Fuentedeprrafopredeter1"/>
    <w:rPr>
      <w:rFonts w:ascii="Arial" w:eastAsia="Times New Roman" w:hAnsi="Arial" w:cs="Times New Roman"/>
      <w:sz w:val="28"/>
      <w:szCs w:val="24"/>
      <w:lang w:val="es-ES"/>
    </w:rPr>
  </w:style>
  <w:style w:type="character" w:customStyle="1" w:styleId="Ttulo2Car">
    <w:name w:val="Título 2 Car"/>
    <w:basedOn w:val="Fuentedeprrafopredeter1"/>
    <w:rPr>
      <w:rFonts w:ascii="Arial" w:eastAsia="Times New Roman" w:hAnsi="Arial" w:cs="Times New Roman"/>
      <w:b/>
      <w:bCs/>
      <w:i/>
      <w:iCs/>
      <w:sz w:val="28"/>
      <w:szCs w:val="28"/>
      <w:lang w:val="es-ES"/>
    </w:rPr>
  </w:style>
  <w:style w:type="character" w:customStyle="1" w:styleId="Ttulo3Car">
    <w:name w:val="Título 3 Car"/>
    <w:basedOn w:val="Fuentedeprrafopredeter1"/>
    <w:rPr>
      <w:rFonts w:ascii="Arial" w:eastAsia="Times New Roman" w:hAnsi="Arial" w:cs="Times New Roman"/>
      <w:b/>
      <w:lang w:val="es-ES"/>
    </w:rPr>
  </w:style>
  <w:style w:type="character" w:customStyle="1" w:styleId="SangradetextonormalCar">
    <w:name w:val="Sangría de texto normal Car"/>
    <w:basedOn w:val="Fuentedeprrafopredeter1"/>
    <w:rPr>
      <w:rFonts w:ascii="Times New Roman" w:eastAsia="Times New Roman" w:hAnsi="Times New Roman" w:cs="Times New Roman"/>
      <w:sz w:val="24"/>
      <w:szCs w:val="24"/>
      <w:lang w:val="es-ES"/>
    </w:rPr>
  </w:style>
  <w:style w:type="character" w:customStyle="1" w:styleId="Textoindependiente2Car">
    <w:name w:val="Texto independiente 2 Car"/>
    <w:basedOn w:val="Fuentedeprrafopredeter1"/>
    <w:rPr>
      <w:rFonts w:ascii="Arial" w:eastAsia="Times New Roman" w:hAnsi="Arial" w:cs="Times New Roman"/>
      <w:lang w:val="es-ES"/>
    </w:rPr>
  </w:style>
  <w:style w:type="character" w:styleId="Hipervnculo">
    <w:name w:val="Hyperlink"/>
    <w:rPr>
      <w:color w:val="0000FF"/>
      <w:u w:val="single"/>
    </w:rPr>
  </w:style>
  <w:style w:type="character" w:customStyle="1" w:styleId="Sangra2detindependienteCar">
    <w:name w:val="Sangría 2 de t. independiente Car"/>
    <w:basedOn w:val="Fuentedeprrafopredeter1"/>
    <w:rPr>
      <w:rFonts w:ascii="Arial" w:eastAsia="Times New Roman" w:hAnsi="Arial" w:cs="Times New Roman"/>
      <w:lang w:val="es-ES"/>
    </w:rPr>
  </w:style>
  <w:style w:type="character" w:customStyle="1" w:styleId="Sangra3detindependienteCar">
    <w:name w:val="Sangría 3 de t. independiente Car"/>
    <w:basedOn w:val="Fuentedeprrafopredeter1"/>
    <w:rPr>
      <w:rFonts w:ascii="Arial" w:eastAsia="Times New Roman" w:hAnsi="Arial" w:cs="Times New Roman"/>
      <w:sz w:val="16"/>
      <w:szCs w:val="16"/>
      <w:lang w:val="es-ES"/>
    </w:rPr>
  </w:style>
  <w:style w:type="character" w:customStyle="1" w:styleId="Textoindependiente3Car">
    <w:name w:val="Texto independiente 3 Car"/>
    <w:basedOn w:val="Fuentedeprrafopredeter1"/>
    <w:rPr>
      <w:rFonts w:ascii="Arial" w:eastAsia="Times New Roman" w:hAnsi="Arial" w:cs="Times New Roman"/>
      <w:sz w:val="16"/>
      <w:szCs w:val="16"/>
      <w:lang w:val="es-ES"/>
    </w:rPr>
  </w:style>
  <w:style w:type="character" w:customStyle="1" w:styleId="EncabezadodemensajeCar">
    <w:name w:val="Encabezado de mensaje Car"/>
    <w:basedOn w:val="Fuentedeprrafopredeter1"/>
    <w:rPr>
      <w:rFonts w:ascii="Arial" w:eastAsia="Times New Roman" w:hAnsi="Arial" w:cs="Arial"/>
      <w:sz w:val="24"/>
      <w:szCs w:val="24"/>
      <w:shd w:val="clear" w:color="auto" w:fill="CCCCCC"/>
      <w:lang w:val="es-ES"/>
    </w:rPr>
  </w:style>
  <w:style w:type="character" w:customStyle="1" w:styleId="SaludoCar">
    <w:name w:val="Saludo Car"/>
    <w:basedOn w:val="Fuentedeprrafopredeter1"/>
    <w:rPr>
      <w:rFonts w:ascii="Arial" w:eastAsia="Times New Roman" w:hAnsi="Arial" w:cs="Times New Roman"/>
      <w:lang w:val="es-ES"/>
    </w:rPr>
  </w:style>
  <w:style w:type="character" w:customStyle="1" w:styleId="CierreCar">
    <w:name w:val="Cierre Car"/>
    <w:basedOn w:val="Fuentedeprrafopredeter1"/>
    <w:rPr>
      <w:rFonts w:ascii="Arial" w:eastAsia="Times New Roman" w:hAnsi="Arial" w:cs="Times New Roman"/>
      <w:lang w:val="es-ES"/>
    </w:rPr>
  </w:style>
  <w:style w:type="character" w:customStyle="1" w:styleId="FechaCar">
    <w:name w:val="Fecha Car"/>
    <w:basedOn w:val="Fuentedeprrafopredeter1"/>
    <w:rPr>
      <w:rFonts w:ascii="Arial" w:eastAsia="Times New Roman" w:hAnsi="Arial" w:cs="Times New Roman"/>
      <w:lang w:val="es-ES"/>
    </w:rPr>
  </w:style>
  <w:style w:type="character" w:customStyle="1" w:styleId="FirmaCar">
    <w:name w:val="Firma Car"/>
    <w:basedOn w:val="Fuentedeprrafopredeter1"/>
    <w:rPr>
      <w:rFonts w:ascii="Arial" w:eastAsia="Times New Roman" w:hAnsi="Arial" w:cs="Times New Roman"/>
      <w:lang w:val="es-ES"/>
    </w:rPr>
  </w:style>
  <w:style w:type="character" w:customStyle="1" w:styleId="TextoindependienteprimerasangraCar">
    <w:name w:val="Texto independiente primera sangría Car"/>
    <w:basedOn w:val="TextoindependienteCar"/>
    <w:rPr>
      <w:rFonts w:ascii="Arial" w:hAnsi="Arial" w:cs="Arial"/>
      <w:lang w:val="es-ES"/>
    </w:rPr>
  </w:style>
  <w:style w:type="character" w:customStyle="1" w:styleId="Textoindependienteprimerasangra2Car">
    <w:name w:val="Texto independiente primera sangría 2 Car"/>
    <w:basedOn w:val="SangradetextonormalCar"/>
    <w:rPr>
      <w:rFonts w:ascii="Arial" w:hAnsi="Arial" w:cs="Arial"/>
    </w:rPr>
  </w:style>
  <w:style w:type="character" w:customStyle="1" w:styleId="TtuloCar">
    <w:name w:val="Título Car"/>
    <w:basedOn w:val="Fuentedeprrafopredeter1"/>
    <w:rPr>
      <w:rFonts w:ascii="Arial" w:eastAsia="Times New Roman" w:hAnsi="Arial" w:cs="Times New Roman"/>
      <w:b/>
      <w:sz w:val="32"/>
      <w:szCs w:val="20"/>
      <w:lang w:val="es-MX"/>
    </w:rPr>
  </w:style>
  <w:style w:type="character" w:customStyle="1" w:styleId="SubttuloCar">
    <w:name w:val="Subtítulo Car"/>
    <w:basedOn w:val="Fuentedeprrafopredeter1"/>
    <w:rPr>
      <w:rFonts w:ascii="Cambria" w:eastAsia="Times New Roman" w:hAnsi="Cambria" w:cs="Times New Roman"/>
      <w:sz w:val="24"/>
      <w:szCs w:val="24"/>
      <w:lang w:val="es-ES"/>
    </w:rPr>
  </w:style>
  <w:style w:type="character" w:customStyle="1" w:styleId="ecxapple-style-span">
    <w:name w:val="ecxapple-style-span"/>
    <w:basedOn w:val="Fuentedeprrafopredeter1"/>
  </w:style>
  <w:style w:type="character" w:customStyle="1" w:styleId="ecxapple-converted-space">
    <w:name w:val="ecxapple-converted-space"/>
    <w:basedOn w:val="Fuentedeprrafopredeter1"/>
  </w:style>
  <w:style w:type="character" w:styleId="Nmerodepgina">
    <w:name w:val="page number"/>
    <w:rPr>
      <w:rFonts w:cs="Times New Roman"/>
    </w:rPr>
  </w:style>
  <w:style w:type="character" w:customStyle="1" w:styleId="Caracteresdenotaalpie">
    <w:name w:val="Caracteres de nota al pie"/>
    <w:rPr>
      <w:rFonts w:cs="Times New Roman"/>
      <w:vertAlign w:val="superscript"/>
    </w:rPr>
  </w:style>
  <w:style w:type="character" w:styleId="Ttulodellibro">
    <w:name w:val="Book Title"/>
    <w:qFormat/>
    <w:rPr>
      <w:rFonts w:cs="Times New Roman"/>
      <w:b/>
      <w:bCs/>
      <w:smallCaps/>
      <w:spacing w:val="5"/>
    </w:rPr>
  </w:style>
  <w:style w:type="character" w:styleId="Hipervnculovisitado">
    <w:name w:val="FollowedHyperlink"/>
    <w:rPr>
      <w:color w:val="800080"/>
      <w:u w:val="single"/>
    </w:rPr>
  </w:style>
  <w:style w:type="character" w:customStyle="1" w:styleId="TextonotaalfinalCar">
    <w:name w:val="Texto nota al final Car"/>
    <w:basedOn w:val="Fuentedeprrafopredeter1"/>
    <w:rPr>
      <w:rFonts w:ascii="Times New Roman" w:eastAsia="Times New Roman" w:hAnsi="Times New Roman" w:cs="Times New Roman"/>
      <w:sz w:val="20"/>
      <w:szCs w:val="20"/>
      <w:lang w:val="es-ES"/>
    </w:rPr>
  </w:style>
  <w:style w:type="character" w:customStyle="1" w:styleId="Caracteresdenotafinal">
    <w:name w:val="Caracteres de nota final"/>
    <w:rPr>
      <w:vertAlign w:val="superscript"/>
    </w:rPr>
  </w:style>
  <w:style w:type="character" w:customStyle="1" w:styleId="TextonotapieCar">
    <w:name w:val="Texto nota pie Car"/>
    <w:basedOn w:val="Fuentedeprrafopredeter1"/>
    <w:rPr>
      <w:rFonts w:ascii="Times New Roman" w:eastAsia="Times New Roman" w:hAnsi="Times New Roman" w:cs="Times New Roman"/>
      <w:sz w:val="20"/>
      <w:szCs w:val="20"/>
      <w:lang w:val="es-ES"/>
    </w:rPr>
  </w:style>
  <w:style w:type="character" w:styleId="Refdenotaalpie">
    <w:name w:val="footnote reference"/>
    <w:rPr>
      <w:vertAlign w:val="superscript"/>
    </w:rPr>
  </w:style>
  <w:style w:type="character" w:styleId="Refdenotaalfinal">
    <w:name w:val="endnote reference"/>
    <w:rPr>
      <w:vertAlign w:val="superscript"/>
    </w:rPr>
  </w:style>
  <w:style w:type="paragraph" w:customStyle="1" w:styleId="Encabezado1">
    <w:name w:val="Encabezado1"/>
    <w:basedOn w:val="Normal"/>
    <w:next w:val="Textoindependiente"/>
    <w:pPr>
      <w:jc w:val="center"/>
    </w:pPr>
    <w:rPr>
      <w:rFonts w:ascii="Arial" w:hAnsi="Arial" w:cs="Arial"/>
      <w:b/>
      <w:sz w:val="32"/>
      <w:lang w:val="es-MX"/>
    </w:rPr>
  </w:style>
  <w:style w:type="paragraph" w:styleId="Textoindependiente">
    <w:name w:val="Body Text"/>
    <w:basedOn w:val="Normal"/>
    <w:pPr>
      <w:spacing w:after="120"/>
    </w:pPr>
    <w:rPr>
      <w:szCs w:val="24"/>
      <w:lang w:val="es-CO"/>
    </w:rPr>
  </w:style>
  <w:style w:type="paragraph" w:styleId="Lista">
    <w:name w:val="List"/>
    <w:basedOn w:val="Normal"/>
    <w:pPr>
      <w:ind w:left="283" w:hanging="283"/>
    </w:pPr>
    <w:rPr>
      <w:rFonts w:ascii="Arial" w:hAnsi="Arial" w:cs="Arial"/>
      <w:sz w:val="22"/>
      <w:szCs w:val="22"/>
    </w:rPr>
  </w:style>
  <w:style w:type="paragraph" w:customStyle="1" w:styleId="Etiqueta">
    <w:name w:val="Etiqueta"/>
    <w:basedOn w:val="Normal"/>
    <w:pPr>
      <w:suppressLineNumbers/>
      <w:spacing w:before="120" w:after="120"/>
    </w:pPr>
    <w:rPr>
      <w:rFonts w:cs="Mangal"/>
      <w:i/>
      <w:iCs/>
      <w:szCs w:val="24"/>
    </w:rPr>
  </w:style>
  <w:style w:type="paragraph" w:customStyle="1" w:styleId="ndice">
    <w:name w:val="Índice"/>
    <w:basedOn w:val="Normal"/>
    <w:pPr>
      <w:suppressLineNumbers/>
    </w:pPr>
    <w:rPr>
      <w:rFonts w:cs="Mangal"/>
    </w:rPr>
  </w:style>
  <w:style w:type="paragraph" w:styleId="Textodeglobo">
    <w:name w:val="Balloon Text"/>
    <w:basedOn w:val="Normal"/>
    <w:rPr>
      <w:rFonts w:ascii="Tahoma" w:hAnsi="Tahoma" w:cs="Tahoma"/>
      <w:sz w:val="16"/>
      <w:szCs w:val="16"/>
    </w:rPr>
  </w:style>
  <w:style w:type="paragraph" w:styleId="Encabezado">
    <w:name w:val="header"/>
    <w:basedOn w:val="Normal"/>
  </w:style>
  <w:style w:type="paragraph" w:styleId="Piedepgina">
    <w:name w:val="footer"/>
    <w:basedOn w:val="Normal"/>
  </w:style>
  <w:style w:type="paragraph" w:styleId="Sangradetextonormal">
    <w:name w:val="Body Text Indent"/>
    <w:basedOn w:val="Normal"/>
    <w:pPr>
      <w:ind w:left="540"/>
      <w:jc w:val="both"/>
    </w:pPr>
    <w:rPr>
      <w:szCs w:val="24"/>
    </w:rPr>
  </w:style>
  <w:style w:type="paragraph" w:customStyle="1" w:styleId="Textoindependiente21">
    <w:name w:val="Texto independiente 21"/>
    <w:basedOn w:val="Normal"/>
    <w:pPr>
      <w:spacing w:after="120" w:line="480" w:lineRule="auto"/>
    </w:pPr>
    <w:rPr>
      <w:rFonts w:ascii="Arial" w:hAnsi="Arial" w:cs="Arial"/>
      <w:sz w:val="22"/>
      <w:szCs w:val="22"/>
    </w:rPr>
  </w:style>
  <w:style w:type="paragraph" w:customStyle="1" w:styleId="Sangra2detindependiente1">
    <w:name w:val="Sangría 2 de t. independiente1"/>
    <w:basedOn w:val="Normal"/>
    <w:pPr>
      <w:spacing w:after="120" w:line="480" w:lineRule="auto"/>
      <w:ind w:left="283"/>
    </w:pPr>
    <w:rPr>
      <w:rFonts w:ascii="Arial" w:hAnsi="Arial" w:cs="Arial"/>
      <w:sz w:val="22"/>
      <w:szCs w:val="22"/>
    </w:rPr>
  </w:style>
  <w:style w:type="paragraph" w:customStyle="1" w:styleId="Sangra3detindependiente1">
    <w:name w:val="Sangría 3 de t. independiente1"/>
    <w:basedOn w:val="Normal"/>
    <w:pPr>
      <w:spacing w:after="120"/>
      <w:ind w:left="283"/>
    </w:pPr>
    <w:rPr>
      <w:rFonts w:ascii="Arial" w:hAnsi="Arial" w:cs="Arial"/>
      <w:sz w:val="16"/>
      <w:szCs w:val="16"/>
    </w:rPr>
  </w:style>
  <w:style w:type="paragraph" w:customStyle="1" w:styleId="Textoindependiente31">
    <w:name w:val="Texto independiente 31"/>
    <w:basedOn w:val="Normal"/>
    <w:pPr>
      <w:spacing w:after="120"/>
    </w:pPr>
    <w:rPr>
      <w:rFonts w:ascii="Arial" w:hAnsi="Arial" w:cs="Arial"/>
      <w:sz w:val="16"/>
      <w:szCs w:val="16"/>
    </w:rPr>
  </w:style>
  <w:style w:type="paragraph" w:customStyle="1" w:styleId="Lista21">
    <w:name w:val="Lista 21"/>
    <w:basedOn w:val="Normal"/>
    <w:pPr>
      <w:ind w:left="566" w:hanging="283"/>
    </w:pPr>
    <w:rPr>
      <w:rFonts w:ascii="Arial" w:hAnsi="Arial" w:cs="Arial"/>
      <w:sz w:val="22"/>
      <w:szCs w:val="22"/>
    </w:rPr>
  </w:style>
  <w:style w:type="paragraph" w:customStyle="1" w:styleId="Lista31">
    <w:name w:val="Lista 31"/>
    <w:basedOn w:val="Normal"/>
    <w:pPr>
      <w:ind w:left="849" w:hanging="283"/>
    </w:pPr>
    <w:rPr>
      <w:rFonts w:ascii="Arial" w:hAnsi="Arial" w:cs="Arial"/>
      <w:sz w:val="22"/>
      <w:szCs w:val="22"/>
    </w:rPr>
  </w:style>
  <w:style w:type="paragraph" w:customStyle="1" w:styleId="Lista41">
    <w:name w:val="Lista 41"/>
    <w:basedOn w:val="Normal"/>
    <w:pPr>
      <w:ind w:left="1132" w:hanging="283"/>
    </w:pPr>
    <w:rPr>
      <w:rFonts w:ascii="Arial" w:hAnsi="Arial" w:cs="Arial"/>
      <w:sz w:val="22"/>
      <w:szCs w:val="22"/>
    </w:rPr>
  </w:style>
  <w:style w:type="paragraph" w:customStyle="1" w:styleId="Encabezadodemensaje1">
    <w:name w:val="Encabezado de mensaje1"/>
    <w:basedOn w:val="Normal"/>
    <w:pPr>
      <w:shd w:val="clear" w:color="auto" w:fill="CCCCCC"/>
      <w:ind w:left="1134" w:hanging="1134"/>
    </w:pPr>
    <w:rPr>
      <w:rFonts w:ascii="Arial" w:hAnsi="Arial" w:cs="Arial"/>
      <w:szCs w:val="24"/>
    </w:rPr>
  </w:style>
  <w:style w:type="paragraph" w:customStyle="1" w:styleId="Saludo1">
    <w:name w:val="Saludo1"/>
    <w:basedOn w:val="Normal"/>
    <w:next w:val="Normal"/>
    <w:rPr>
      <w:rFonts w:ascii="Arial" w:hAnsi="Arial" w:cs="Arial"/>
      <w:sz w:val="22"/>
      <w:szCs w:val="22"/>
    </w:rPr>
  </w:style>
  <w:style w:type="paragraph" w:customStyle="1" w:styleId="Cierre1">
    <w:name w:val="Cierre1"/>
    <w:basedOn w:val="Normal"/>
    <w:pPr>
      <w:ind w:left="4252"/>
    </w:pPr>
    <w:rPr>
      <w:rFonts w:ascii="Arial" w:hAnsi="Arial" w:cs="Arial"/>
      <w:sz w:val="22"/>
      <w:szCs w:val="22"/>
    </w:rPr>
  </w:style>
  <w:style w:type="paragraph" w:customStyle="1" w:styleId="Fecha1">
    <w:name w:val="Fecha1"/>
    <w:basedOn w:val="Normal"/>
    <w:next w:val="Normal"/>
    <w:rPr>
      <w:rFonts w:ascii="Arial" w:hAnsi="Arial" w:cs="Arial"/>
      <w:sz w:val="22"/>
      <w:szCs w:val="22"/>
    </w:rPr>
  </w:style>
  <w:style w:type="paragraph" w:customStyle="1" w:styleId="Listaconvietas1">
    <w:name w:val="Lista con viñetas1"/>
    <w:basedOn w:val="Normal"/>
    <w:rPr>
      <w:rFonts w:ascii="Arial" w:hAnsi="Arial" w:cs="Arial"/>
      <w:sz w:val="22"/>
      <w:szCs w:val="22"/>
    </w:rPr>
  </w:style>
  <w:style w:type="paragraph" w:customStyle="1" w:styleId="Listaconvietas21">
    <w:name w:val="Lista con viñetas 21"/>
    <w:basedOn w:val="Normal"/>
    <w:rPr>
      <w:rFonts w:ascii="Arial" w:hAnsi="Arial" w:cs="Arial"/>
      <w:sz w:val="22"/>
      <w:szCs w:val="22"/>
    </w:rPr>
  </w:style>
  <w:style w:type="paragraph" w:customStyle="1" w:styleId="Listaconvietas31">
    <w:name w:val="Lista con viñetas 31"/>
    <w:basedOn w:val="Normal"/>
    <w:rPr>
      <w:rFonts w:ascii="Arial" w:hAnsi="Arial" w:cs="Arial"/>
      <w:sz w:val="22"/>
      <w:szCs w:val="22"/>
    </w:rPr>
  </w:style>
  <w:style w:type="paragraph" w:customStyle="1" w:styleId="ListaCC">
    <w:name w:val="Lista CC."/>
    <w:basedOn w:val="Normal"/>
    <w:rPr>
      <w:rFonts w:ascii="Arial" w:hAnsi="Arial" w:cs="Arial"/>
      <w:sz w:val="22"/>
      <w:szCs w:val="22"/>
    </w:rPr>
  </w:style>
  <w:style w:type="paragraph" w:customStyle="1" w:styleId="Continuarlista1">
    <w:name w:val="Continuar lista1"/>
    <w:basedOn w:val="Normal"/>
    <w:pPr>
      <w:spacing w:after="120"/>
      <w:ind w:left="283"/>
    </w:pPr>
    <w:rPr>
      <w:rFonts w:ascii="Arial" w:hAnsi="Arial" w:cs="Arial"/>
      <w:sz w:val="22"/>
      <w:szCs w:val="22"/>
    </w:rPr>
  </w:style>
  <w:style w:type="paragraph" w:styleId="Firma">
    <w:name w:val="Signature"/>
    <w:basedOn w:val="Normal"/>
    <w:pPr>
      <w:ind w:left="4252"/>
    </w:pPr>
    <w:rPr>
      <w:rFonts w:ascii="Arial" w:hAnsi="Arial" w:cs="Arial"/>
      <w:sz w:val="22"/>
      <w:szCs w:val="22"/>
    </w:rPr>
  </w:style>
  <w:style w:type="paragraph" w:customStyle="1" w:styleId="Firmapuesto">
    <w:name w:val="Firma puesto"/>
    <w:basedOn w:val="Firma"/>
  </w:style>
  <w:style w:type="paragraph" w:customStyle="1" w:styleId="Firmaorganizacin">
    <w:name w:val="Firma organización"/>
    <w:basedOn w:val="Firma"/>
  </w:style>
  <w:style w:type="paragraph" w:customStyle="1" w:styleId="Infodocumentosadjuntos">
    <w:name w:val="Info documentos adjuntos"/>
    <w:basedOn w:val="Normal"/>
    <w:rPr>
      <w:rFonts w:ascii="Arial" w:hAnsi="Arial" w:cs="Arial"/>
      <w:sz w:val="22"/>
      <w:szCs w:val="22"/>
    </w:rPr>
  </w:style>
  <w:style w:type="paragraph" w:customStyle="1" w:styleId="Textoindependienteprimerasangra1">
    <w:name w:val="Texto independiente primera sangría1"/>
    <w:basedOn w:val="Textoindependiente"/>
    <w:pPr>
      <w:ind w:firstLine="210"/>
    </w:pPr>
    <w:rPr>
      <w:rFonts w:ascii="Arial" w:hAnsi="Arial" w:cs="Arial"/>
      <w:sz w:val="22"/>
      <w:szCs w:val="22"/>
      <w:lang w:val="es-ES"/>
    </w:rPr>
  </w:style>
  <w:style w:type="paragraph" w:customStyle="1" w:styleId="Textoindependienteprimerasangra21">
    <w:name w:val="Texto independiente primera sangría 21"/>
    <w:basedOn w:val="Sangradetextonormal"/>
    <w:pPr>
      <w:spacing w:after="120"/>
      <w:ind w:left="283" w:firstLine="210"/>
      <w:jc w:val="left"/>
    </w:pPr>
    <w:rPr>
      <w:rFonts w:ascii="Arial" w:hAnsi="Arial" w:cs="Arial"/>
      <w:sz w:val="22"/>
      <w:szCs w:val="22"/>
    </w:rPr>
  </w:style>
  <w:style w:type="paragraph" w:styleId="Prrafodelista">
    <w:name w:val="List Paragraph"/>
    <w:basedOn w:val="Normal"/>
    <w:qFormat/>
    <w:pPr>
      <w:ind w:left="708"/>
    </w:pPr>
    <w:rPr>
      <w:rFonts w:ascii="Arial" w:hAnsi="Arial" w:cs="Arial"/>
      <w:sz w:val="22"/>
      <w:szCs w:val="22"/>
    </w:rPr>
  </w:style>
  <w:style w:type="paragraph" w:styleId="Subttulo">
    <w:name w:val="Subtitle"/>
    <w:basedOn w:val="Normal"/>
    <w:next w:val="Normal"/>
    <w:qFormat/>
    <w:pPr>
      <w:spacing w:after="60"/>
      <w:jc w:val="center"/>
    </w:pPr>
    <w:rPr>
      <w:rFonts w:ascii="Cambria" w:hAnsi="Cambria" w:cs="Cambria"/>
      <w:szCs w:val="24"/>
    </w:rPr>
  </w:style>
  <w:style w:type="paragraph" w:styleId="Sinespaciado">
    <w:name w:val="No Spacing"/>
    <w:qFormat/>
    <w:pPr>
      <w:suppressAutoHyphens/>
    </w:pPr>
    <w:rPr>
      <w:rFonts w:ascii="Calibri" w:eastAsia="Calibri" w:hAnsi="Calibri"/>
      <w:sz w:val="22"/>
      <w:szCs w:val="22"/>
      <w:lang w:eastAsia="ar-SA"/>
    </w:rPr>
  </w:style>
  <w:style w:type="paragraph" w:customStyle="1" w:styleId="ecxecxmsonormal">
    <w:name w:val="ecxecxmsonormal"/>
    <w:basedOn w:val="Normal"/>
    <w:pPr>
      <w:spacing w:after="324"/>
    </w:pPr>
    <w:rPr>
      <w:szCs w:val="24"/>
      <w:lang w:val="es-CO"/>
    </w:rPr>
  </w:style>
  <w:style w:type="paragraph" w:customStyle="1" w:styleId="ecxmsonormal">
    <w:name w:val="ecxmsonormal"/>
    <w:basedOn w:val="Normal"/>
    <w:pPr>
      <w:spacing w:after="324"/>
    </w:pPr>
    <w:rPr>
      <w:szCs w:val="24"/>
      <w:lang w:val="es-CO"/>
    </w:rPr>
  </w:style>
  <w:style w:type="paragraph" w:customStyle="1" w:styleId="xl24">
    <w:name w:val="xl24"/>
    <w:basedOn w:val="Normal"/>
    <w:pPr>
      <w:spacing w:before="280" w:after="280"/>
      <w:jc w:val="both"/>
    </w:pPr>
    <w:rPr>
      <w:rFonts w:ascii="Arial" w:eastAsia="Arial Unicode MS" w:hAnsi="Arial" w:cs="Arial"/>
      <w:szCs w:val="24"/>
    </w:rPr>
  </w:style>
  <w:style w:type="paragraph" w:customStyle="1" w:styleId="xl25">
    <w:name w:val="xl25"/>
    <w:basedOn w:val="Normal"/>
    <w:pPr>
      <w:spacing w:before="280" w:after="280"/>
    </w:pPr>
    <w:rPr>
      <w:rFonts w:ascii="Arial" w:eastAsia="Arial Unicode MS" w:hAnsi="Arial" w:cs="Arial"/>
      <w:szCs w:val="24"/>
    </w:rPr>
  </w:style>
  <w:style w:type="paragraph" w:customStyle="1" w:styleId="xl26">
    <w:name w:val="xl26"/>
    <w:basedOn w:val="Normal"/>
    <w:pPr>
      <w:spacing w:before="280" w:after="280"/>
    </w:pPr>
    <w:rPr>
      <w:rFonts w:ascii="Arial" w:eastAsia="Arial Unicode MS" w:hAnsi="Arial" w:cs="Arial"/>
      <w:b/>
      <w:bCs/>
      <w:szCs w:val="24"/>
    </w:rPr>
  </w:style>
  <w:style w:type="paragraph" w:customStyle="1" w:styleId="xl27">
    <w:name w:val="xl27"/>
    <w:basedOn w:val="Normal"/>
    <w:pPr>
      <w:spacing w:before="280" w:after="280"/>
      <w:jc w:val="center"/>
    </w:pPr>
    <w:rPr>
      <w:rFonts w:ascii="Arial" w:eastAsia="Arial Unicode MS" w:hAnsi="Arial" w:cs="Arial"/>
      <w:b/>
      <w:bCs/>
      <w:szCs w:val="24"/>
    </w:rPr>
  </w:style>
  <w:style w:type="paragraph" w:customStyle="1" w:styleId="xl28">
    <w:name w:val="xl28"/>
    <w:basedOn w:val="Normal"/>
    <w:pPr>
      <w:spacing w:before="280" w:after="280"/>
    </w:pPr>
    <w:rPr>
      <w:rFonts w:ascii="Arial" w:eastAsia="Arial Unicode MS" w:hAnsi="Arial" w:cs="Arial"/>
      <w:szCs w:val="24"/>
    </w:rPr>
  </w:style>
  <w:style w:type="paragraph" w:customStyle="1" w:styleId="xl29">
    <w:name w:val="xl29"/>
    <w:basedOn w:val="Normal"/>
    <w:pPr>
      <w:shd w:val="clear" w:color="auto" w:fill="FFFFFF"/>
      <w:spacing w:before="280" w:after="280"/>
    </w:pPr>
    <w:rPr>
      <w:rFonts w:ascii="Arial" w:eastAsia="Arial Unicode MS" w:hAnsi="Arial" w:cs="Arial"/>
      <w:szCs w:val="24"/>
    </w:rPr>
  </w:style>
  <w:style w:type="paragraph" w:customStyle="1" w:styleId="xl30">
    <w:name w:val="xl30"/>
    <w:basedOn w:val="Normal"/>
    <w:pPr>
      <w:shd w:val="clear" w:color="auto" w:fill="FFFFFF"/>
      <w:spacing w:before="280" w:after="280"/>
      <w:jc w:val="right"/>
    </w:pPr>
    <w:rPr>
      <w:rFonts w:ascii="Arial" w:eastAsia="Arial Unicode MS" w:hAnsi="Arial" w:cs="Arial"/>
      <w:b/>
      <w:bCs/>
      <w:szCs w:val="24"/>
    </w:rPr>
  </w:style>
  <w:style w:type="paragraph" w:customStyle="1" w:styleId="xl31">
    <w:name w:val="xl31"/>
    <w:basedOn w:val="Normal"/>
    <w:pPr>
      <w:shd w:val="clear" w:color="auto" w:fill="FFFFFF"/>
      <w:spacing w:before="280" w:after="280"/>
      <w:jc w:val="right"/>
    </w:pPr>
    <w:rPr>
      <w:rFonts w:ascii="Arial" w:eastAsia="Arial Unicode MS" w:hAnsi="Arial" w:cs="Arial"/>
      <w:b/>
      <w:bCs/>
      <w:szCs w:val="24"/>
    </w:rPr>
  </w:style>
  <w:style w:type="paragraph" w:customStyle="1" w:styleId="xl32">
    <w:name w:val="xl32"/>
    <w:basedOn w:val="Normal"/>
    <w:pPr>
      <w:shd w:val="clear" w:color="auto" w:fill="FFFFFF"/>
      <w:spacing w:before="280" w:after="280"/>
    </w:pPr>
    <w:rPr>
      <w:rFonts w:ascii="Arial" w:eastAsia="Arial Unicode MS" w:hAnsi="Arial" w:cs="Arial"/>
      <w:b/>
      <w:bCs/>
      <w:szCs w:val="24"/>
    </w:rPr>
  </w:style>
  <w:style w:type="paragraph" w:customStyle="1" w:styleId="xl33">
    <w:name w:val="xl33"/>
    <w:basedOn w:val="Normal"/>
    <w:pPr>
      <w:shd w:val="clear" w:color="auto" w:fill="FFFFFF"/>
      <w:spacing w:before="280" w:after="280"/>
      <w:jc w:val="right"/>
    </w:pPr>
    <w:rPr>
      <w:rFonts w:ascii="Arial" w:eastAsia="Arial Unicode MS" w:hAnsi="Arial" w:cs="Arial"/>
      <w:szCs w:val="24"/>
    </w:rPr>
  </w:style>
  <w:style w:type="paragraph" w:customStyle="1" w:styleId="xl34">
    <w:name w:val="xl34"/>
    <w:basedOn w:val="Normal"/>
    <w:pPr>
      <w:shd w:val="clear" w:color="auto" w:fill="FFFFFF"/>
      <w:spacing w:before="280" w:after="280"/>
      <w:jc w:val="right"/>
    </w:pPr>
    <w:rPr>
      <w:rFonts w:ascii="Arial" w:eastAsia="Arial Unicode MS" w:hAnsi="Arial" w:cs="Arial"/>
      <w:szCs w:val="24"/>
    </w:rPr>
  </w:style>
  <w:style w:type="paragraph" w:customStyle="1" w:styleId="xl35">
    <w:name w:val="xl35"/>
    <w:basedOn w:val="Normal"/>
    <w:pPr>
      <w:spacing w:before="280" w:after="280"/>
      <w:jc w:val="center"/>
    </w:pPr>
    <w:rPr>
      <w:rFonts w:ascii="Arial" w:eastAsia="Arial Unicode MS" w:hAnsi="Arial" w:cs="Arial"/>
      <w:b/>
      <w:bCs/>
      <w:szCs w:val="24"/>
    </w:rPr>
  </w:style>
  <w:style w:type="paragraph" w:customStyle="1" w:styleId="xl36">
    <w:name w:val="xl36"/>
    <w:basedOn w:val="Normal"/>
    <w:pPr>
      <w:spacing w:before="280" w:after="280"/>
      <w:jc w:val="right"/>
      <w:textAlignment w:val="top"/>
    </w:pPr>
    <w:rPr>
      <w:rFonts w:ascii="Arial" w:eastAsia="Arial Unicode MS" w:hAnsi="Arial" w:cs="Arial"/>
      <w:b/>
      <w:bCs/>
      <w:szCs w:val="24"/>
    </w:rPr>
  </w:style>
  <w:style w:type="paragraph" w:customStyle="1" w:styleId="xl37">
    <w:name w:val="xl37"/>
    <w:basedOn w:val="Normal"/>
    <w:pPr>
      <w:spacing w:before="280" w:after="280"/>
      <w:jc w:val="right"/>
      <w:textAlignment w:val="top"/>
    </w:pPr>
    <w:rPr>
      <w:rFonts w:ascii="Arial" w:eastAsia="Arial Unicode MS" w:hAnsi="Arial" w:cs="Arial"/>
      <w:szCs w:val="24"/>
    </w:rPr>
  </w:style>
  <w:style w:type="paragraph" w:customStyle="1" w:styleId="xl38">
    <w:name w:val="xl38"/>
    <w:basedOn w:val="Normal"/>
    <w:pPr>
      <w:spacing w:before="280" w:after="280"/>
    </w:pPr>
    <w:rPr>
      <w:rFonts w:ascii="Arial" w:eastAsia="Arial Unicode MS" w:hAnsi="Arial" w:cs="Arial"/>
      <w:b/>
      <w:bCs/>
      <w:szCs w:val="24"/>
    </w:rPr>
  </w:style>
  <w:style w:type="paragraph" w:customStyle="1" w:styleId="xl39">
    <w:name w:val="xl39"/>
    <w:basedOn w:val="Normal"/>
    <w:pPr>
      <w:spacing w:before="280" w:after="280"/>
    </w:pPr>
    <w:rPr>
      <w:rFonts w:ascii="Arial" w:eastAsia="Arial Unicode MS" w:hAnsi="Arial" w:cs="Arial"/>
      <w:b/>
      <w:bCs/>
      <w:szCs w:val="24"/>
    </w:rPr>
  </w:style>
  <w:style w:type="paragraph" w:customStyle="1" w:styleId="xl22">
    <w:name w:val="xl22"/>
    <w:basedOn w:val="Normal"/>
    <w:pPr>
      <w:spacing w:before="280" w:after="280"/>
    </w:pPr>
    <w:rPr>
      <w:rFonts w:ascii="Arial Unicode MS" w:eastAsia="Arial Unicode MS" w:hAnsi="Arial Unicode MS" w:cs="Arial Unicode MS"/>
      <w:szCs w:val="24"/>
    </w:rPr>
  </w:style>
  <w:style w:type="paragraph" w:customStyle="1" w:styleId="xl23">
    <w:name w:val="xl23"/>
    <w:basedOn w:val="Normal"/>
    <w:pPr>
      <w:spacing w:before="280" w:after="280"/>
    </w:pPr>
    <w:rPr>
      <w:rFonts w:ascii="Arial Unicode MS" w:eastAsia="Arial Unicode MS" w:hAnsi="Arial Unicode MS" w:cs="Arial Unicode MS"/>
      <w:szCs w:val="24"/>
    </w:rPr>
  </w:style>
  <w:style w:type="paragraph" w:customStyle="1" w:styleId="Textonotapiedepagina">
    <w:name w:val="Texto nota pie de pagina"/>
    <w:basedOn w:val="Normal"/>
    <w:pPr>
      <w:jc w:val="both"/>
    </w:pPr>
    <w:rPr>
      <w:szCs w:val="24"/>
    </w:rPr>
  </w:style>
  <w:style w:type="paragraph" w:styleId="Textonotaalfinal">
    <w:name w:val="endnote text"/>
    <w:basedOn w:val="Normal"/>
    <w:rPr>
      <w:sz w:val="20"/>
    </w:rPr>
  </w:style>
  <w:style w:type="paragraph" w:styleId="Textonotapie">
    <w:name w:val="footnote text"/>
    <w:basedOn w:val="Normal"/>
    <w:rPr>
      <w:sz w:val="20"/>
    </w:rPr>
  </w:style>
  <w:style w:type="paragraph" w:customStyle="1" w:styleId="Epgrafe1">
    <w:name w:val="Epígrafe1"/>
    <w:basedOn w:val="Normal"/>
    <w:next w:val="Normal"/>
    <w:pPr>
      <w:jc w:val="center"/>
    </w:pPr>
    <w:rPr>
      <w:rFonts w:ascii="Arial" w:hAnsi="Arial" w:cs="Arial"/>
      <w:b/>
      <w:bCs/>
      <w:szCs w:val="24"/>
    </w:rPr>
  </w:style>
  <w:style w:type="paragraph" w:customStyle="1" w:styleId="Contenidodelatabla">
    <w:name w:val="Contenido de la tabla"/>
    <w:basedOn w:val="Normal"/>
    <w:pPr>
      <w:suppressLineNumbers/>
    </w:pPr>
  </w:style>
  <w:style w:type="paragraph" w:customStyle="1" w:styleId="Encabezadodelatabla">
    <w:name w:val="Encabezado de la tabla"/>
    <w:basedOn w:val="Contenidodelatabla"/>
    <w:pPr>
      <w:jc w:val="center"/>
    </w:pPr>
    <w:rPr>
      <w:b/>
      <w:b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image" Target="media/image9.png"/><Relationship Id="rId10" Type="http://schemas.openxmlformats.org/officeDocument/2006/relationships/image" Target="media/image4.png"/><Relationship Id="rId19"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www.dnp.gov.co/PortalWeb/Programas/DesarrolloTerritorial/Evaluaci&#243;nySeguimientodelaDescentralizaci&#243;n/Desempe&#241;oFiscal/tabid/386/Default.asp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58</Pages>
  <Words>15338</Words>
  <Characters>84364</Characters>
  <Application>Microsoft Office Word</Application>
  <DocSecurity>0</DocSecurity>
  <Lines>703</Lines>
  <Paragraphs>199</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99503</CharactersWithSpaces>
  <SharedDoc>false</SharedDoc>
  <HLinks>
    <vt:vector size="6" baseType="variant">
      <vt:variant>
        <vt:i4>3539135</vt:i4>
      </vt:variant>
      <vt:variant>
        <vt:i4>0</vt:i4>
      </vt:variant>
      <vt:variant>
        <vt:i4>0</vt:i4>
      </vt:variant>
      <vt:variant>
        <vt:i4>5</vt:i4>
      </vt:variant>
      <vt:variant>
        <vt:lpwstr>http://www.dnp.gov.co/PortalWeb/Programas/DesarrolloTerritorial/EvaluaciónySeguimientodelaDescentralización/DesempeñoFiscal/tabid/386/Default.aspx</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rubiurre</cp:lastModifiedBy>
  <cp:revision>2</cp:revision>
  <cp:lastPrinted>2011-10-29T16:14:00Z</cp:lastPrinted>
  <dcterms:created xsi:type="dcterms:W3CDTF">2012-05-28T16:57:00Z</dcterms:created>
  <dcterms:modified xsi:type="dcterms:W3CDTF">2012-05-28T16:57:00Z</dcterms:modified>
</cp:coreProperties>
</file>