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2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70"/>
        <w:gridCol w:w="3358"/>
        <w:gridCol w:w="1872"/>
        <w:gridCol w:w="1804"/>
        <w:gridCol w:w="1621"/>
      </w:tblGrid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bookmarkStart w:id="0" w:name="RANGE!A1:E55"/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t>MUNICIPIO DE SASAIMA</w:t>
            </w:r>
            <w:bookmarkEnd w:id="0"/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t>800.094.752-5</w:t>
            </w: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t>INFORMES GOBIERNO EN LINEA A SEPTIEMBRE DEL AÑO 2011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EJECUCION DE INGRESOS</w:t>
            </w:r>
          </w:p>
        </w:tc>
      </w:tr>
      <w:tr w:rsidR="002E377D" w:rsidRPr="008A19CD" w:rsidTr="000B14B1">
        <w:trPr>
          <w:trHeight w:val="570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CONCEPTO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APROPIACION INICIAL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APROPIACION DEFINITIVA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EJECUTADO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B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Ingresos Tributarios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1,109,565,444.00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1,109,565,444.00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926,078,393.00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C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Ingresos no Tributarios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27,075,000.00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27,075,000.00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10,743,600.00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Transferencias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2,553,963,460.00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2,502,628,898.00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1,330,656,634.56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Fondos Especiales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146,820,007.00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355,425,526.00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79,309,008.92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Recursos del Capital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3,305,163,875.64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3,356,348,757.67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3,837,423,914.00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7,299,858,743.64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5,703,136,394.15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val="es-CO" w:eastAsia="es-CO"/>
              </w:rPr>
              <w:drawing>
                <wp:anchor distT="0" distB="762" distL="114300" distR="114300" simplePos="0" relativeHeight="251660288" behindDoc="0" locked="0" layoutInCell="1" allowOverlap="1">
                  <wp:simplePos x="0" y="0"/>
                  <wp:positionH relativeFrom="column">
                    <wp:posOffset>380492</wp:posOffset>
                  </wp:positionH>
                  <wp:positionV relativeFrom="paragraph">
                    <wp:posOffset>95631</wp:posOffset>
                  </wp:positionV>
                  <wp:extent cx="4772279" cy="3371596"/>
                  <wp:effectExtent l="12192" t="6096" r="7239" b="0"/>
                  <wp:wrapNone/>
                  <wp:docPr id="2" name="16 Gráfico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4"/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2920"/>
            </w:tblGrid>
            <w:tr w:rsidR="002E377D" w:rsidRPr="008A19CD" w:rsidTr="000B14B1">
              <w:trPr>
                <w:trHeight w:val="285"/>
                <w:tblCellSpacing w:w="0" w:type="dxa"/>
              </w:trPr>
              <w:tc>
                <w:tcPr>
                  <w:tcW w:w="2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E377D" w:rsidRPr="00297799" w:rsidRDefault="002E377D" w:rsidP="000B14B1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  <w:lang w:eastAsia="es-ES"/>
                    </w:rPr>
                  </w:pPr>
                </w:p>
              </w:tc>
            </w:tr>
          </w:tbl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val="es-CO" w:eastAsia="es-CO"/>
              </w:rPr>
              <w:drawing>
                <wp:anchor distT="0" distB="381" distL="114300" distR="114300" simplePos="0" relativeHeight="251661312" behindDoc="0" locked="0" layoutInCell="1" allowOverlap="1">
                  <wp:simplePos x="0" y="0"/>
                  <wp:positionH relativeFrom="column">
                    <wp:posOffset>390017</wp:posOffset>
                  </wp:positionH>
                  <wp:positionV relativeFrom="paragraph">
                    <wp:posOffset>124206</wp:posOffset>
                  </wp:positionV>
                  <wp:extent cx="4762246" cy="2981325"/>
                  <wp:effectExtent l="12192" t="6096" r="4572" b="0"/>
                  <wp:wrapNone/>
                  <wp:docPr id="3" name="17 Gráfico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5"/>
                    </a:graphicData>
                  </a:graphic>
                </wp:anchor>
              </w:drawing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lastRenderedPageBreak/>
              <w:t>MUNICIPIO DE SASAIMA</w:t>
            </w: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t>800.094.752-5</w:t>
            </w: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ES"/>
              </w:rPr>
              <w:t>INFORMES GOBIERNO EN LINEA A SEPTIEMBRE DEL AÑO 2011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</w:p>
        </w:tc>
      </w:tr>
      <w:tr w:rsidR="002E377D" w:rsidRPr="008A19CD" w:rsidTr="000B14B1">
        <w:trPr>
          <w:trHeight w:val="285"/>
        </w:trPr>
        <w:tc>
          <w:tcPr>
            <w:tcW w:w="892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EJECUCION DE GASTOS</w:t>
            </w:r>
          </w:p>
        </w:tc>
      </w:tr>
      <w:tr w:rsidR="002E377D" w:rsidRPr="008A19CD" w:rsidTr="000B14B1">
        <w:trPr>
          <w:trHeight w:val="510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CONCEPTO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APROPIACION INICIAL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APROPIACION DEFINITIVA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EJECUTADO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A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Funcionamiento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1,056,012,924.00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1,116,979,402.00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712,701,329.00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C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Inversion</w:t>
            </w:r>
            <w:proofErr w:type="spellEnd"/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2,592,574,194.00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5,388,330,436.64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2,475,171,199.51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D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Transferencias a Concejo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107,724,296.00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110,958,529.00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66,306,507.00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E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 xml:space="preserve">Transferencias a </w:t>
            </w:r>
            <w:proofErr w:type="spellStart"/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Personeria</w:t>
            </w:r>
            <w:proofErr w:type="spellEnd"/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81,112,500.00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81,112,500.00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33,488,500.00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center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F</w:t>
            </w:r>
          </w:p>
        </w:tc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proofErr w:type="spellStart"/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Otrs</w:t>
            </w:r>
            <w:proofErr w:type="spellEnd"/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 xml:space="preserve"> Transferencias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0.00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615,488,961.00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color w:val="000000"/>
                <w:sz w:val="18"/>
                <w:szCs w:val="18"/>
                <w:lang w:eastAsia="es-ES"/>
              </w:rPr>
              <w:t>10,796,025.00</w:t>
            </w:r>
          </w:p>
        </w:tc>
      </w:tr>
      <w:tr w:rsidR="002E377D" w:rsidRPr="008A19CD" w:rsidTr="000B14B1">
        <w:trPr>
          <w:trHeight w:val="285"/>
        </w:trPr>
        <w:tc>
          <w:tcPr>
            <w:tcW w:w="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TOTALES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3,837,423,914.00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7,299,858,743.64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jc w:val="right"/>
              <w:outlineLvl w:val="0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2977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ES"/>
              </w:rPr>
              <w:t>5,703,136,394.15</w:t>
            </w: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val="es-CO" w:eastAsia="es-CO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332867</wp:posOffset>
                  </wp:positionH>
                  <wp:positionV relativeFrom="paragraph">
                    <wp:posOffset>3219831</wp:posOffset>
                  </wp:positionV>
                  <wp:extent cx="4704715" cy="3447923"/>
                  <wp:effectExtent l="12192" t="6096" r="7493" b="2286"/>
                  <wp:wrapNone/>
                  <wp:docPr id="5" name="21 Gráfico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anchor>
              </w:drawing>
            </w:r>
            <w:r>
              <w:rPr>
                <w:rFonts w:ascii="Arial" w:eastAsia="Times New Roman" w:hAnsi="Arial" w:cs="Arial"/>
                <w:noProof/>
                <w:color w:val="000000"/>
                <w:sz w:val="20"/>
                <w:szCs w:val="20"/>
                <w:lang w:val="es-CO" w:eastAsia="es-CO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333502</wp:posOffset>
                  </wp:positionH>
                  <wp:positionV relativeFrom="paragraph">
                    <wp:posOffset>104521</wp:posOffset>
                  </wp:positionV>
                  <wp:extent cx="4705350" cy="2990723"/>
                  <wp:effectExtent l="12192" t="6096" r="6858" b="2286"/>
                  <wp:wrapNone/>
                  <wp:docPr id="4" name="20 Gráfico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7"/>
                    </a:graphicData>
                  </a:graphic>
                </wp:anchor>
              </w:drawing>
            </w: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2E377D" w:rsidRPr="008A19CD" w:rsidTr="000B14B1">
        <w:trPr>
          <w:trHeight w:val="255"/>
        </w:trPr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865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E377D" w:rsidRPr="00297799" w:rsidRDefault="002E377D" w:rsidP="000B14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</w:tbl>
    <w:p w:rsidR="002E377D" w:rsidRDefault="002E377D" w:rsidP="002E377D"/>
    <w:p w:rsidR="00E95419" w:rsidRDefault="00E95419"/>
    <w:sectPr w:rsidR="00E95419" w:rsidSect="00BD05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E377D"/>
    <w:rsid w:val="00006043"/>
    <w:rsid w:val="002E377D"/>
    <w:rsid w:val="004A3A42"/>
    <w:rsid w:val="00A54BC1"/>
    <w:rsid w:val="00E95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  <w:ind w:left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377D"/>
    <w:pPr>
      <w:ind w:left="0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hart" Target="charts/chart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4" Type="http://schemas.openxmlformats.org/officeDocument/2006/relationships/chart" Target="charts/chart1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%20and%20Settings\CLARA\Escritorio\INGRESOS%20Y%20GRAFICOS%20A%20SEP.2011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%20and%20Settings\CLARA\Escritorio\INGRESOS%20Y%20GRAFICOS%20A%20SEP.2011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%20and%20Settings\CLARA\Escritorio\INGRESOS%20Y%20GRAFICOS%20A%20SEP.2011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%20and%20Settings\CLARA\Escritorio\INGRESOS%20Y%20GRAFICOS%20A%20SEP.2011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CO"/>
  <c:chart>
    <c:title>
      <c:tx>
        <c:rich>
          <a:bodyPr/>
          <a:lstStyle/>
          <a:p>
            <a:pPr>
              <a:defRPr/>
            </a:pPr>
            <a:r>
              <a:rPr lang="es-ES" sz="1600" baseline="0"/>
              <a:t>APROPIACION DE INGRESOS</a:t>
            </a:r>
          </a:p>
        </c:rich>
      </c:tx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0.36028429509191717"/>
          <c:y val="0.20588793922127271"/>
          <c:w val="0.5173746892186144"/>
          <c:h val="0.69660018993352357"/>
        </c:manualLayout>
      </c:layout>
      <c:pie3DChart>
        <c:varyColors val="1"/>
        <c:ser>
          <c:idx val="0"/>
          <c:order val="0"/>
          <c:spPr>
            <a:ln>
              <a:noFill/>
            </a:ln>
          </c:spPr>
          <c:dLbls>
            <c:dLbl>
              <c:idx val="0"/>
              <c:layout>
                <c:manualLayout>
                  <c:x val="5.3691282734067225E-3"/>
                  <c:y val="-4.6470062555853377E-2"/>
                </c:manualLayout>
              </c:layout>
              <c:tx>
                <c:rich>
                  <a:bodyPr/>
                  <a:lstStyle/>
                  <a:p>
                    <a:r>
                      <a:rPr lang="en-US" b="1" i="0" baseline="0">
                        <a:solidFill>
                          <a:schemeClr val="tx1"/>
                        </a:solidFill>
                      </a:rPr>
                      <a:t>B 15%</a:t>
                    </a:r>
                  </a:p>
                </c:rich>
              </c:tx>
              <c:dLblPos val="outEnd"/>
              <c:showLegendKey val="1"/>
              <c:showPercent val="1"/>
            </c:dLbl>
            <c:dLbl>
              <c:idx val="1"/>
              <c:layout>
                <c:manualLayout>
                  <c:x val="2.2235147914958637E-2"/>
                  <c:y val="-3.448275862068968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 0%</a:t>
                    </a:r>
                  </a:p>
                </c:rich>
              </c:tx>
              <c:dLblPos val="outEnd"/>
              <c:showLegendKey val="1"/>
              <c:showPercent val="1"/>
            </c:dLbl>
            <c:dLbl>
              <c:idx val="2"/>
              <c:layout>
                <c:manualLayout>
                  <c:x val="-3.4053700065487885E-2"/>
                  <c:y val="9.4737683651612642E-2"/>
                </c:manualLayout>
              </c:layout>
              <c:tx>
                <c:rich>
                  <a:bodyPr/>
                  <a:lstStyle/>
                  <a:p>
                    <a:r>
                      <a:rPr lang="en-US" b="1" i="0" baseline="0">
                        <a:solidFill>
                          <a:schemeClr val="tx1"/>
                        </a:solidFill>
                      </a:rPr>
                      <a:t>D 34%</a:t>
                    </a:r>
                  </a:p>
                </c:rich>
              </c:tx>
              <c:dLblPos val="outEnd"/>
              <c:showLegendKey val="1"/>
              <c:showPercent val="1"/>
            </c:dLbl>
            <c:dLbl>
              <c:idx val="3"/>
              <c:layout>
                <c:manualLayout>
                  <c:x val="1.0738256546813442E-2"/>
                  <c:y val="3.4173100000641769E-2"/>
                </c:manualLayout>
              </c:layout>
              <c:tx>
                <c:rich>
                  <a:bodyPr/>
                  <a:lstStyle/>
                  <a:p>
                    <a:r>
                      <a:rPr lang="en-US" b="1" i="0" baseline="0">
                        <a:solidFill>
                          <a:schemeClr val="tx1"/>
                        </a:solidFill>
                      </a:rPr>
                      <a:t>E 5%</a:t>
                    </a:r>
                  </a:p>
                </c:rich>
              </c:tx>
              <c:dLblPos val="outEnd"/>
              <c:showLegendKey val="1"/>
              <c:showPercent val="1"/>
            </c:dLbl>
            <c:dLbl>
              <c:idx val="4"/>
              <c:layout>
                <c:manualLayout>
                  <c:x val="8.1295618980690432E-2"/>
                  <c:y val="-0.13026508438581941"/>
                </c:manualLayout>
              </c:layout>
              <c:tx>
                <c:rich>
                  <a:bodyPr/>
                  <a:lstStyle/>
                  <a:p>
                    <a:r>
                      <a:rPr lang="en-US" b="1" i="0" baseline="0">
                        <a:solidFill>
                          <a:schemeClr val="tx1"/>
                        </a:solidFill>
                      </a:rPr>
                      <a:t>F 45%</a:t>
                    </a:r>
                  </a:p>
                </c:rich>
              </c:tx>
              <c:dLblPos val="outEnd"/>
              <c:showLegendKey val="1"/>
              <c:showPercent val="1"/>
            </c:dLbl>
            <c:spPr>
              <a:noFill/>
              <a:ln>
                <a:solidFill>
                  <a:srgbClr val="FF0000"/>
                </a:solidFill>
              </a:ln>
            </c:spPr>
            <c:txPr>
              <a:bodyPr/>
              <a:lstStyle/>
              <a:p>
                <a:pPr>
                  <a:defRPr b="1" i="0" baseline="0">
                    <a:solidFill>
                      <a:schemeClr val="tx1"/>
                    </a:solidFill>
                  </a:defRPr>
                </a:pPr>
                <a:endParaRPr lang="es-CO"/>
              </a:p>
            </c:txPr>
            <c:dLblPos val="outEnd"/>
            <c:showLegendKey val="1"/>
            <c:showPercent val="1"/>
            <c:showLeaderLines val="1"/>
          </c:dLbls>
          <c:cat>
            <c:multiLvlStrRef>
              <c:f>'INGRESOS '!$A$7:$B$11</c:f>
              <c:multiLvlStrCache>
                <c:ptCount val="5"/>
                <c:lvl>
                  <c:pt idx="0">
                    <c:v>Ingresos Tributarios</c:v>
                  </c:pt>
                  <c:pt idx="1">
                    <c:v>Ingresos no Tributarios</c:v>
                  </c:pt>
                  <c:pt idx="2">
                    <c:v>Transferencias</c:v>
                  </c:pt>
                  <c:pt idx="3">
                    <c:v>Fondos Especiales</c:v>
                  </c:pt>
                  <c:pt idx="4">
                    <c:v>Recursos del Capital</c:v>
                  </c:pt>
                </c:lvl>
                <c:lvl>
                  <c:pt idx="0">
                    <c:v>B</c:v>
                  </c:pt>
                  <c:pt idx="1">
                    <c:v>C</c:v>
                  </c:pt>
                  <c:pt idx="2">
                    <c:v>D</c:v>
                  </c:pt>
                  <c:pt idx="3">
                    <c:v>E</c:v>
                  </c:pt>
                  <c:pt idx="4">
                    <c:v>F</c:v>
                  </c:pt>
                </c:lvl>
              </c:multiLvlStrCache>
            </c:multiLvlStrRef>
          </c:cat>
          <c:val>
            <c:numRef>
              <c:f>'INGRESOS '!$F$7:$F$11</c:f>
              <c:numCache>
                <c:formatCode>0%</c:formatCode>
                <c:ptCount val="5"/>
                <c:pt idx="0">
                  <c:v>0.15199820749500276</c:v>
                </c:pt>
                <c:pt idx="1">
                  <c:v>3.7089758789632912E-3</c:v>
                </c:pt>
                <c:pt idx="2">
                  <c:v>0.34283251031130102</c:v>
                </c:pt>
                <c:pt idx="3">
                  <c:v>4.8689370367565502E-2</c:v>
                </c:pt>
                <c:pt idx="4">
                  <c:v>0.45277093594716827</c:v>
                </c:pt>
              </c:numCache>
            </c:numRef>
          </c:val>
        </c:ser>
        <c:dLbls>
          <c:showPercent val="1"/>
        </c:dLbls>
      </c:pie3DChart>
    </c:plotArea>
    <c:legend>
      <c:legendPos val="l"/>
      <c:layout>
        <c:manualLayout>
          <c:xMode val="edge"/>
          <c:yMode val="edge"/>
          <c:x val="1.3457060260976515E-2"/>
          <c:y val="0.11905003327575508"/>
          <c:w val="0.32317724715443136"/>
          <c:h val="0.76698856039221508"/>
        </c:manualLayout>
      </c:layout>
      <c:spPr>
        <a:ln cmpd="dbl"/>
      </c:spPr>
      <c:txPr>
        <a:bodyPr/>
        <a:lstStyle/>
        <a:p>
          <a:pPr rtl="0">
            <a:defRPr sz="1000" b="1" i="0" baseline="0">
              <a:solidFill>
                <a:sysClr val="windowText" lastClr="000000"/>
              </a:solidFill>
            </a:defRPr>
          </a:pPr>
          <a:endParaRPr lang="es-CO"/>
        </a:p>
      </c:txPr>
    </c:legend>
    <c:plotVisOnly val="1"/>
  </c:chart>
  <c:spPr>
    <a:gradFill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5400000" scaled="0"/>
    </a:gradFill>
    <a:ln cmpd="dbl"/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CO"/>
  <c:chart>
    <c:title>
      <c:tx>
        <c:rich>
          <a:bodyPr/>
          <a:lstStyle/>
          <a:p>
            <a:pPr>
              <a:defRPr/>
            </a:pPr>
            <a:r>
              <a:rPr lang="es-ES" sz="1600" baseline="0"/>
              <a:t>EJECUCION DE INGRESOS</a:t>
            </a:r>
          </a:p>
        </c:rich>
      </c:tx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0.34718564289052911"/>
          <c:y val="0.17194619138410003"/>
          <c:w val="0.58630988027904951"/>
          <c:h val="0.76867938581793149"/>
        </c:manualLayout>
      </c:layout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5.2185257664709717E-2"/>
                  <c:y val="-3.4285704001288636E-2"/>
                </c:manualLayout>
              </c:layout>
              <c:dLblPos val="outEnd"/>
              <c:showLegendKey val="1"/>
              <c:showPercent val="1"/>
              <c:separator>, </c:separator>
            </c:dLbl>
            <c:dLbl>
              <c:idx val="1"/>
              <c:layout>
                <c:manualLayout>
                  <c:x val="-2.6092628832354858E-3"/>
                  <c:y val="-1.1428568000429545E-2"/>
                </c:manualLayout>
              </c:layout>
              <c:dLblPos val="outEnd"/>
              <c:showLegendKey val="1"/>
              <c:showPercent val="1"/>
              <c:separator>, </c:separator>
            </c:dLbl>
            <c:dLbl>
              <c:idx val="2"/>
              <c:layout>
                <c:manualLayout>
                  <c:x val="-5.2185257664709717E-3"/>
                  <c:y val="4.9523794668528132E-2"/>
                </c:manualLayout>
              </c:layout>
              <c:dLblPos val="outEnd"/>
              <c:showLegendKey val="1"/>
              <c:showPercent val="1"/>
              <c:separator>, </c:separator>
            </c:dLbl>
            <c:dLbl>
              <c:idx val="3"/>
              <c:layout>
                <c:manualLayout>
                  <c:x val="-6.0013046314416271E-2"/>
                  <c:y val="5.7142840002147727E-2"/>
                </c:manualLayout>
              </c:layout>
              <c:dLblPos val="outEnd"/>
              <c:showLegendKey val="1"/>
              <c:showPercent val="1"/>
              <c:separator>, </c:separator>
            </c:dLbl>
            <c:dLbl>
              <c:idx val="4"/>
              <c:layout>
                <c:manualLayout>
                  <c:x val="-2.0874103065883928E-2"/>
                  <c:y val="0"/>
                </c:manualLayout>
              </c:layout>
              <c:dLblPos val="outEnd"/>
              <c:showLegendKey val="1"/>
              <c:showPercent val="1"/>
              <c:separator>, </c:separator>
            </c:dLbl>
            <c:spPr>
              <a:ln>
                <a:solidFill>
                  <a:srgbClr val="FF0000"/>
                </a:solidFill>
              </a:ln>
            </c:spPr>
            <c:txPr>
              <a:bodyPr/>
              <a:lstStyle/>
              <a:p>
                <a:pPr>
                  <a:defRPr sz="1200" b="1" i="0" baseline="0"/>
                </a:pPr>
                <a:endParaRPr lang="es-CO"/>
              </a:p>
            </c:txPr>
            <c:dLblPos val="outEnd"/>
            <c:showLegendKey val="1"/>
            <c:showPercent val="1"/>
            <c:separator>, </c:separator>
            <c:showLeaderLines val="1"/>
          </c:dLbls>
          <c:cat>
            <c:multiLvlStrRef>
              <c:f>'INGRESOS '!$A$7:$B$11</c:f>
              <c:multiLvlStrCache>
                <c:ptCount val="5"/>
                <c:lvl>
                  <c:pt idx="0">
                    <c:v>Ingresos Tributarios</c:v>
                  </c:pt>
                  <c:pt idx="1">
                    <c:v>Ingresos no Tributarios</c:v>
                  </c:pt>
                  <c:pt idx="2">
                    <c:v>Transferencias</c:v>
                  </c:pt>
                  <c:pt idx="3">
                    <c:v>Fondos Especiales</c:v>
                  </c:pt>
                  <c:pt idx="4">
                    <c:v>Recursos del Capital</c:v>
                  </c:pt>
                </c:lvl>
                <c:lvl>
                  <c:pt idx="0">
                    <c:v>B</c:v>
                  </c:pt>
                  <c:pt idx="1">
                    <c:v>C</c:v>
                  </c:pt>
                  <c:pt idx="2">
                    <c:v>D</c:v>
                  </c:pt>
                  <c:pt idx="3">
                    <c:v>E</c:v>
                  </c:pt>
                  <c:pt idx="4">
                    <c:v>F</c:v>
                  </c:pt>
                </c:lvl>
              </c:multiLvlStrCache>
            </c:multiLvlStrRef>
          </c:cat>
          <c:val>
            <c:numRef>
              <c:f>'INGRESOS '!$G$7:$G$11</c:f>
              <c:numCache>
                <c:formatCode>0%</c:formatCode>
                <c:ptCount val="5"/>
                <c:pt idx="0">
                  <c:v>0.16238054449301367</c:v>
                </c:pt>
                <c:pt idx="1">
                  <c:v>1.8838055514541561E-3</c:v>
                </c:pt>
                <c:pt idx="2">
                  <c:v>0.23332014922962788</c:v>
                </c:pt>
                <c:pt idx="3">
                  <c:v>1.3906209397578403E-2</c:v>
                </c:pt>
                <c:pt idx="4">
                  <c:v>0.58850929132832586</c:v>
                </c:pt>
              </c:numCache>
            </c:numRef>
          </c:val>
        </c:ser>
        <c:dLbls>
          <c:showPercent val="1"/>
        </c:dLbls>
      </c:pie3DChart>
    </c:plotArea>
    <c:legend>
      <c:legendPos val="l"/>
      <c:layout>
        <c:manualLayout>
          <c:xMode val="edge"/>
          <c:yMode val="edge"/>
          <c:x val="1.0723860589812357E-2"/>
          <c:y val="0.10739443688519112"/>
          <c:w val="0.21444062119580923"/>
          <c:h val="0.7796584208843591"/>
        </c:manualLayout>
      </c:layout>
      <c:txPr>
        <a:bodyPr/>
        <a:lstStyle/>
        <a:p>
          <a:pPr>
            <a:defRPr sz="1000" b="1" i="0" baseline="0"/>
          </a:pPr>
          <a:endParaRPr lang="es-CO"/>
        </a:p>
      </c:txPr>
    </c:legend>
    <c:plotVisOnly val="1"/>
  </c:chart>
  <c:spPr>
    <a:gradFill>
      <a:gsLst>
        <a:gs pos="0">
          <a:srgbClr val="FFEFD1"/>
        </a:gs>
        <a:gs pos="64999">
          <a:srgbClr val="F0EBD5"/>
        </a:gs>
        <a:gs pos="100000">
          <a:srgbClr val="D1C39F"/>
        </a:gs>
      </a:gsLst>
      <a:lin ang="5400000" scaled="0"/>
    </a:gradFill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CO"/>
  <c:chart>
    <c:title>
      <c:tx>
        <c:rich>
          <a:bodyPr/>
          <a:lstStyle/>
          <a:p>
            <a:pPr>
              <a:defRPr/>
            </a:pPr>
            <a:r>
              <a:rPr lang="en-US" sz="1600" baseline="0"/>
              <a:t>EJECUCION DE GASTOS</a:t>
            </a:r>
          </a:p>
        </c:rich>
      </c:tx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0.20654993445299347"/>
          <c:y val="0.33428385251295156"/>
          <c:w val="0.7869559093858246"/>
          <c:h val="0.49979162185845238"/>
        </c:manualLayout>
      </c:layout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3.0911901081916542E-2"/>
                  <c:y val="-1.2232415902140656E-2"/>
                </c:manualLayout>
              </c:layout>
              <c:dLblPos val="outEnd"/>
              <c:showLegendKey val="1"/>
              <c:showPercent val="1"/>
            </c:dLbl>
            <c:dLbl>
              <c:idx val="1"/>
              <c:layout>
                <c:manualLayout>
                  <c:x val="4.1215868109221966E-3"/>
                  <c:y val="6.5239551478083579E-2"/>
                </c:manualLayout>
              </c:layout>
              <c:dLblPos val="outEnd"/>
              <c:showLegendKey val="1"/>
              <c:showPercent val="1"/>
            </c:dLbl>
            <c:dLbl>
              <c:idx val="2"/>
              <c:layout>
                <c:manualLayout>
                  <c:x val="-5.5641421947449893E-2"/>
                  <c:y val="0"/>
                </c:manualLayout>
              </c:layout>
              <c:dLblPos val="outEnd"/>
              <c:showLegendKey val="1"/>
              <c:showPercent val="1"/>
            </c:dLbl>
            <c:dLbl>
              <c:idx val="3"/>
              <c:layout>
                <c:manualLayout>
                  <c:x val="-6.1823802163833074E-3"/>
                  <c:y val="-8.5626911314984705E-2"/>
                </c:manualLayout>
              </c:layout>
              <c:dLblPos val="outEnd"/>
              <c:showLegendKey val="1"/>
              <c:showPercent val="1"/>
            </c:dLbl>
            <c:dLbl>
              <c:idx val="4"/>
              <c:layout>
                <c:manualLayout>
                  <c:x val="2.472952086553323E-2"/>
                  <c:y val="-4.8929663608562685E-2"/>
                </c:manualLayout>
              </c:layout>
              <c:dLblPos val="outEnd"/>
              <c:showLegendKey val="1"/>
              <c:showPercent val="1"/>
            </c:dLbl>
            <c:numFmt formatCode="0%" sourceLinked="0"/>
            <c:spPr>
              <a:ln cmpd="dbl">
                <a:solidFill>
                  <a:srgbClr val="FF0000"/>
                </a:solidFill>
              </a:ln>
            </c:spPr>
            <c:txPr>
              <a:bodyPr/>
              <a:lstStyle/>
              <a:p>
                <a:pPr>
                  <a:defRPr b="1" i="0" baseline="0"/>
                </a:pPr>
                <a:endParaRPr lang="es-CO"/>
              </a:p>
            </c:txPr>
            <c:dLblPos val="outEnd"/>
            <c:showLegendKey val="1"/>
            <c:showPercent val="1"/>
          </c:dLbls>
          <c:cat>
            <c:multiLvlStrRef>
              <c:f>[1]sub_I_IngresosGBL!$A$7:$B$11</c:f>
              <c:multiLvlStrCache>
                <c:ptCount val="5"/>
                <c:lvl>
                  <c:pt idx="0">
                    <c:v>Funcionamiento</c:v>
                  </c:pt>
                  <c:pt idx="1">
                    <c:v>Inversion</c:v>
                  </c:pt>
                  <c:pt idx="2">
                    <c:v>Transferencias a Concejo</c:v>
                  </c:pt>
                  <c:pt idx="3">
                    <c:v>Transferencias a Personeria</c:v>
                  </c:pt>
                  <c:pt idx="4">
                    <c:v>Otrs Transferencias</c:v>
                  </c:pt>
                </c:lvl>
                <c:lvl>
                  <c:pt idx="0">
                    <c:v>A</c:v>
                  </c:pt>
                  <c:pt idx="1">
                    <c:v>C</c:v>
                  </c:pt>
                  <c:pt idx="2">
                    <c:v>D</c:v>
                  </c:pt>
                  <c:pt idx="3">
                    <c:v>E</c:v>
                  </c:pt>
                  <c:pt idx="4">
                    <c:v>F</c:v>
                  </c:pt>
                </c:lvl>
              </c:multiLvlStrCache>
            </c:multiLvlStrRef>
          </c:cat>
          <c:val>
            <c:numRef>
              <c:f>[1]sub_I_IngresosGBL!$G$7:$G$11</c:f>
              <c:numCache>
                <c:formatCode>0%</c:formatCode>
                <c:ptCount val="5"/>
                <c:pt idx="0">
                  <c:v>0.21607069956225441</c:v>
                </c:pt>
                <c:pt idx="1">
                  <c:v>0.75040125625256215</c:v>
                </c:pt>
                <c:pt idx="2">
                  <c:v>2.0102240265388243E-2</c:v>
                </c:pt>
                <c:pt idx="3">
                  <c:v>1.015275730219742E-2</c:v>
                </c:pt>
                <c:pt idx="4">
                  <c:v>3.2730466175987542E-3</c:v>
                </c:pt>
              </c:numCache>
            </c:numRef>
          </c:val>
        </c:ser>
        <c:ser>
          <c:idx val="1"/>
          <c:order val="1"/>
          <c:cat>
            <c:multiLvlStrRef>
              <c:f>[1]sub_I_IngresosGBL!$A$7:$B$11</c:f>
              <c:multiLvlStrCache>
                <c:ptCount val="5"/>
                <c:lvl>
                  <c:pt idx="0">
                    <c:v>Funcionamiento</c:v>
                  </c:pt>
                  <c:pt idx="1">
                    <c:v>Inversion</c:v>
                  </c:pt>
                  <c:pt idx="2">
                    <c:v>Transferencias a Concejo</c:v>
                  </c:pt>
                  <c:pt idx="3">
                    <c:v>Transferencias a Personeria</c:v>
                  </c:pt>
                  <c:pt idx="4">
                    <c:v>Otrs Transferencias</c:v>
                  </c:pt>
                </c:lvl>
                <c:lvl>
                  <c:pt idx="0">
                    <c:v>A</c:v>
                  </c:pt>
                  <c:pt idx="1">
                    <c:v>C</c:v>
                  </c:pt>
                  <c:pt idx="2">
                    <c:v>D</c:v>
                  </c:pt>
                  <c:pt idx="3">
                    <c:v>E</c:v>
                  </c:pt>
                  <c:pt idx="4">
                    <c:v>F</c:v>
                  </c:pt>
                </c:lvl>
              </c:multiLvlStrCache>
            </c:multiLvlStrRef>
          </c:cat>
          <c:val>
            <c:numRef>
              <c:f>[1]sub_I_IngresosGBL!$G$7:$G$11</c:f>
              <c:numCache>
                <c:formatCode>0%</c:formatCode>
                <c:ptCount val="5"/>
                <c:pt idx="0">
                  <c:v>0.21607069956225441</c:v>
                </c:pt>
                <c:pt idx="1">
                  <c:v>0.75040125625256215</c:v>
                </c:pt>
                <c:pt idx="2">
                  <c:v>2.0102240265388243E-2</c:v>
                </c:pt>
                <c:pt idx="3">
                  <c:v>1.015275730219742E-2</c:v>
                </c:pt>
                <c:pt idx="4">
                  <c:v>3.2730466175987542E-3</c:v>
                </c:pt>
              </c:numCache>
            </c:numRef>
          </c:val>
        </c:ser>
        <c:dLbls>
          <c:showPercent val="1"/>
        </c:dLbls>
      </c:pie3DChart>
    </c:plotArea>
    <c:legend>
      <c:legendPos val="l"/>
      <c:txPr>
        <a:bodyPr/>
        <a:lstStyle/>
        <a:p>
          <a:pPr>
            <a:defRPr sz="1000" b="1" i="0" baseline="0"/>
          </a:pPr>
          <a:endParaRPr lang="es-CO"/>
        </a:p>
      </c:txPr>
    </c:legend>
    <c:plotVisOnly val="1"/>
  </c:chart>
  <c:spPr>
    <a:gradFill flip="none" rotWithShape="1">
      <a:gsLst>
        <a:gs pos="0">
          <a:srgbClr val="8488C4"/>
        </a:gs>
        <a:gs pos="53000">
          <a:srgbClr val="D4DEFF"/>
        </a:gs>
        <a:gs pos="83000">
          <a:srgbClr val="D4DEFF"/>
        </a:gs>
        <a:gs pos="100000">
          <a:srgbClr val="96AB94"/>
        </a:gs>
      </a:gsLst>
      <a:lin ang="5400000" scaled="0"/>
      <a:tileRect/>
    </a:gradFill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s-CO"/>
  <c:chart>
    <c:title>
      <c:tx>
        <c:rich>
          <a:bodyPr/>
          <a:lstStyle/>
          <a:p>
            <a:pPr>
              <a:defRPr/>
            </a:pPr>
            <a:r>
              <a:rPr lang="es-ES" sz="1600" baseline="0"/>
              <a:t>APROPIACION DE GASTOS</a:t>
            </a:r>
          </a:p>
        </c:rich>
      </c:tx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0.16944700877907534"/>
          <c:y val="0.31619789146468491"/>
          <c:w val="0.82966260593005459"/>
          <c:h val="0.40287523604496073"/>
        </c:manualLayout>
      </c:layout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3.0911901081916524E-2"/>
                  <c:y val="-1.2232415902140656E-2"/>
                </c:manualLayout>
              </c:layout>
              <c:dLblPos val="outEnd"/>
              <c:showLegendKey val="1"/>
              <c:showPercent val="1"/>
            </c:dLbl>
            <c:dLbl>
              <c:idx val="1"/>
              <c:layout>
                <c:manualLayout>
                  <c:x val="4.121623834453858E-3"/>
                  <c:y val="4.5037514250112806E-2"/>
                </c:manualLayout>
              </c:layout>
              <c:dLblPos val="outEnd"/>
              <c:showLegendKey val="1"/>
              <c:showPercent val="1"/>
            </c:dLbl>
            <c:dLbl>
              <c:idx val="2"/>
              <c:layout>
                <c:manualLayout>
                  <c:x val="-5.5641421947449872E-2"/>
                  <c:y val="0"/>
                </c:manualLayout>
              </c:layout>
              <c:dLblPos val="outEnd"/>
              <c:showLegendKey val="1"/>
              <c:showPercent val="1"/>
            </c:dLbl>
            <c:dLbl>
              <c:idx val="3"/>
              <c:layout>
                <c:manualLayout>
                  <c:x val="-6.1823802163833074E-3"/>
                  <c:y val="-8.5626911314984705E-2"/>
                </c:manualLayout>
              </c:layout>
              <c:dLblPos val="outEnd"/>
              <c:showLegendKey val="1"/>
              <c:showPercent val="1"/>
            </c:dLbl>
            <c:dLbl>
              <c:idx val="4"/>
              <c:layout>
                <c:manualLayout>
                  <c:x val="2.472952086553323E-2"/>
                  <c:y val="-4.8929663608562685E-2"/>
                </c:manualLayout>
              </c:layout>
              <c:dLblPos val="outEnd"/>
              <c:showLegendKey val="1"/>
              <c:showPercent val="1"/>
            </c:dLbl>
            <c:numFmt formatCode="0%" sourceLinked="0"/>
            <c:spPr>
              <a:ln cmpd="dbl">
                <a:solidFill>
                  <a:srgbClr val="FF0000"/>
                </a:solidFill>
              </a:ln>
            </c:spPr>
            <c:txPr>
              <a:bodyPr/>
              <a:lstStyle/>
              <a:p>
                <a:pPr>
                  <a:defRPr b="1" i="0" baseline="0"/>
                </a:pPr>
                <a:endParaRPr lang="es-CO"/>
              </a:p>
            </c:txPr>
            <c:dLblPos val="outEnd"/>
            <c:showLegendKey val="1"/>
            <c:showPercent val="1"/>
            <c:showLeaderLines val="1"/>
          </c:dLbls>
          <c:cat>
            <c:multiLvlStrRef>
              <c:f>[1]sub_I_IngresosGBL!$A$7:$B$11</c:f>
              <c:multiLvlStrCache>
                <c:ptCount val="5"/>
                <c:lvl>
                  <c:pt idx="0">
                    <c:v>Funcionamiento</c:v>
                  </c:pt>
                  <c:pt idx="1">
                    <c:v>Inversion</c:v>
                  </c:pt>
                  <c:pt idx="2">
                    <c:v>Transferencias a Concejo</c:v>
                  </c:pt>
                  <c:pt idx="3">
                    <c:v>Transferencias a Personeria</c:v>
                  </c:pt>
                  <c:pt idx="4">
                    <c:v>Otrs Transferencias</c:v>
                  </c:pt>
                </c:lvl>
                <c:lvl>
                  <c:pt idx="0">
                    <c:v>A</c:v>
                  </c:pt>
                  <c:pt idx="1">
                    <c:v>C</c:v>
                  </c:pt>
                  <c:pt idx="2">
                    <c:v>D</c:v>
                  </c:pt>
                  <c:pt idx="3">
                    <c:v>E</c:v>
                  </c:pt>
                  <c:pt idx="4">
                    <c:v>F</c:v>
                  </c:pt>
                </c:lvl>
              </c:multiLvlStrCache>
            </c:multiLvlStrRef>
          </c:cat>
          <c:val>
            <c:numRef>
              <c:f>[1]sub_I_IngresosGBL!$F$7:$F$11</c:f>
              <c:numCache>
                <c:formatCode>0%</c:formatCode>
                <c:ptCount val="5"/>
                <c:pt idx="0">
                  <c:v>0.1527415950473347</c:v>
                </c:pt>
                <c:pt idx="1">
                  <c:v>0.7368284357445064</c:v>
                </c:pt>
                <c:pt idx="2">
                  <c:v>1.5173048556866674E-2</c:v>
                </c:pt>
                <c:pt idx="3">
                  <c:v>1.109174672880575E-2</c:v>
                </c:pt>
                <c:pt idx="4">
                  <c:v>8.4165173922488082E-2</c:v>
                </c:pt>
              </c:numCache>
            </c:numRef>
          </c:val>
        </c:ser>
        <c:dLbls>
          <c:showPercent val="1"/>
        </c:dLbls>
      </c:pie3DChart>
    </c:plotArea>
    <c:legend>
      <c:legendPos val="l"/>
      <c:txPr>
        <a:bodyPr/>
        <a:lstStyle/>
        <a:p>
          <a:pPr>
            <a:defRPr sz="1000" b="1" i="0" baseline="0"/>
          </a:pPr>
          <a:endParaRPr lang="es-CO"/>
        </a:p>
      </c:txPr>
    </c:legend>
    <c:plotVisOnly val="1"/>
  </c:chart>
  <c:spPr>
    <a:gradFill>
      <a:gsLst>
        <a:gs pos="0">
          <a:srgbClr val="8488C4"/>
        </a:gs>
        <a:gs pos="53000">
          <a:srgbClr val="D4DEFF"/>
        </a:gs>
        <a:gs pos="83000">
          <a:srgbClr val="D4DEFF"/>
        </a:gs>
        <a:gs pos="100000">
          <a:srgbClr val="96AB94"/>
        </a:gs>
      </a:gsLst>
      <a:lin ang="5400000" scaled="0"/>
    </a:gradFill>
  </c:spPr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235</Words>
  <Characters>1295</Characters>
  <Application>Microsoft Office Word</Application>
  <DocSecurity>0</DocSecurity>
  <Lines>10</Lines>
  <Paragraphs>3</Paragraphs>
  <ScaleCrop>false</ScaleCrop>
  <Company>Hewlett-Packard Company</Company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nohosala</cp:lastModifiedBy>
  <cp:revision>2</cp:revision>
  <dcterms:created xsi:type="dcterms:W3CDTF">2011-11-05T19:29:00Z</dcterms:created>
  <dcterms:modified xsi:type="dcterms:W3CDTF">2011-11-05T19:29:00Z</dcterms:modified>
</cp:coreProperties>
</file>