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0F" w:rsidRPr="00A83C0F" w:rsidRDefault="00A83C0F" w:rsidP="00A83C0F">
      <w:pPr>
        <w:jc w:val="center"/>
      </w:pPr>
      <w:r w:rsidRPr="00C93F33">
        <w:rPr>
          <w:rFonts w:ascii="Times New Roman" w:hAnsi="Times New Roman" w:cs="Times New Roman"/>
          <w:noProof/>
          <w:lang w:val="es-ES_tradnl" w:eastAsia="es-ES_tradnl"/>
        </w:rPr>
        <w:drawing>
          <wp:anchor distT="0" distB="0" distL="114300" distR="114300" simplePos="0" relativeHeight="251659264" behindDoc="0" locked="0" layoutInCell="1" allowOverlap="1" wp14:anchorId="39EDBA56" wp14:editId="70124989">
            <wp:simplePos x="0" y="0"/>
            <wp:positionH relativeFrom="column">
              <wp:posOffset>2451735</wp:posOffset>
            </wp:positionH>
            <wp:positionV relativeFrom="paragraph">
              <wp:posOffset>-266065</wp:posOffset>
            </wp:positionV>
            <wp:extent cx="633730" cy="814070"/>
            <wp:effectExtent l="0" t="0" r="0" b="5080"/>
            <wp:wrapTopAndBottom/>
            <wp:docPr id="7" name="Imagen 7" descr="ESCUDO libertad 2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libertad 20 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30" cy="814070"/>
                    </a:xfrm>
                    <a:prstGeom prst="rect">
                      <a:avLst/>
                    </a:prstGeom>
                    <a:noFill/>
                  </pic:spPr>
                </pic:pic>
              </a:graphicData>
            </a:graphic>
            <wp14:sizeRelH relativeFrom="page">
              <wp14:pctWidth>0</wp14:pctWidth>
            </wp14:sizeRelH>
            <wp14:sizeRelV relativeFrom="page">
              <wp14:pctHeight>0</wp14:pctHeight>
            </wp14:sizeRelV>
          </wp:anchor>
        </w:drawing>
      </w:r>
      <w:r w:rsidRPr="00A83C0F">
        <w:t>República de Colombia</w:t>
      </w:r>
    </w:p>
    <w:p w:rsidR="00A83C0F" w:rsidRPr="00A83C0F" w:rsidRDefault="00A83C0F" w:rsidP="00A83C0F">
      <w:pPr>
        <w:jc w:val="center"/>
      </w:pPr>
      <w:r w:rsidRPr="00A83C0F">
        <w:t>Departamento de Santander</w:t>
      </w:r>
    </w:p>
    <w:p w:rsidR="00A83C0F" w:rsidRPr="00A83C0F" w:rsidRDefault="00A83C0F" w:rsidP="00A83C0F">
      <w:pPr>
        <w:jc w:val="center"/>
      </w:pPr>
      <w:r w:rsidRPr="00A83C0F">
        <w:t>Municipio de California</w:t>
      </w:r>
    </w:p>
    <w:p w:rsidR="000B6566" w:rsidRDefault="000B6566" w:rsidP="00A83C0F"/>
    <w:p w:rsidR="00A83C0F" w:rsidRDefault="00A83C0F" w:rsidP="00A83C0F"/>
    <w:p w:rsidR="00A83C0F" w:rsidRPr="000B6566" w:rsidRDefault="00A83C0F" w:rsidP="00A83C0F"/>
    <w:p w:rsidR="00C93F33" w:rsidRDefault="00C93F33" w:rsidP="00A83C0F"/>
    <w:p w:rsidR="00A83C0F" w:rsidRDefault="00A83C0F" w:rsidP="00A83C0F"/>
    <w:p w:rsidR="00A83C0F" w:rsidRDefault="00A83C0F" w:rsidP="00A83C0F"/>
    <w:p w:rsidR="00A83C0F" w:rsidRDefault="00A83C0F" w:rsidP="00A83C0F"/>
    <w:p w:rsidR="000B6566" w:rsidRPr="000B6566" w:rsidRDefault="000B6566" w:rsidP="00C93F33">
      <w:pPr>
        <w:jc w:val="center"/>
        <w:rPr>
          <w:sz w:val="44"/>
          <w:szCs w:val="44"/>
        </w:rPr>
      </w:pPr>
      <w:r w:rsidRPr="000B6566">
        <w:rPr>
          <w:sz w:val="44"/>
          <w:szCs w:val="44"/>
        </w:rPr>
        <w:t>ACTUALIZACION</w:t>
      </w:r>
    </w:p>
    <w:p w:rsidR="000B6566" w:rsidRPr="00C93F33" w:rsidRDefault="001E06C1" w:rsidP="00C93F33">
      <w:pPr>
        <w:jc w:val="center"/>
        <w:rPr>
          <w:rFonts w:ascii="MS PMincho" w:eastAsia="MS PMincho" w:hAnsi="MS PMincho"/>
          <w:b/>
          <w:sz w:val="48"/>
          <w:szCs w:val="44"/>
        </w:rPr>
      </w:pPr>
      <w:r w:rsidRPr="00C93F33">
        <w:rPr>
          <w:rFonts w:ascii="MS PMincho" w:eastAsia="MS PMincho" w:hAnsi="MS PMincho"/>
          <w:b/>
          <w:sz w:val="48"/>
          <w:szCs w:val="44"/>
        </w:rPr>
        <w:t>MARCO FISCAL DE MEDIANO PLAZO</w:t>
      </w:r>
    </w:p>
    <w:p w:rsidR="001E06C1" w:rsidRPr="000B6566" w:rsidRDefault="001E06C1" w:rsidP="00C93F33">
      <w:pPr>
        <w:jc w:val="center"/>
        <w:rPr>
          <w:sz w:val="44"/>
          <w:szCs w:val="44"/>
        </w:rPr>
      </w:pPr>
      <w:r w:rsidRPr="00C93F33">
        <w:rPr>
          <w:rFonts w:ascii="MS PMincho" w:eastAsia="MS PMincho" w:hAnsi="MS PMincho"/>
          <w:b/>
          <w:sz w:val="48"/>
          <w:szCs w:val="44"/>
        </w:rPr>
        <w:t>MUNICIPIO DE CALIFORNIA</w:t>
      </w:r>
    </w:p>
    <w:p w:rsidR="00C93F33" w:rsidRDefault="00C93F33" w:rsidP="00C93F33"/>
    <w:p w:rsidR="00C93F33" w:rsidRDefault="00C93F33" w:rsidP="00C93F33"/>
    <w:p w:rsidR="00C93F33" w:rsidRDefault="00C93F33" w:rsidP="00C93F33"/>
    <w:p w:rsidR="00C93F33" w:rsidRDefault="00C93F33" w:rsidP="00C93F33"/>
    <w:p w:rsidR="00C93F33" w:rsidRPr="000B6566" w:rsidRDefault="00C93F33" w:rsidP="00C93F33"/>
    <w:p w:rsidR="000B6566" w:rsidRDefault="000B6566" w:rsidP="00C93F33"/>
    <w:p w:rsidR="00C93F33" w:rsidRPr="000B6566" w:rsidRDefault="00C93F33" w:rsidP="00C93F33"/>
    <w:p w:rsidR="000B6566" w:rsidRPr="00C93F33" w:rsidRDefault="000B6566" w:rsidP="00C93F33">
      <w:pPr>
        <w:jc w:val="center"/>
        <w:rPr>
          <w:sz w:val="32"/>
          <w:szCs w:val="44"/>
        </w:rPr>
      </w:pPr>
      <w:r w:rsidRPr="00C93F33">
        <w:rPr>
          <w:sz w:val="32"/>
          <w:szCs w:val="44"/>
        </w:rPr>
        <w:t>VICTOR ARMANDO ARIAS CELIS</w:t>
      </w:r>
    </w:p>
    <w:p w:rsidR="000B6566" w:rsidRDefault="000B6566" w:rsidP="00C93F33">
      <w:pPr>
        <w:jc w:val="center"/>
        <w:rPr>
          <w:szCs w:val="32"/>
        </w:rPr>
      </w:pPr>
      <w:r w:rsidRPr="00C93F33">
        <w:rPr>
          <w:szCs w:val="32"/>
        </w:rPr>
        <w:t>ALCALDE MUNICIPAL</w:t>
      </w:r>
    </w:p>
    <w:p w:rsidR="004F6244" w:rsidRDefault="004F6244" w:rsidP="00C93F33">
      <w:pPr>
        <w:jc w:val="center"/>
        <w:rPr>
          <w:szCs w:val="32"/>
        </w:rPr>
      </w:pPr>
    </w:p>
    <w:p w:rsidR="004F6244" w:rsidRPr="00C93F33" w:rsidRDefault="004F6244" w:rsidP="00C93F33">
      <w:pPr>
        <w:jc w:val="center"/>
        <w:rPr>
          <w:szCs w:val="32"/>
        </w:rPr>
      </w:pPr>
    </w:p>
    <w:p w:rsidR="000B6566" w:rsidRPr="00C93F33" w:rsidRDefault="004F6244" w:rsidP="00C93F33">
      <w:pPr>
        <w:jc w:val="center"/>
        <w:rPr>
          <w:sz w:val="32"/>
          <w:szCs w:val="44"/>
        </w:rPr>
      </w:pPr>
      <w:r>
        <w:rPr>
          <w:sz w:val="32"/>
          <w:szCs w:val="44"/>
        </w:rPr>
        <w:t>ANDRES</w:t>
      </w:r>
      <w:r w:rsidR="000B6566" w:rsidRPr="00C93F33">
        <w:rPr>
          <w:sz w:val="32"/>
          <w:szCs w:val="44"/>
        </w:rPr>
        <w:t xml:space="preserve"> FELIPE LIZCANO SUAREZ</w:t>
      </w:r>
    </w:p>
    <w:p w:rsidR="000B6566" w:rsidRDefault="000B6566" w:rsidP="00C93F33">
      <w:pPr>
        <w:jc w:val="center"/>
        <w:rPr>
          <w:sz w:val="28"/>
          <w:szCs w:val="28"/>
        </w:rPr>
      </w:pPr>
      <w:r w:rsidRPr="00C93F33">
        <w:rPr>
          <w:sz w:val="20"/>
          <w:szCs w:val="28"/>
        </w:rPr>
        <w:t>TESORERO MUNICIPAL</w:t>
      </w:r>
    </w:p>
    <w:p w:rsidR="000B6566" w:rsidRDefault="000B6566" w:rsidP="00C93F33"/>
    <w:p w:rsidR="00C93F33" w:rsidRDefault="00C93F33" w:rsidP="00C93F33"/>
    <w:p w:rsidR="00C93F33" w:rsidRDefault="00C93F33" w:rsidP="00C93F33"/>
    <w:p w:rsidR="00C93F33" w:rsidRDefault="00C93F33" w:rsidP="00C93F33"/>
    <w:p w:rsidR="00C93F33" w:rsidRDefault="00C93F33" w:rsidP="00C93F33"/>
    <w:p w:rsidR="00C93F33" w:rsidRDefault="00C93F33" w:rsidP="00C93F33">
      <w:pPr>
        <w:jc w:val="center"/>
        <w:rPr>
          <w:sz w:val="28"/>
          <w:szCs w:val="28"/>
        </w:rPr>
      </w:pPr>
      <w:r>
        <w:rPr>
          <w:sz w:val="28"/>
          <w:szCs w:val="28"/>
        </w:rPr>
        <w:t>California, marzo de 2012</w:t>
      </w:r>
    </w:p>
    <w:p w:rsidR="00C93F33" w:rsidRDefault="00C93F33">
      <w:pPr>
        <w:rPr>
          <w:sz w:val="28"/>
          <w:szCs w:val="28"/>
        </w:rPr>
      </w:pPr>
    </w:p>
    <w:p w:rsidR="00C93F33" w:rsidRDefault="00C93F33">
      <w:pPr>
        <w:spacing w:after="200" w:line="276" w:lineRule="auto"/>
        <w:rPr>
          <w:sz w:val="28"/>
          <w:szCs w:val="28"/>
        </w:rPr>
      </w:pPr>
      <w:r>
        <w:rPr>
          <w:sz w:val="28"/>
          <w:szCs w:val="28"/>
        </w:rPr>
        <w:br w:type="page"/>
      </w:r>
    </w:p>
    <w:p w:rsidR="00C93F33" w:rsidRDefault="00C93F33">
      <w:pPr>
        <w:rPr>
          <w:sz w:val="28"/>
          <w:szCs w:val="28"/>
        </w:rPr>
      </w:pPr>
    </w:p>
    <w:p w:rsidR="00C93F33" w:rsidRDefault="00C93F33">
      <w:pPr>
        <w:rPr>
          <w:sz w:val="28"/>
          <w:szCs w:val="28"/>
        </w:rPr>
      </w:pPr>
    </w:p>
    <w:p w:rsidR="000B6566" w:rsidRPr="005C484D" w:rsidRDefault="005C484D" w:rsidP="00A83C0F">
      <w:pPr>
        <w:pStyle w:val="Ttulo1"/>
      </w:pPr>
      <w:r w:rsidRPr="005C484D">
        <w:t>INTRODUCCION</w:t>
      </w:r>
    </w:p>
    <w:p w:rsidR="00031A9E" w:rsidRDefault="00031A9E" w:rsidP="00A83C0F">
      <w:pPr>
        <w:rPr>
          <w:sz w:val="28"/>
          <w:szCs w:val="28"/>
        </w:rPr>
      </w:pPr>
    </w:p>
    <w:p w:rsidR="00031A9E" w:rsidRDefault="000B6566" w:rsidP="00C93F33">
      <w:pPr>
        <w:jc w:val="both"/>
        <w:rPr>
          <w:sz w:val="28"/>
          <w:szCs w:val="28"/>
        </w:rPr>
      </w:pPr>
      <w:r>
        <w:rPr>
          <w:sz w:val="28"/>
          <w:szCs w:val="28"/>
        </w:rPr>
        <w:t>Para la presentación del proyecto de acuerdo vigencia fiscal 2012, es de requisito legal presenta el marco fiscal de mediano plazo, el cual se proyecta con lo s datos presupuestales y contables a</w:t>
      </w:r>
      <w:r w:rsidR="0096630C">
        <w:rPr>
          <w:sz w:val="28"/>
          <w:szCs w:val="28"/>
        </w:rPr>
        <w:t xml:space="preserve"> corte de</w:t>
      </w:r>
      <w:r>
        <w:rPr>
          <w:sz w:val="28"/>
          <w:szCs w:val="28"/>
        </w:rPr>
        <w:t xml:space="preserve"> septiembre </w:t>
      </w:r>
      <w:r w:rsidR="0096630C">
        <w:rPr>
          <w:sz w:val="28"/>
          <w:szCs w:val="28"/>
        </w:rPr>
        <w:t>u</w:t>
      </w:r>
      <w:r>
        <w:rPr>
          <w:sz w:val="28"/>
          <w:szCs w:val="28"/>
        </w:rPr>
        <w:t xml:space="preserve"> octubre del año  2011, por tal motivo </w:t>
      </w:r>
      <w:r w:rsidR="0096630C">
        <w:rPr>
          <w:sz w:val="28"/>
          <w:szCs w:val="28"/>
        </w:rPr>
        <w:t xml:space="preserve">se hace necesario actualizar dicho documento una vez se tienen los datos </w:t>
      </w:r>
      <w:r w:rsidR="005E1FBE">
        <w:rPr>
          <w:sz w:val="28"/>
          <w:szCs w:val="28"/>
        </w:rPr>
        <w:t xml:space="preserve">de ingresos y gastos </w:t>
      </w:r>
      <w:r w:rsidR="0096630C">
        <w:rPr>
          <w:sz w:val="28"/>
          <w:szCs w:val="28"/>
        </w:rPr>
        <w:t xml:space="preserve">ejecutados al 100% de la vigencia 2011, y con los datos  destinados mas reales </w:t>
      </w:r>
      <w:r w:rsidR="00F610B8">
        <w:rPr>
          <w:sz w:val="28"/>
          <w:szCs w:val="28"/>
        </w:rPr>
        <w:t xml:space="preserve">o estimados </w:t>
      </w:r>
      <w:r w:rsidR="0096630C">
        <w:rPr>
          <w:sz w:val="28"/>
          <w:szCs w:val="28"/>
        </w:rPr>
        <w:t>que podamos tener para la vigencia 2012,</w:t>
      </w:r>
      <w:r w:rsidR="00F610B8">
        <w:rPr>
          <w:sz w:val="28"/>
          <w:szCs w:val="28"/>
        </w:rPr>
        <w:t xml:space="preserve"> como son los conpes, recaudos, convenios,</w:t>
      </w:r>
      <w:r w:rsidR="00031A9E">
        <w:rPr>
          <w:sz w:val="28"/>
          <w:szCs w:val="28"/>
        </w:rPr>
        <w:t xml:space="preserve"> estado de la deuda</w:t>
      </w:r>
      <w:r w:rsidR="00F610B8">
        <w:rPr>
          <w:sz w:val="28"/>
          <w:szCs w:val="28"/>
        </w:rPr>
        <w:t xml:space="preserve"> etc.</w:t>
      </w:r>
    </w:p>
    <w:p w:rsidR="00C93F33" w:rsidRDefault="00C93F33" w:rsidP="00C93F33">
      <w:pPr>
        <w:jc w:val="both"/>
        <w:rPr>
          <w:sz w:val="28"/>
          <w:szCs w:val="28"/>
        </w:rPr>
      </w:pPr>
    </w:p>
    <w:p w:rsidR="0096630C" w:rsidRDefault="0096630C" w:rsidP="00C93F33">
      <w:pPr>
        <w:jc w:val="both"/>
        <w:rPr>
          <w:sz w:val="28"/>
          <w:szCs w:val="28"/>
        </w:rPr>
      </w:pPr>
      <w:r>
        <w:rPr>
          <w:sz w:val="28"/>
          <w:szCs w:val="28"/>
        </w:rPr>
        <w:t xml:space="preserve">En el ejercicio </w:t>
      </w:r>
      <w:r w:rsidR="00F610B8">
        <w:rPr>
          <w:sz w:val="28"/>
          <w:szCs w:val="28"/>
        </w:rPr>
        <w:t xml:space="preserve">de la formulación y elaboración del PLAN DE DESARROLLO </w:t>
      </w:r>
      <w:r w:rsidR="00F610B8" w:rsidRPr="00F610B8">
        <w:rPr>
          <w:b/>
          <w:i/>
          <w:sz w:val="28"/>
          <w:szCs w:val="28"/>
        </w:rPr>
        <w:t>“POR CALIFORNIA LA UNIDAD”</w:t>
      </w:r>
      <w:r w:rsidR="00F610B8">
        <w:rPr>
          <w:b/>
          <w:i/>
          <w:sz w:val="28"/>
          <w:szCs w:val="28"/>
        </w:rPr>
        <w:t xml:space="preserve">, </w:t>
      </w:r>
      <w:r w:rsidR="00F610B8" w:rsidRPr="00F610B8">
        <w:rPr>
          <w:sz w:val="28"/>
          <w:szCs w:val="28"/>
        </w:rPr>
        <w:t xml:space="preserve">se  deben tener unos indicadores </w:t>
      </w:r>
      <w:r w:rsidR="00F610B8">
        <w:rPr>
          <w:sz w:val="28"/>
          <w:szCs w:val="28"/>
        </w:rPr>
        <w:t xml:space="preserve">y lineamientos </w:t>
      </w:r>
      <w:r w:rsidR="00F610B8" w:rsidRPr="00F610B8">
        <w:rPr>
          <w:sz w:val="28"/>
          <w:szCs w:val="28"/>
        </w:rPr>
        <w:t xml:space="preserve">que nos permitan construir un plan de desarrollo </w:t>
      </w:r>
      <w:r w:rsidR="00F610B8">
        <w:rPr>
          <w:sz w:val="28"/>
          <w:szCs w:val="28"/>
        </w:rPr>
        <w:t xml:space="preserve">alcanzable </w:t>
      </w:r>
      <w:r w:rsidR="0079133A">
        <w:rPr>
          <w:sz w:val="28"/>
          <w:szCs w:val="28"/>
        </w:rPr>
        <w:t>en cuanto a los recursos esperado obtener o recaudar duran el próximo cuatrienio.</w:t>
      </w:r>
      <w:r w:rsidR="00F610B8">
        <w:rPr>
          <w:sz w:val="28"/>
          <w:szCs w:val="28"/>
        </w:rPr>
        <w:t xml:space="preserve"> </w:t>
      </w:r>
    </w:p>
    <w:p w:rsidR="00DF456B" w:rsidRDefault="00DF456B" w:rsidP="00C93F33">
      <w:pPr>
        <w:jc w:val="both"/>
        <w:rPr>
          <w:sz w:val="28"/>
          <w:szCs w:val="28"/>
        </w:rPr>
      </w:pPr>
    </w:p>
    <w:p w:rsidR="0079133A" w:rsidRDefault="0079133A" w:rsidP="00C93F33">
      <w:pPr>
        <w:jc w:val="both"/>
        <w:rPr>
          <w:sz w:val="28"/>
          <w:szCs w:val="28"/>
        </w:rPr>
      </w:pPr>
      <w:r>
        <w:rPr>
          <w:sz w:val="28"/>
          <w:szCs w:val="28"/>
        </w:rPr>
        <w:t>De aquí la importancia de modificar o actualizar el capítulos que tienen que ver con las proyecciones financieras en cuantos a los ingresos y gasto contemplado en el MARCO FISCAL DE MEDIANO PLAZO (201</w:t>
      </w:r>
      <w:r w:rsidR="00782529">
        <w:rPr>
          <w:sz w:val="28"/>
          <w:szCs w:val="28"/>
        </w:rPr>
        <w:t>2</w:t>
      </w:r>
      <w:r>
        <w:rPr>
          <w:sz w:val="28"/>
          <w:szCs w:val="28"/>
        </w:rPr>
        <w:t>-2021), pues no</w:t>
      </w:r>
      <w:r w:rsidR="00782529">
        <w:rPr>
          <w:sz w:val="28"/>
          <w:szCs w:val="28"/>
        </w:rPr>
        <w:t>s</w:t>
      </w:r>
      <w:r>
        <w:rPr>
          <w:sz w:val="28"/>
          <w:szCs w:val="28"/>
        </w:rPr>
        <w:t xml:space="preserve"> permite </w:t>
      </w:r>
      <w:r w:rsidR="00782529">
        <w:rPr>
          <w:sz w:val="28"/>
          <w:szCs w:val="28"/>
        </w:rPr>
        <w:t xml:space="preserve">tener como referencia </w:t>
      </w:r>
      <w:r>
        <w:rPr>
          <w:sz w:val="28"/>
          <w:szCs w:val="28"/>
        </w:rPr>
        <w:t xml:space="preserve"> información mas veras, para logra </w:t>
      </w:r>
      <w:r w:rsidR="00782529">
        <w:rPr>
          <w:sz w:val="28"/>
          <w:szCs w:val="28"/>
        </w:rPr>
        <w:t xml:space="preserve"> que el PLAN DE DESARROLLO </w:t>
      </w:r>
      <w:r w:rsidR="00782529" w:rsidRPr="00F610B8">
        <w:rPr>
          <w:b/>
          <w:i/>
          <w:sz w:val="28"/>
          <w:szCs w:val="28"/>
        </w:rPr>
        <w:t>“POR CALIFORNIA LA UNIDAD”</w:t>
      </w:r>
      <w:r w:rsidR="00782529">
        <w:rPr>
          <w:b/>
          <w:i/>
          <w:sz w:val="28"/>
          <w:szCs w:val="28"/>
        </w:rPr>
        <w:t xml:space="preserve">, </w:t>
      </w:r>
      <w:r w:rsidR="00782529">
        <w:rPr>
          <w:sz w:val="28"/>
          <w:szCs w:val="28"/>
        </w:rPr>
        <w:t>se</w:t>
      </w:r>
      <w:r w:rsidR="00031A9E">
        <w:rPr>
          <w:sz w:val="28"/>
          <w:szCs w:val="28"/>
        </w:rPr>
        <w:t xml:space="preserve"> acorde para la comunidad californiana, </w:t>
      </w:r>
      <w:r w:rsidR="00782529">
        <w:rPr>
          <w:sz w:val="28"/>
          <w:szCs w:val="28"/>
        </w:rPr>
        <w:t xml:space="preserve"> </w:t>
      </w:r>
      <w:r w:rsidR="000308AC">
        <w:rPr>
          <w:sz w:val="28"/>
          <w:szCs w:val="28"/>
        </w:rPr>
        <w:t xml:space="preserve">a la </w:t>
      </w:r>
      <w:r w:rsidR="00031A9E">
        <w:rPr>
          <w:sz w:val="28"/>
          <w:szCs w:val="28"/>
        </w:rPr>
        <w:t>gestión realizada por la Administración municipal, en liderada por su Acalde VICTOR ARMANDO ARIAS CELIS.</w:t>
      </w:r>
    </w:p>
    <w:p w:rsidR="00031A9E" w:rsidRDefault="00031A9E" w:rsidP="00C93F33">
      <w:pPr>
        <w:jc w:val="both"/>
        <w:rPr>
          <w:sz w:val="28"/>
          <w:szCs w:val="28"/>
        </w:rPr>
      </w:pPr>
    </w:p>
    <w:p w:rsidR="007230A3" w:rsidRPr="00A3649C" w:rsidRDefault="007230A3" w:rsidP="00DF456B">
      <w:pPr>
        <w:pStyle w:val="Ttulo1"/>
      </w:pPr>
      <w:r w:rsidRPr="00A3649C">
        <w:t>FINANCIAMIENTO</w:t>
      </w:r>
    </w:p>
    <w:p w:rsidR="00DF456B" w:rsidRDefault="00DF456B" w:rsidP="00C93F33">
      <w:pPr>
        <w:jc w:val="both"/>
        <w:rPr>
          <w:sz w:val="28"/>
          <w:szCs w:val="28"/>
        </w:rPr>
      </w:pPr>
    </w:p>
    <w:p w:rsidR="007230A3" w:rsidRDefault="00C16604" w:rsidP="00C93F33">
      <w:pPr>
        <w:jc w:val="both"/>
        <w:rPr>
          <w:sz w:val="28"/>
          <w:szCs w:val="28"/>
        </w:rPr>
      </w:pPr>
      <w:r w:rsidRPr="007230A3">
        <w:rPr>
          <w:sz w:val="28"/>
          <w:szCs w:val="28"/>
        </w:rPr>
        <w:t xml:space="preserve">El Municipio de california se financia principalmente de los recursos destinados por el Sistema General De Participaciones, </w:t>
      </w:r>
      <w:r w:rsidR="002C5CA5" w:rsidRPr="007230A3">
        <w:rPr>
          <w:sz w:val="28"/>
          <w:szCs w:val="28"/>
        </w:rPr>
        <w:t xml:space="preserve">de los cuales el 4% son para asignaciones especiales </w:t>
      </w:r>
      <w:r w:rsidR="00146941" w:rsidRPr="007230A3">
        <w:rPr>
          <w:sz w:val="28"/>
          <w:szCs w:val="28"/>
        </w:rPr>
        <w:t>(fonpet</w:t>
      </w:r>
      <w:r w:rsidR="00652A2A">
        <w:rPr>
          <w:sz w:val="28"/>
          <w:szCs w:val="28"/>
        </w:rPr>
        <w:t xml:space="preserve"> </w:t>
      </w:r>
      <w:r w:rsidR="002C5CA5" w:rsidRPr="007230A3">
        <w:rPr>
          <w:sz w:val="28"/>
          <w:szCs w:val="28"/>
        </w:rPr>
        <w:t xml:space="preserve"> y alimentación escolar) y un 96% para la  distribución sectorial</w:t>
      </w:r>
      <w:r w:rsidR="00866194" w:rsidRPr="007230A3">
        <w:rPr>
          <w:sz w:val="28"/>
          <w:szCs w:val="28"/>
        </w:rPr>
        <w:t xml:space="preserve">, </w:t>
      </w:r>
      <w:r w:rsidR="002C5CA5" w:rsidRPr="007230A3">
        <w:rPr>
          <w:sz w:val="28"/>
          <w:szCs w:val="28"/>
        </w:rPr>
        <w:t>propósito general, salud</w:t>
      </w:r>
      <w:r w:rsidR="00866194" w:rsidRPr="007230A3">
        <w:rPr>
          <w:sz w:val="28"/>
          <w:szCs w:val="28"/>
        </w:rPr>
        <w:t xml:space="preserve">, </w:t>
      </w:r>
      <w:r w:rsidR="002C5CA5" w:rsidRPr="007230A3">
        <w:rPr>
          <w:sz w:val="28"/>
          <w:szCs w:val="28"/>
        </w:rPr>
        <w:t>educación</w:t>
      </w:r>
      <w:r w:rsidR="00866194" w:rsidRPr="007230A3">
        <w:rPr>
          <w:sz w:val="28"/>
          <w:szCs w:val="28"/>
        </w:rPr>
        <w:t xml:space="preserve">, agua potable y </w:t>
      </w:r>
      <w:r w:rsidR="00866194" w:rsidRPr="007230A3">
        <w:rPr>
          <w:sz w:val="28"/>
          <w:szCs w:val="28"/>
        </w:rPr>
        <w:lastRenderedPageBreak/>
        <w:t xml:space="preserve">saneamiento </w:t>
      </w:r>
      <w:r w:rsidR="00146941" w:rsidRPr="007230A3">
        <w:rPr>
          <w:sz w:val="28"/>
          <w:szCs w:val="28"/>
        </w:rPr>
        <w:t xml:space="preserve">básico. </w:t>
      </w:r>
      <w:r w:rsidR="00866194" w:rsidRPr="007230A3">
        <w:rPr>
          <w:sz w:val="28"/>
          <w:szCs w:val="28"/>
        </w:rPr>
        <w:t>Los recursos de propósito general hacen referencia a los de libre destinación, cultura y deporte y libre inversión.</w:t>
      </w:r>
    </w:p>
    <w:p w:rsidR="00DF456B" w:rsidRDefault="00DF456B" w:rsidP="00C93F33">
      <w:pPr>
        <w:jc w:val="both"/>
        <w:rPr>
          <w:sz w:val="28"/>
          <w:szCs w:val="28"/>
        </w:rPr>
      </w:pPr>
    </w:p>
    <w:p w:rsidR="006D6519" w:rsidRPr="007230A3" w:rsidRDefault="006D6519" w:rsidP="00C93F33">
      <w:pPr>
        <w:jc w:val="both"/>
        <w:rPr>
          <w:sz w:val="28"/>
          <w:szCs w:val="28"/>
        </w:rPr>
      </w:pPr>
      <w:r>
        <w:rPr>
          <w:sz w:val="28"/>
          <w:szCs w:val="28"/>
        </w:rPr>
        <w:t>Otras transferencia del orden nacional y departamental hacen parte de las fuentes de financiación para California, como son los recursos gestionados antes el instituto nacional de vías, el departamento de Santander, y la corporación para la defensa de la meseta de Bucaramanga CDMB.</w:t>
      </w:r>
    </w:p>
    <w:p w:rsidR="00DF456B" w:rsidRDefault="00DF456B" w:rsidP="00C93F33">
      <w:pPr>
        <w:jc w:val="both"/>
        <w:rPr>
          <w:sz w:val="28"/>
          <w:szCs w:val="28"/>
        </w:rPr>
      </w:pPr>
    </w:p>
    <w:p w:rsidR="00031A9E" w:rsidRPr="007230A3" w:rsidRDefault="002C5CA5" w:rsidP="00C93F33">
      <w:pPr>
        <w:jc w:val="both"/>
        <w:rPr>
          <w:sz w:val="28"/>
          <w:szCs w:val="28"/>
        </w:rPr>
      </w:pPr>
      <w:r w:rsidRPr="007230A3">
        <w:rPr>
          <w:sz w:val="28"/>
          <w:szCs w:val="28"/>
        </w:rPr>
        <w:t>A</w:t>
      </w:r>
      <w:r w:rsidR="00C16604" w:rsidRPr="007230A3">
        <w:rPr>
          <w:sz w:val="28"/>
          <w:szCs w:val="28"/>
        </w:rPr>
        <w:t>dicion</w:t>
      </w:r>
      <w:r w:rsidRPr="007230A3">
        <w:rPr>
          <w:sz w:val="28"/>
          <w:szCs w:val="28"/>
        </w:rPr>
        <w:t xml:space="preserve">almente de los recursos propios son es </w:t>
      </w:r>
      <w:r w:rsidR="006D6519">
        <w:rPr>
          <w:sz w:val="28"/>
          <w:szCs w:val="28"/>
        </w:rPr>
        <w:t>otra</w:t>
      </w:r>
      <w:r w:rsidRPr="007230A3">
        <w:rPr>
          <w:sz w:val="28"/>
          <w:szCs w:val="28"/>
        </w:rPr>
        <w:t xml:space="preserve"> fuente de financiación para el municipio, de los cuales los impuesto de industria y comercio y predial son los mas relevante así como también</w:t>
      </w:r>
      <w:r w:rsidR="00866194" w:rsidRPr="007230A3">
        <w:rPr>
          <w:sz w:val="28"/>
          <w:szCs w:val="28"/>
        </w:rPr>
        <w:t xml:space="preserve"> otro ingresos no tributarios, como son las contribución para contrato de obra¸ alquiler de maquinaria y equipo, y las venta de servicio publico.</w:t>
      </w:r>
    </w:p>
    <w:p w:rsidR="00DF456B" w:rsidRDefault="00DF456B" w:rsidP="00C93F33">
      <w:pPr>
        <w:jc w:val="both"/>
        <w:rPr>
          <w:sz w:val="28"/>
          <w:szCs w:val="28"/>
        </w:rPr>
      </w:pPr>
    </w:p>
    <w:p w:rsidR="007230A3" w:rsidRDefault="00866194" w:rsidP="00C93F33">
      <w:pPr>
        <w:jc w:val="both"/>
        <w:rPr>
          <w:sz w:val="28"/>
          <w:szCs w:val="28"/>
        </w:rPr>
      </w:pPr>
      <w:r w:rsidRPr="007230A3">
        <w:rPr>
          <w:sz w:val="28"/>
          <w:szCs w:val="28"/>
        </w:rPr>
        <w:t xml:space="preserve">Otras fuente de </w:t>
      </w:r>
      <w:r w:rsidR="007230A3" w:rsidRPr="007230A3">
        <w:rPr>
          <w:sz w:val="28"/>
          <w:szCs w:val="28"/>
        </w:rPr>
        <w:t xml:space="preserve">financiación son los recursos del balances </w:t>
      </w:r>
      <w:r w:rsidRPr="007230A3">
        <w:rPr>
          <w:sz w:val="28"/>
          <w:szCs w:val="28"/>
        </w:rPr>
        <w:t xml:space="preserve">han sido el origen más utilizado en materia de financiamiento del Municipio, y los del Servicio de la Deuda han sido el segundo en representatividad que ha utilizado la </w:t>
      </w:r>
      <w:r w:rsidR="00767457">
        <w:rPr>
          <w:sz w:val="28"/>
          <w:szCs w:val="28"/>
        </w:rPr>
        <w:t xml:space="preserve"> </w:t>
      </w:r>
      <w:r w:rsidRPr="007230A3">
        <w:rPr>
          <w:sz w:val="28"/>
          <w:szCs w:val="28"/>
        </w:rPr>
        <w:t>administración para financiar los niveles de gasto, principalmente llevando montos de recursos de una vigencia a otros como recursos del balance o saldos no ejecutados  de  las  vigencias  anteriores.  Esta  situación  es  determinada principalmente por el cronograma de giros de los recursos provenientes de los Conpes.</w:t>
      </w:r>
    </w:p>
    <w:p w:rsidR="00767457" w:rsidRDefault="00767457" w:rsidP="00C93F33">
      <w:pPr>
        <w:jc w:val="both"/>
        <w:rPr>
          <w:sz w:val="28"/>
          <w:szCs w:val="28"/>
        </w:rPr>
      </w:pPr>
    </w:p>
    <w:p w:rsidR="007230A3" w:rsidRDefault="007230A3" w:rsidP="00C93F33">
      <w:pPr>
        <w:jc w:val="both"/>
        <w:rPr>
          <w:sz w:val="28"/>
          <w:szCs w:val="28"/>
        </w:rPr>
      </w:pPr>
      <w:r w:rsidRPr="007230A3">
        <w:rPr>
          <w:sz w:val="28"/>
          <w:szCs w:val="28"/>
        </w:rPr>
        <w:t>Actualmente el Municipio de California presenta o tiene un crédito por valor de $120.000.000 a una tasa de interés del 9.7612%, con un plazo de 5 años y que a la fecha estado de la deuda es de 106  millones de pesos.</w:t>
      </w:r>
    </w:p>
    <w:p w:rsidR="006D6519" w:rsidRPr="00A3649C" w:rsidRDefault="006D6519" w:rsidP="00C93F33">
      <w:pPr>
        <w:jc w:val="both"/>
        <w:rPr>
          <w:b/>
          <w:sz w:val="44"/>
          <w:szCs w:val="44"/>
        </w:rPr>
      </w:pPr>
    </w:p>
    <w:p w:rsidR="006D6519" w:rsidRPr="00A3649C" w:rsidRDefault="006D6519" w:rsidP="00767457">
      <w:pPr>
        <w:pStyle w:val="Ttulo1"/>
      </w:pPr>
      <w:r w:rsidRPr="00A3649C">
        <w:t>PROYECCIONES</w:t>
      </w:r>
    </w:p>
    <w:p w:rsidR="006D6519" w:rsidRDefault="006D6519" w:rsidP="00C93F33">
      <w:pPr>
        <w:jc w:val="both"/>
        <w:rPr>
          <w:sz w:val="28"/>
          <w:szCs w:val="28"/>
        </w:rPr>
      </w:pPr>
    </w:p>
    <w:p w:rsidR="00B51D07" w:rsidRPr="006D6519" w:rsidRDefault="006D6519" w:rsidP="00C93F33">
      <w:pPr>
        <w:jc w:val="both"/>
        <w:rPr>
          <w:sz w:val="28"/>
          <w:szCs w:val="28"/>
        </w:rPr>
      </w:pPr>
      <w:r w:rsidRPr="006D6519">
        <w:rPr>
          <w:sz w:val="28"/>
          <w:szCs w:val="28"/>
        </w:rPr>
        <w:t>Para la proyección de los recursos del Municipio en la construcción del Marco Fiscal de Mediano Plazo se parte de la información histórica de la ejecución presupuestal que el municipio ha reportado al DNP</w:t>
      </w:r>
      <w:r w:rsidR="00B51D07">
        <w:rPr>
          <w:sz w:val="28"/>
          <w:szCs w:val="28"/>
        </w:rPr>
        <w:t>, demás entes de control y fiscalización de la nación,</w:t>
      </w:r>
      <w:r w:rsidRPr="006D6519">
        <w:rPr>
          <w:sz w:val="28"/>
          <w:szCs w:val="28"/>
        </w:rPr>
        <w:t xml:space="preserve"> y se realizan unos supuestos </w:t>
      </w:r>
      <w:r w:rsidR="00B51D07">
        <w:rPr>
          <w:sz w:val="28"/>
          <w:szCs w:val="28"/>
        </w:rPr>
        <w:t xml:space="preserve">o proyecciones </w:t>
      </w:r>
      <w:r w:rsidRPr="006D6519">
        <w:rPr>
          <w:sz w:val="28"/>
          <w:szCs w:val="28"/>
        </w:rPr>
        <w:t xml:space="preserve">encaminados a elaborar pronósticos conservadores, que permitan optimizar </w:t>
      </w:r>
      <w:r w:rsidRPr="006D6519">
        <w:rPr>
          <w:sz w:val="28"/>
          <w:szCs w:val="28"/>
        </w:rPr>
        <w:lastRenderedPageBreak/>
        <w:t>la captación de los ingresos para determinar un monto real que permita tener un nivel de gasto sostenible y financiable.</w:t>
      </w:r>
      <w:r>
        <w:rPr>
          <w:sz w:val="28"/>
          <w:szCs w:val="28"/>
        </w:rPr>
        <w:t xml:space="preserve"> </w:t>
      </w:r>
    </w:p>
    <w:p w:rsidR="00767457" w:rsidRDefault="00767457" w:rsidP="00C93F33">
      <w:pPr>
        <w:jc w:val="both"/>
        <w:rPr>
          <w:sz w:val="28"/>
          <w:szCs w:val="28"/>
        </w:rPr>
      </w:pPr>
    </w:p>
    <w:p w:rsidR="006D6519" w:rsidRPr="006D6519" w:rsidRDefault="006D6519" w:rsidP="00C93F33">
      <w:pPr>
        <w:jc w:val="both"/>
        <w:rPr>
          <w:sz w:val="28"/>
          <w:szCs w:val="28"/>
        </w:rPr>
      </w:pPr>
      <w:r w:rsidRPr="006D6519">
        <w:rPr>
          <w:sz w:val="28"/>
          <w:szCs w:val="28"/>
        </w:rPr>
        <w:t>Las metas financieras están encaminadas a mantener la solvencia y viabilidad fiscal del municipio, especialmente la señalada por la Ley 617 de 2000; teniendo en cuenta la realidad, el comportamiento de la economía, la inflación esperad</w:t>
      </w:r>
      <w:r w:rsidR="00B51D07">
        <w:rPr>
          <w:sz w:val="28"/>
          <w:szCs w:val="28"/>
        </w:rPr>
        <w:t>a y el cumplimiento normativo.</w:t>
      </w:r>
    </w:p>
    <w:p w:rsidR="00767457" w:rsidRDefault="00767457" w:rsidP="00C93F33">
      <w:pPr>
        <w:jc w:val="both"/>
        <w:rPr>
          <w:sz w:val="28"/>
          <w:szCs w:val="28"/>
        </w:rPr>
      </w:pPr>
    </w:p>
    <w:p w:rsidR="006D6519" w:rsidRDefault="006D6519" w:rsidP="00C93F33">
      <w:pPr>
        <w:jc w:val="both"/>
        <w:rPr>
          <w:sz w:val="28"/>
          <w:szCs w:val="28"/>
        </w:rPr>
      </w:pPr>
      <w:r w:rsidRPr="006D6519">
        <w:rPr>
          <w:sz w:val="28"/>
          <w:szCs w:val="28"/>
        </w:rPr>
        <w:t>Para la programación de los ingresos y gastos del presupuesto de la vigencia</w:t>
      </w:r>
      <w:r w:rsidR="00B51D07">
        <w:rPr>
          <w:sz w:val="28"/>
          <w:szCs w:val="28"/>
        </w:rPr>
        <w:t xml:space="preserve"> fiscal </w:t>
      </w:r>
      <w:r w:rsidRPr="006D6519">
        <w:rPr>
          <w:sz w:val="28"/>
          <w:szCs w:val="28"/>
        </w:rPr>
        <w:t>2012   se   presentan   las   proyecciones   de   las   principales   variables   de   la administración como el total de ingresos, ingresos corrientes y de capital, ahorro corriente, déficit/s</w:t>
      </w:r>
      <w:r w:rsidR="00DF08BE">
        <w:rPr>
          <w:sz w:val="28"/>
          <w:szCs w:val="28"/>
        </w:rPr>
        <w:t>uperávit total y financiamiento</w:t>
      </w:r>
      <w:r w:rsidR="00DF08BE">
        <w:rPr>
          <w:sz w:val="23"/>
          <w:szCs w:val="23"/>
        </w:rPr>
        <w:t xml:space="preserve"> </w:t>
      </w:r>
      <w:r w:rsidR="00DF08BE" w:rsidRPr="00DF08BE">
        <w:rPr>
          <w:sz w:val="28"/>
          <w:szCs w:val="28"/>
        </w:rPr>
        <w:t>compatibles con el  de presupuesto de la vigencia, 2012 y subsiguientes.</w:t>
      </w:r>
    </w:p>
    <w:p w:rsidR="00DF08BE" w:rsidRDefault="00DF08BE" w:rsidP="00C93F33"/>
    <w:p w:rsidR="005E1FBE" w:rsidRPr="00A3649C" w:rsidRDefault="00DF08BE" w:rsidP="00767457">
      <w:pPr>
        <w:pStyle w:val="Ttulo1"/>
      </w:pPr>
      <w:r w:rsidRPr="00A3649C">
        <w:t>CRITERIOS PARA LA PROGRAMACION DE INGRESO</w:t>
      </w:r>
    </w:p>
    <w:p w:rsidR="00A3649C" w:rsidRPr="00A3649C" w:rsidRDefault="00A3649C" w:rsidP="00C93F33">
      <w:pPr>
        <w:jc w:val="both"/>
        <w:rPr>
          <w:b/>
          <w:sz w:val="32"/>
          <w:szCs w:val="32"/>
        </w:rPr>
      </w:pPr>
    </w:p>
    <w:p w:rsidR="00DF08BE" w:rsidRPr="00DF08BE" w:rsidRDefault="00DF08BE" w:rsidP="00C93F33">
      <w:pPr>
        <w:jc w:val="both"/>
        <w:rPr>
          <w:sz w:val="28"/>
          <w:szCs w:val="28"/>
        </w:rPr>
      </w:pPr>
      <w:r w:rsidRPr="00DF08BE">
        <w:rPr>
          <w:sz w:val="28"/>
          <w:szCs w:val="28"/>
        </w:rPr>
        <w:t>La estimación del recaudo de los diferentes impu</w:t>
      </w:r>
      <w:r>
        <w:rPr>
          <w:sz w:val="28"/>
          <w:szCs w:val="28"/>
        </w:rPr>
        <w:t xml:space="preserve">estos se realizó de acuerdo con </w:t>
      </w:r>
      <w:r w:rsidRPr="00DF08BE">
        <w:rPr>
          <w:sz w:val="28"/>
          <w:szCs w:val="28"/>
        </w:rPr>
        <w:t xml:space="preserve">las bases gravables, tarifas y su relación con el comportamiento de la actividad económica a la que está asociado cada tributo. En especial, se tienen en cuenta el recaudo del impuesto de industria y comercio, </w:t>
      </w:r>
      <w:r>
        <w:rPr>
          <w:sz w:val="28"/>
          <w:szCs w:val="28"/>
        </w:rPr>
        <w:t xml:space="preserve">y el predial, </w:t>
      </w:r>
      <w:r w:rsidRPr="00DF08BE">
        <w:rPr>
          <w:sz w:val="28"/>
          <w:szCs w:val="28"/>
        </w:rPr>
        <w:t>dado que son los impuestos más representativos del municipio y donde se tiene algún grado de maniobrabilidad.</w:t>
      </w:r>
      <w:r>
        <w:rPr>
          <w:sz w:val="28"/>
          <w:szCs w:val="28"/>
        </w:rPr>
        <w:t xml:space="preserve"> En el caso especifico del impuesto de industria y comercio se </w:t>
      </w:r>
      <w:r w:rsidR="009C3E17">
        <w:rPr>
          <w:sz w:val="28"/>
          <w:szCs w:val="28"/>
        </w:rPr>
        <w:t>estableció</w:t>
      </w:r>
      <w:r>
        <w:rPr>
          <w:sz w:val="28"/>
          <w:szCs w:val="28"/>
        </w:rPr>
        <w:t xml:space="preserve"> un estudio que n</w:t>
      </w:r>
      <w:r w:rsidR="009C3E17">
        <w:rPr>
          <w:sz w:val="28"/>
          <w:szCs w:val="28"/>
        </w:rPr>
        <w:t>os proyectara el reca</w:t>
      </w:r>
      <w:r w:rsidR="00E02C70">
        <w:rPr>
          <w:sz w:val="28"/>
          <w:szCs w:val="28"/>
        </w:rPr>
        <w:t>udo real que debe tener la administración</w:t>
      </w:r>
      <w:r w:rsidR="009C3E17">
        <w:rPr>
          <w:sz w:val="28"/>
          <w:szCs w:val="28"/>
        </w:rPr>
        <w:t xml:space="preserve"> municipal, si se hace una buena gestión para la captación de dichos recursos. Pues se ha determinado de que las grades contratista de </w:t>
      </w:r>
      <w:r w:rsidR="00E02C70">
        <w:rPr>
          <w:sz w:val="28"/>
          <w:szCs w:val="28"/>
        </w:rPr>
        <w:t>las multinacionales exploradoras</w:t>
      </w:r>
      <w:r w:rsidR="009C3E17">
        <w:rPr>
          <w:sz w:val="28"/>
          <w:szCs w:val="28"/>
        </w:rPr>
        <w:t xml:space="preserve"> de oro  no cancela o liquida incorrectamente el impuesto de industria y comercio. </w:t>
      </w:r>
    </w:p>
    <w:p w:rsidR="00767457" w:rsidRDefault="00767457" w:rsidP="00C93F33">
      <w:pPr>
        <w:jc w:val="both"/>
        <w:rPr>
          <w:sz w:val="28"/>
          <w:szCs w:val="28"/>
        </w:rPr>
      </w:pPr>
    </w:p>
    <w:p w:rsidR="00DF08BE" w:rsidRPr="00053E5A" w:rsidRDefault="00DF08BE" w:rsidP="00C93F33">
      <w:pPr>
        <w:jc w:val="both"/>
        <w:rPr>
          <w:rFonts w:ascii="Arial" w:eastAsia="Times New Roman" w:hAnsi="Arial" w:cs="Arial"/>
          <w:b/>
          <w:bCs/>
          <w:sz w:val="20"/>
          <w:szCs w:val="20"/>
          <w:lang w:eastAsia="es-MX"/>
        </w:rPr>
      </w:pPr>
      <w:r w:rsidRPr="00DF08BE">
        <w:rPr>
          <w:sz w:val="28"/>
          <w:szCs w:val="28"/>
        </w:rPr>
        <w:t xml:space="preserve">En la proyección de los ingresos totales para el año 2012, se ha determinado que éstos crecerán hasta alcanzar la suma </w:t>
      </w:r>
      <w:r w:rsidRPr="00146941">
        <w:rPr>
          <w:sz w:val="28"/>
          <w:szCs w:val="28"/>
        </w:rPr>
        <w:t xml:space="preserve">cercana a DOS MIL </w:t>
      </w:r>
      <w:r w:rsidR="00146941" w:rsidRPr="00146941">
        <w:rPr>
          <w:sz w:val="28"/>
          <w:szCs w:val="28"/>
        </w:rPr>
        <w:t>OCHOCIENTOS TREINTA UN</w:t>
      </w:r>
      <w:r w:rsidRPr="00146941">
        <w:rPr>
          <w:sz w:val="28"/>
          <w:szCs w:val="28"/>
        </w:rPr>
        <w:t xml:space="preserve"> MILLONES DE PESOS ($</w:t>
      </w:r>
      <w:r w:rsidR="00053E5A" w:rsidRPr="00146941">
        <w:rPr>
          <w:sz w:val="28"/>
          <w:szCs w:val="28"/>
        </w:rPr>
        <w:t xml:space="preserve">2. 831 </w:t>
      </w:r>
      <w:r w:rsidRPr="00146941">
        <w:rPr>
          <w:sz w:val="28"/>
          <w:szCs w:val="28"/>
        </w:rPr>
        <w:t>millones) Moneda Corriente</w:t>
      </w:r>
      <w:r w:rsidRPr="00DF08BE">
        <w:rPr>
          <w:sz w:val="28"/>
          <w:szCs w:val="28"/>
        </w:rPr>
        <w:t>.</w:t>
      </w:r>
    </w:p>
    <w:p w:rsidR="00767457" w:rsidRDefault="00767457" w:rsidP="00C93F33">
      <w:pPr>
        <w:jc w:val="both"/>
        <w:rPr>
          <w:sz w:val="28"/>
          <w:szCs w:val="28"/>
        </w:rPr>
      </w:pPr>
    </w:p>
    <w:p w:rsidR="00E23B2C" w:rsidRDefault="00DF08BE" w:rsidP="00C93F33">
      <w:pPr>
        <w:jc w:val="both"/>
        <w:rPr>
          <w:sz w:val="28"/>
          <w:szCs w:val="28"/>
        </w:rPr>
      </w:pPr>
      <w:r w:rsidRPr="00DF08BE">
        <w:rPr>
          <w:sz w:val="28"/>
          <w:szCs w:val="28"/>
        </w:rPr>
        <w:t xml:space="preserve">Teniendo en cuenta una tasa de inflación del 3% al interior del total de ingresos se estimaron ingresos propios (Ingresos tributarios, y no tributarios) </w:t>
      </w:r>
      <w:bookmarkStart w:id="0" w:name="_GoBack"/>
      <w:bookmarkEnd w:id="0"/>
      <w:r w:rsidRPr="00DF08BE">
        <w:rPr>
          <w:sz w:val="28"/>
          <w:szCs w:val="28"/>
        </w:rPr>
        <w:lastRenderedPageBreak/>
        <w:t xml:space="preserve">por la suma </w:t>
      </w:r>
      <w:r w:rsidRPr="00146941">
        <w:rPr>
          <w:sz w:val="28"/>
          <w:szCs w:val="28"/>
        </w:rPr>
        <w:t xml:space="preserve">de </w:t>
      </w:r>
      <w:r w:rsidR="00146941" w:rsidRPr="00146941">
        <w:rPr>
          <w:sz w:val="28"/>
          <w:szCs w:val="28"/>
        </w:rPr>
        <w:t>MIL OCHENTA Y CINCO</w:t>
      </w:r>
      <w:r w:rsidRPr="00146941">
        <w:rPr>
          <w:sz w:val="28"/>
          <w:szCs w:val="28"/>
        </w:rPr>
        <w:t xml:space="preserve"> MILLONES DE PESOS ($</w:t>
      </w:r>
      <w:r w:rsidR="00053E5A" w:rsidRPr="00146941">
        <w:rPr>
          <w:sz w:val="28"/>
          <w:szCs w:val="28"/>
        </w:rPr>
        <w:t>1085</w:t>
      </w:r>
      <w:r w:rsidR="006E68E0" w:rsidRPr="00146941">
        <w:rPr>
          <w:sz w:val="28"/>
          <w:szCs w:val="28"/>
        </w:rPr>
        <w:t xml:space="preserve"> </w:t>
      </w:r>
      <w:r w:rsidR="00053E5A" w:rsidRPr="00146941">
        <w:rPr>
          <w:sz w:val="28"/>
          <w:szCs w:val="28"/>
        </w:rPr>
        <w:t>Millones</w:t>
      </w:r>
      <w:r w:rsidRPr="00146941">
        <w:rPr>
          <w:sz w:val="28"/>
          <w:szCs w:val="28"/>
        </w:rPr>
        <w:t>) moneda corriente, con una estimación de crecimiento</w:t>
      </w:r>
      <w:r w:rsidRPr="00DF08BE">
        <w:rPr>
          <w:sz w:val="28"/>
          <w:szCs w:val="28"/>
        </w:rPr>
        <w:t xml:space="preserve"> en su recaudo nominal del 10</w:t>
      </w:r>
      <w:r w:rsidR="00053E5A">
        <w:rPr>
          <w:sz w:val="28"/>
          <w:szCs w:val="28"/>
        </w:rPr>
        <w:t>8</w:t>
      </w:r>
      <w:r w:rsidRPr="00DF08BE">
        <w:rPr>
          <w:sz w:val="28"/>
          <w:szCs w:val="28"/>
        </w:rPr>
        <w:t>% frente al presupuesto del año 2011.</w:t>
      </w:r>
    </w:p>
    <w:p w:rsidR="00767457" w:rsidRDefault="00767457" w:rsidP="00C93F33">
      <w:pPr>
        <w:jc w:val="both"/>
        <w:rPr>
          <w:sz w:val="28"/>
          <w:szCs w:val="28"/>
        </w:rPr>
      </w:pPr>
    </w:p>
    <w:p w:rsidR="00DF08BE" w:rsidRPr="00DF08BE" w:rsidRDefault="00E23B2C" w:rsidP="00C93F33">
      <w:pPr>
        <w:jc w:val="both"/>
        <w:rPr>
          <w:sz w:val="28"/>
          <w:szCs w:val="28"/>
        </w:rPr>
      </w:pPr>
      <w:r>
        <w:rPr>
          <w:sz w:val="28"/>
          <w:szCs w:val="28"/>
        </w:rPr>
        <w:t xml:space="preserve">En cuanto </w:t>
      </w:r>
      <w:r w:rsidR="00DF08BE" w:rsidRPr="00DF08BE">
        <w:rPr>
          <w:sz w:val="28"/>
          <w:szCs w:val="28"/>
        </w:rPr>
        <w:t xml:space="preserve"> lo que tiene que ver con el Sistema General de Participaciones –SGP para la elaboración  de  este  presupuesto </w:t>
      </w:r>
      <w:r w:rsidR="00854071">
        <w:rPr>
          <w:sz w:val="28"/>
          <w:szCs w:val="28"/>
        </w:rPr>
        <w:t>se tuvo la información de los conpes 145, ultima doceava parte de 2011, el conpes 146 de educación y el conpes 148  relacionado con agua potable y saneamiento básico, salud publica y subsidiada y propósitos general y 149 de educación y ajustes.</w:t>
      </w:r>
    </w:p>
    <w:p w:rsidR="00767457" w:rsidRDefault="00767457" w:rsidP="00C93F33">
      <w:pPr>
        <w:jc w:val="both"/>
        <w:rPr>
          <w:sz w:val="28"/>
          <w:szCs w:val="28"/>
        </w:rPr>
      </w:pPr>
    </w:p>
    <w:p w:rsidR="00DF08BE" w:rsidRPr="00854071" w:rsidRDefault="00DF08BE" w:rsidP="00C93F33">
      <w:pPr>
        <w:jc w:val="both"/>
        <w:rPr>
          <w:rFonts w:ascii="Arial" w:eastAsia="Times New Roman" w:hAnsi="Arial" w:cs="Arial"/>
          <w:sz w:val="20"/>
          <w:szCs w:val="20"/>
          <w:lang w:eastAsia="es-MX"/>
        </w:rPr>
      </w:pPr>
      <w:r w:rsidRPr="00DF08BE">
        <w:rPr>
          <w:sz w:val="28"/>
          <w:szCs w:val="28"/>
        </w:rPr>
        <w:t>En atención a lo anterior el valor mínimo básic</w:t>
      </w:r>
      <w:r w:rsidR="00854071">
        <w:rPr>
          <w:sz w:val="28"/>
          <w:szCs w:val="28"/>
        </w:rPr>
        <w:t xml:space="preserve">o apropiado por el Municipio de </w:t>
      </w:r>
      <w:r w:rsidRPr="00DF08BE">
        <w:rPr>
          <w:sz w:val="28"/>
          <w:szCs w:val="28"/>
        </w:rPr>
        <w:t>California por concepto del Sistema General de P</w:t>
      </w:r>
      <w:r w:rsidR="00854071">
        <w:rPr>
          <w:sz w:val="28"/>
          <w:szCs w:val="28"/>
        </w:rPr>
        <w:t xml:space="preserve">articipaciones para la vigencia </w:t>
      </w:r>
      <w:r w:rsidRPr="00DF08BE">
        <w:rPr>
          <w:sz w:val="28"/>
          <w:szCs w:val="28"/>
        </w:rPr>
        <w:t xml:space="preserve">2012 corresponde a la suma de </w:t>
      </w:r>
      <w:r w:rsidR="00146941">
        <w:rPr>
          <w:sz w:val="28"/>
          <w:szCs w:val="28"/>
        </w:rPr>
        <w:t xml:space="preserve">MIL CUATROCIENTOS TREINTA NUEVE MILLONES DE PESOS </w:t>
      </w:r>
      <w:r w:rsidRPr="00DF08BE">
        <w:rPr>
          <w:sz w:val="28"/>
          <w:szCs w:val="28"/>
        </w:rPr>
        <w:t xml:space="preserve"> ($</w:t>
      </w:r>
      <w:r w:rsidR="00854071" w:rsidRPr="00854071">
        <w:rPr>
          <w:sz w:val="28"/>
          <w:szCs w:val="28"/>
        </w:rPr>
        <w:t>1439</w:t>
      </w:r>
      <w:r w:rsidR="00854071">
        <w:rPr>
          <w:rFonts w:ascii="Arial" w:eastAsia="Times New Roman" w:hAnsi="Arial" w:cs="Arial"/>
          <w:sz w:val="20"/>
          <w:szCs w:val="20"/>
          <w:lang w:eastAsia="es-MX"/>
        </w:rPr>
        <w:t xml:space="preserve"> </w:t>
      </w:r>
      <w:r w:rsidRPr="00DF08BE">
        <w:rPr>
          <w:sz w:val="28"/>
          <w:szCs w:val="28"/>
        </w:rPr>
        <w:t>millones) Moneda Corrient</w:t>
      </w:r>
      <w:r w:rsidR="005E1FBE">
        <w:rPr>
          <w:sz w:val="28"/>
          <w:szCs w:val="28"/>
        </w:rPr>
        <w:t>e, teniendo en cuenta que aun falta un ajuste del 45% para agua potable y saneamiento básico.</w:t>
      </w:r>
    </w:p>
    <w:p w:rsidR="00767457" w:rsidRDefault="00767457" w:rsidP="00C93F33">
      <w:pPr>
        <w:jc w:val="both"/>
        <w:rPr>
          <w:sz w:val="28"/>
          <w:szCs w:val="28"/>
        </w:rPr>
      </w:pPr>
    </w:p>
    <w:p w:rsidR="00DF08BE" w:rsidRPr="00DF08BE" w:rsidRDefault="00DF08BE" w:rsidP="00C93F33">
      <w:pPr>
        <w:jc w:val="both"/>
        <w:rPr>
          <w:sz w:val="28"/>
          <w:szCs w:val="28"/>
        </w:rPr>
      </w:pPr>
      <w:r w:rsidRPr="00DF08BE">
        <w:rPr>
          <w:sz w:val="28"/>
          <w:szCs w:val="28"/>
        </w:rPr>
        <w:t xml:space="preserve">Para la estimación del presupuesto de </w:t>
      </w:r>
      <w:r w:rsidR="005E1FBE">
        <w:rPr>
          <w:sz w:val="28"/>
          <w:szCs w:val="28"/>
        </w:rPr>
        <w:t xml:space="preserve">la vigencia </w:t>
      </w:r>
      <w:r w:rsidRPr="00DF08BE">
        <w:rPr>
          <w:sz w:val="28"/>
          <w:szCs w:val="28"/>
        </w:rPr>
        <w:t>2012  los ingresos corrientes se establecen sobre  una  base  con  valores  recaudados     a</w:t>
      </w:r>
      <w:r w:rsidR="002E510F">
        <w:rPr>
          <w:sz w:val="28"/>
          <w:szCs w:val="28"/>
        </w:rPr>
        <w:t>cumulados  en    2011, pero como se menciono anteriormente excepto para el impuesto de industria y comercio el cual se proyecto con base aun estudio que estable realmente los valores que deben ingresar por este concepto, y que se plasma aquí, para que sea un compromiso de gestión de esta Administración.</w:t>
      </w:r>
    </w:p>
    <w:p w:rsidR="00767457" w:rsidRDefault="00767457" w:rsidP="00C93F33">
      <w:pPr>
        <w:jc w:val="both"/>
        <w:rPr>
          <w:sz w:val="28"/>
          <w:szCs w:val="28"/>
        </w:rPr>
      </w:pPr>
    </w:p>
    <w:p w:rsidR="002505AD" w:rsidRDefault="00DF08BE" w:rsidP="00C93F33">
      <w:pPr>
        <w:jc w:val="both"/>
        <w:rPr>
          <w:sz w:val="28"/>
          <w:szCs w:val="28"/>
        </w:rPr>
      </w:pPr>
      <w:r w:rsidRPr="00DF08BE">
        <w:rPr>
          <w:sz w:val="28"/>
          <w:szCs w:val="28"/>
        </w:rPr>
        <w:t>En los ingresos de capital, la fuen</w:t>
      </w:r>
      <w:r w:rsidR="002505AD">
        <w:rPr>
          <w:sz w:val="28"/>
          <w:szCs w:val="28"/>
        </w:rPr>
        <w:t>te principal corresponde al SGP, seguidamente están</w:t>
      </w:r>
      <w:r w:rsidR="00652A2A">
        <w:rPr>
          <w:sz w:val="28"/>
          <w:szCs w:val="28"/>
        </w:rPr>
        <w:t xml:space="preserve"> otros ingresos </w:t>
      </w:r>
      <w:r w:rsidR="002505AD">
        <w:rPr>
          <w:sz w:val="28"/>
          <w:szCs w:val="28"/>
        </w:rPr>
        <w:t>de capital en los que se encuentra</w:t>
      </w:r>
      <w:r w:rsidR="00652A2A">
        <w:rPr>
          <w:sz w:val="28"/>
          <w:szCs w:val="28"/>
        </w:rPr>
        <w:t xml:space="preserve"> principalmente</w:t>
      </w:r>
      <w:r w:rsidR="002505AD">
        <w:rPr>
          <w:sz w:val="28"/>
          <w:szCs w:val="28"/>
        </w:rPr>
        <w:t xml:space="preserve"> los recursos de balances</w:t>
      </w:r>
      <w:r w:rsidR="00652A2A">
        <w:rPr>
          <w:sz w:val="28"/>
          <w:szCs w:val="28"/>
        </w:rPr>
        <w:t xml:space="preserve"> entre otros y por ultimo tenemos las regalías.</w:t>
      </w:r>
    </w:p>
    <w:p w:rsidR="00767457" w:rsidRDefault="00767457" w:rsidP="00C93F33">
      <w:pPr>
        <w:jc w:val="both"/>
        <w:rPr>
          <w:sz w:val="28"/>
          <w:szCs w:val="28"/>
        </w:rPr>
      </w:pPr>
    </w:p>
    <w:p w:rsidR="00A3649C" w:rsidRDefault="00DF08BE" w:rsidP="00C93F33">
      <w:pPr>
        <w:jc w:val="both"/>
        <w:rPr>
          <w:sz w:val="28"/>
          <w:szCs w:val="28"/>
        </w:rPr>
      </w:pPr>
      <w:r w:rsidRPr="00DF08BE">
        <w:rPr>
          <w:sz w:val="28"/>
          <w:szCs w:val="28"/>
        </w:rPr>
        <w:t xml:space="preserve"> Se continúa con una estrategia de austeridad, mejorando el control en los gastos y la estandarización del trabajo, buscando con ello fortalecer la gestión pública, sostenible y eficaz, orientada a resultados en condiciones razonables de costos.</w:t>
      </w:r>
    </w:p>
    <w:p w:rsidR="005C484D" w:rsidRPr="00A3649C" w:rsidRDefault="005C484D" w:rsidP="00C93F33">
      <w:pPr>
        <w:jc w:val="both"/>
        <w:rPr>
          <w:b/>
          <w:sz w:val="28"/>
          <w:szCs w:val="28"/>
        </w:rPr>
      </w:pPr>
    </w:p>
    <w:p w:rsidR="006E68E0" w:rsidRPr="00A3649C" w:rsidRDefault="006E68E0" w:rsidP="00767457">
      <w:pPr>
        <w:pStyle w:val="Ttulo1"/>
      </w:pPr>
      <w:r w:rsidRPr="00A3649C">
        <w:lastRenderedPageBreak/>
        <w:t>CRITERIOS PARA LA PROGRAMACIÓN DE LOS GASTOS</w:t>
      </w:r>
    </w:p>
    <w:p w:rsidR="006E68E0" w:rsidRPr="00A3649C" w:rsidRDefault="006E68E0" w:rsidP="00C93F33">
      <w:pPr>
        <w:jc w:val="both"/>
        <w:rPr>
          <w:b/>
          <w:sz w:val="28"/>
          <w:szCs w:val="28"/>
        </w:rPr>
      </w:pPr>
    </w:p>
    <w:p w:rsidR="006E68E0" w:rsidRPr="006E68E0" w:rsidRDefault="006E68E0" w:rsidP="00C93F33">
      <w:pPr>
        <w:jc w:val="both"/>
        <w:rPr>
          <w:sz w:val="28"/>
          <w:szCs w:val="28"/>
        </w:rPr>
      </w:pPr>
      <w:r w:rsidRPr="006E68E0">
        <w:rPr>
          <w:sz w:val="28"/>
          <w:szCs w:val="28"/>
        </w:rPr>
        <w:t>Se  continúa  con  el  control  a  la  ejecución  del  presupuesto,  con  políticas  de austeridad y eficiencia, dando mayor control a los gastos y a la reducción de los costos de funcionamiento de la administración dando cumplimiento a lo dispuesto en la ley 617 de 2000, buscando con ello fortalecer la gestión pública, sostenible y eficaz, orientada a resultados en co</w:t>
      </w:r>
      <w:r>
        <w:rPr>
          <w:sz w:val="28"/>
          <w:szCs w:val="28"/>
        </w:rPr>
        <w:t>ndiciones razonables de costos.</w:t>
      </w:r>
    </w:p>
    <w:p w:rsidR="00767457" w:rsidRDefault="00767457" w:rsidP="00C93F33">
      <w:pPr>
        <w:jc w:val="both"/>
        <w:rPr>
          <w:sz w:val="28"/>
          <w:szCs w:val="28"/>
        </w:rPr>
      </w:pPr>
    </w:p>
    <w:p w:rsidR="006E68E0" w:rsidRPr="006E68E0" w:rsidRDefault="006E68E0" w:rsidP="00C93F33">
      <w:pPr>
        <w:jc w:val="both"/>
        <w:rPr>
          <w:sz w:val="28"/>
          <w:szCs w:val="28"/>
        </w:rPr>
      </w:pPr>
      <w:r w:rsidRPr="006E68E0">
        <w:rPr>
          <w:sz w:val="28"/>
          <w:szCs w:val="28"/>
        </w:rPr>
        <w:t xml:space="preserve">El  total  de  gastos  de  la  vigencia  2012  ascenderá  la  suma  </w:t>
      </w:r>
      <w:r w:rsidRPr="00146941">
        <w:rPr>
          <w:sz w:val="28"/>
          <w:szCs w:val="28"/>
        </w:rPr>
        <w:t xml:space="preserve">de  DOS  MIL </w:t>
      </w:r>
      <w:r w:rsidR="00146941" w:rsidRPr="00146941">
        <w:rPr>
          <w:sz w:val="28"/>
          <w:szCs w:val="28"/>
        </w:rPr>
        <w:t>QUINIENTOS SESENTA Y CINCO</w:t>
      </w:r>
      <w:r w:rsidRPr="00146941">
        <w:rPr>
          <w:sz w:val="28"/>
          <w:szCs w:val="28"/>
        </w:rPr>
        <w:t xml:space="preserve">   MILLONES   DE   PESOS   ($2565 millones)</w:t>
      </w:r>
      <w:r w:rsidRPr="006E68E0">
        <w:rPr>
          <w:sz w:val="28"/>
          <w:szCs w:val="28"/>
        </w:rPr>
        <w:t xml:space="preserve">   Moneda Corriente, correspondiente a $</w:t>
      </w:r>
      <w:r w:rsidRPr="006E68E0">
        <w:t xml:space="preserve"> </w:t>
      </w:r>
      <w:r w:rsidRPr="006E68E0">
        <w:rPr>
          <w:sz w:val="28"/>
          <w:szCs w:val="28"/>
        </w:rPr>
        <w:t>636 millones de funcionamiento y $</w:t>
      </w:r>
      <w:r w:rsidRPr="006E68E0">
        <w:t xml:space="preserve"> </w:t>
      </w:r>
      <w:r w:rsidRPr="006E68E0">
        <w:rPr>
          <w:sz w:val="28"/>
          <w:szCs w:val="28"/>
        </w:rPr>
        <w:t>1923</w:t>
      </w:r>
      <w:r>
        <w:rPr>
          <w:sz w:val="28"/>
          <w:szCs w:val="28"/>
        </w:rPr>
        <w:t xml:space="preserve"> </w:t>
      </w:r>
      <w:r w:rsidRPr="006E68E0">
        <w:rPr>
          <w:sz w:val="28"/>
          <w:szCs w:val="28"/>
        </w:rPr>
        <w:t>millones para gastos de inversión.</w:t>
      </w:r>
    </w:p>
    <w:p w:rsidR="00767457" w:rsidRDefault="00767457" w:rsidP="00C93F33">
      <w:pPr>
        <w:jc w:val="both"/>
        <w:rPr>
          <w:sz w:val="28"/>
          <w:szCs w:val="28"/>
        </w:rPr>
      </w:pPr>
    </w:p>
    <w:p w:rsidR="006E68E0" w:rsidRPr="006E68E0" w:rsidRDefault="006E68E0" w:rsidP="00C93F33">
      <w:pPr>
        <w:jc w:val="both"/>
        <w:rPr>
          <w:sz w:val="28"/>
          <w:szCs w:val="28"/>
        </w:rPr>
      </w:pPr>
      <w:r w:rsidRPr="006E68E0">
        <w:rPr>
          <w:sz w:val="28"/>
          <w:szCs w:val="28"/>
        </w:rPr>
        <w:t>Se proyectan los gastos corrientes teniendo como límite lo exigido por la ley 617 de 2000,  identificando  y estimando  los gastos  recurrentes  y que son indispensables para operar y mantener las diversas obras de infraestructura y sociales. Se estima que el Municipio no incrementará sus gastos por encima del porcentaje esta</w:t>
      </w:r>
      <w:r>
        <w:rPr>
          <w:sz w:val="28"/>
          <w:szCs w:val="28"/>
        </w:rPr>
        <w:t>blecido por la ley 617 de 2000.</w:t>
      </w:r>
    </w:p>
    <w:p w:rsidR="00767457" w:rsidRDefault="00767457" w:rsidP="00C93F33">
      <w:pPr>
        <w:jc w:val="both"/>
        <w:rPr>
          <w:sz w:val="28"/>
          <w:szCs w:val="28"/>
        </w:rPr>
      </w:pPr>
    </w:p>
    <w:p w:rsidR="006E68E0" w:rsidRPr="00C71D76" w:rsidRDefault="006E68E0" w:rsidP="00C93F33">
      <w:pPr>
        <w:jc w:val="both"/>
        <w:rPr>
          <w:b/>
          <w:i/>
          <w:sz w:val="28"/>
          <w:szCs w:val="28"/>
        </w:rPr>
      </w:pPr>
      <w:r w:rsidRPr="006E68E0">
        <w:rPr>
          <w:sz w:val="28"/>
          <w:szCs w:val="28"/>
        </w:rPr>
        <w:t>En este sentido, el presupuesto de gasto de la vigencia fiscal 201</w:t>
      </w:r>
      <w:r w:rsidR="00C71D76">
        <w:rPr>
          <w:sz w:val="28"/>
          <w:szCs w:val="28"/>
        </w:rPr>
        <w:t>2</w:t>
      </w:r>
      <w:r w:rsidRPr="006E68E0">
        <w:rPr>
          <w:sz w:val="28"/>
          <w:szCs w:val="28"/>
        </w:rPr>
        <w:t xml:space="preserve">, guarda una relación </w:t>
      </w:r>
      <w:r w:rsidR="00F020EA">
        <w:rPr>
          <w:sz w:val="28"/>
          <w:szCs w:val="28"/>
        </w:rPr>
        <w:t>coherente</w:t>
      </w:r>
      <w:r w:rsidR="00C71D76">
        <w:rPr>
          <w:sz w:val="28"/>
          <w:szCs w:val="28"/>
        </w:rPr>
        <w:t xml:space="preserve"> con el plan de Desarrollo municipal </w:t>
      </w:r>
      <w:r w:rsidR="00C71D76" w:rsidRPr="00C71D76">
        <w:rPr>
          <w:b/>
          <w:i/>
          <w:sz w:val="28"/>
          <w:szCs w:val="28"/>
        </w:rPr>
        <w:t>POR CALIFORNIA LA UNIDAD</w:t>
      </w:r>
      <w:r w:rsidR="00C71D76">
        <w:rPr>
          <w:b/>
          <w:i/>
          <w:sz w:val="28"/>
          <w:szCs w:val="28"/>
        </w:rPr>
        <w:t xml:space="preserve"> 2012-2015</w:t>
      </w:r>
      <w:r w:rsidRPr="006E68E0">
        <w:rPr>
          <w:sz w:val="28"/>
          <w:szCs w:val="28"/>
        </w:rPr>
        <w:t xml:space="preserve">, que es la brújula que guiará la acción del </w:t>
      </w:r>
      <w:r w:rsidR="00C71D76">
        <w:rPr>
          <w:sz w:val="28"/>
          <w:szCs w:val="28"/>
        </w:rPr>
        <w:t xml:space="preserve">municipio de California para el </w:t>
      </w:r>
      <w:r w:rsidRPr="006E68E0">
        <w:rPr>
          <w:sz w:val="28"/>
          <w:szCs w:val="28"/>
        </w:rPr>
        <w:t>cuatrienio; en este sentido toda la inversión pública municipal por sus diferentes fuentes  se  vincula  directamente  con  las  líneas  estratégicas,     sectores     y programas  previstos en el plan de desarrollo y constituye un esfuerzo por cumplir con  el  reto  del  Plan  de  Desarrollo  “</w:t>
      </w:r>
      <w:r w:rsidR="00C71D76" w:rsidRPr="00C71D76">
        <w:rPr>
          <w:b/>
          <w:i/>
          <w:sz w:val="28"/>
          <w:szCs w:val="28"/>
        </w:rPr>
        <w:t>POR CALIFORNIA LA UNIDAD 2012-2015,</w:t>
      </w:r>
      <w:r w:rsidRPr="006E68E0">
        <w:rPr>
          <w:sz w:val="28"/>
          <w:szCs w:val="28"/>
        </w:rPr>
        <w:t>”  20</w:t>
      </w:r>
      <w:r w:rsidR="00C71D76">
        <w:rPr>
          <w:sz w:val="28"/>
          <w:szCs w:val="28"/>
        </w:rPr>
        <w:t>12</w:t>
      </w:r>
      <w:r w:rsidRPr="006E68E0">
        <w:rPr>
          <w:sz w:val="28"/>
          <w:szCs w:val="28"/>
        </w:rPr>
        <w:t>-201</w:t>
      </w:r>
      <w:r w:rsidR="00C71D76">
        <w:rPr>
          <w:sz w:val="28"/>
          <w:szCs w:val="28"/>
        </w:rPr>
        <w:t>5,</w:t>
      </w:r>
      <w:r w:rsidRPr="006E68E0">
        <w:rPr>
          <w:sz w:val="28"/>
          <w:szCs w:val="28"/>
        </w:rPr>
        <w:t xml:space="preserve"> entendido como la aspiración de alcanzar mejores índices de bienestar para sus habitantes,  en donde se busca construir un municipio con mejor calidad de vida,</w:t>
      </w:r>
      <w:r w:rsidR="00C71D76">
        <w:rPr>
          <w:sz w:val="28"/>
          <w:szCs w:val="28"/>
        </w:rPr>
        <w:t xml:space="preserve"> </w:t>
      </w:r>
      <w:r w:rsidRPr="006E68E0">
        <w:rPr>
          <w:sz w:val="28"/>
          <w:szCs w:val="28"/>
        </w:rPr>
        <w:t>que favorezca la libertad y la diversidad cultural, que ofrezca opciones para la convivencia pacífica, la educación, cultura y dignidad humana, que posibilite el crecimiento económico a escala local y regional, la equidad social y la práctica de la convivencia pacífica.</w:t>
      </w:r>
    </w:p>
    <w:p w:rsidR="00767457" w:rsidRDefault="00767457" w:rsidP="00C93F33">
      <w:pPr>
        <w:jc w:val="both"/>
        <w:rPr>
          <w:sz w:val="28"/>
          <w:szCs w:val="28"/>
        </w:rPr>
      </w:pPr>
    </w:p>
    <w:p w:rsidR="006E68E0" w:rsidRPr="006E68E0" w:rsidRDefault="006E68E0" w:rsidP="00C93F33">
      <w:pPr>
        <w:jc w:val="both"/>
        <w:rPr>
          <w:sz w:val="28"/>
          <w:szCs w:val="28"/>
        </w:rPr>
      </w:pPr>
      <w:r w:rsidRPr="006E68E0">
        <w:rPr>
          <w:sz w:val="28"/>
          <w:szCs w:val="28"/>
        </w:rPr>
        <w:lastRenderedPageBreak/>
        <w:t>Las metas financieras y en general el presupuesto para la vigencia fiscal 2012 está  encaminado  a cumplir  con el Plan de Desarrollo  “</w:t>
      </w:r>
      <w:r w:rsidR="00C71D76" w:rsidRPr="00C71D76">
        <w:rPr>
          <w:b/>
          <w:i/>
          <w:sz w:val="28"/>
          <w:szCs w:val="28"/>
        </w:rPr>
        <w:t>POR CALIFORNIA LA UNIDAD 2012-2015</w:t>
      </w:r>
      <w:r w:rsidR="00C71D76">
        <w:rPr>
          <w:sz w:val="28"/>
          <w:szCs w:val="28"/>
        </w:rPr>
        <w:t>”</w:t>
      </w:r>
      <w:r w:rsidRPr="006E68E0">
        <w:rPr>
          <w:sz w:val="28"/>
          <w:szCs w:val="28"/>
        </w:rPr>
        <w:t>, dentro del pacto social  estableci</w:t>
      </w:r>
      <w:r w:rsidR="00C71D76">
        <w:rPr>
          <w:sz w:val="28"/>
          <w:szCs w:val="28"/>
        </w:rPr>
        <w:t>do con la comunidad.</w:t>
      </w:r>
    </w:p>
    <w:p w:rsidR="00A3649C" w:rsidRDefault="006E68E0" w:rsidP="00C93F33">
      <w:pPr>
        <w:jc w:val="both"/>
        <w:rPr>
          <w:sz w:val="28"/>
          <w:szCs w:val="28"/>
        </w:rPr>
      </w:pPr>
      <w:r w:rsidRPr="006E68E0">
        <w:rPr>
          <w:sz w:val="28"/>
          <w:szCs w:val="28"/>
        </w:rPr>
        <w:t>Los recursos que por  gestión y provenientes de otras fuentes diferentes a las establecidas al presente presupuesto,    se   giren al municipio   se asignarán de acuerdo con las prioridades del Plan de Desarrollo y orientados al cumplimiento de las  metas  establecidas   en  el  mismo  y  contemplando   las  destinaciones  y porcentajes de inversión establecidos por la ley.</w:t>
      </w:r>
    </w:p>
    <w:p w:rsidR="00767457" w:rsidRDefault="00767457">
      <w:pPr>
        <w:spacing w:after="200" w:line="276" w:lineRule="auto"/>
        <w:rPr>
          <w:b/>
          <w:sz w:val="28"/>
          <w:szCs w:val="28"/>
        </w:rPr>
      </w:pPr>
      <w:r>
        <w:rPr>
          <w:b/>
          <w:sz w:val="28"/>
          <w:szCs w:val="28"/>
        </w:rPr>
        <w:br w:type="page"/>
      </w:r>
    </w:p>
    <w:p w:rsidR="00640238" w:rsidRDefault="00640238" w:rsidP="00767457">
      <w:pPr>
        <w:rPr>
          <w:b/>
          <w:sz w:val="28"/>
          <w:szCs w:val="28"/>
        </w:rPr>
      </w:pPr>
    </w:p>
    <w:p w:rsidR="00A3649C" w:rsidRPr="00146941" w:rsidRDefault="00146941" w:rsidP="00767457">
      <w:pPr>
        <w:pStyle w:val="Ttulo1"/>
      </w:pPr>
      <w:r w:rsidRPr="00146941">
        <w:t>PROYECCION PLAN FINACIERO DE INGRESOS, Y GASTOS Y FINANCIAMIENTO 2012-2021</w:t>
      </w:r>
    </w:p>
    <w:p w:rsidR="005C484D" w:rsidRDefault="00146941" w:rsidP="00C93F33">
      <w:pPr>
        <w:jc w:val="both"/>
        <w:rPr>
          <w:sz w:val="16"/>
          <w:szCs w:val="16"/>
        </w:rPr>
      </w:pPr>
      <w:r w:rsidRPr="00146941">
        <w:rPr>
          <w:sz w:val="16"/>
          <w:szCs w:val="16"/>
        </w:rPr>
        <w:t>VALORES EN MILLONES DE PESOS</w:t>
      </w:r>
    </w:p>
    <w:p w:rsidR="005C484D" w:rsidRPr="005C484D" w:rsidRDefault="005C484D" w:rsidP="00C93F33">
      <w:pPr>
        <w:rPr>
          <w:sz w:val="16"/>
          <w:szCs w:val="16"/>
        </w:rPr>
      </w:pPr>
    </w:p>
    <w:p w:rsidR="005C484D" w:rsidRPr="005C484D" w:rsidRDefault="005C484D" w:rsidP="00C93F33">
      <w:pPr>
        <w:rPr>
          <w:sz w:val="16"/>
          <w:szCs w:val="16"/>
        </w:rPr>
      </w:pPr>
    </w:p>
    <w:p w:rsidR="00A3649C" w:rsidRPr="00640238" w:rsidRDefault="00640238" w:rsidP="00C93F33">
      <w:pPr>
        <w:rPr>
          <w:sz w:val="16"/>
          <w:szCs w:val="16"/>
        </w:rPr>
      </w:pPr>
      <w:r w:rsidRPr="00F020EA">
        <w:rPr>
          <w:noProof/>
          <w:lang w:val="es-ES_tradnl" w:eastAsia="es-ES_tradnl"/>
        </w:rPr>
        <w:drawing>
          <wp:inline distT="0" distB="0" distL="0" distR="0" wp14:anchorId="478A7048" wp14:editId="25025173">
            <wp:extent cx="5843751" cy="5213131"/>
            <wp:effectExtent l="0" t="0" r="508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245" cy="5218924"/>
                    </a:xfrm>
                    <a:prstGeom prst="rect">
                      <a:avLst/>
                    </a:prstGeom>
                    <a:noFill/>
                    <a:ln>
                      <a:noFill/>
                    </a:ln>
                  </pic:spPr>
                </pic:pic>
              </a:graphicData>
            </a:graphic>
          </wp:inline>
        </w:drawing>
      </w:r>
    </w:p>
    <w:p w:rsidR="00AE6D1A" w:rsidRPr="00AE6D1A" w:rsidRDefault="00AE6D1A" w:rsidP="00C93F33">
      <w:pPr>
        <w:jc w:val="both"/>
        <w:rPr>
          <w:sz w:val="16"/>
          <w:szCs w:val="16"/>
        </w:rPr>
      </w:pPr>
      <w:r w:rsidRPr="00AE6D1A">
        <w:rPr>
          <w:sz w:val="16"/>
          <w:szCs w:val="16"/>
        </w:rPr>
        <w:t>FUENTE: TESORERIA MUNICIPAL DE CALIFORNIA</w:t>
      </w:r>
    </w:p>
    <w:p w:rsidR="00640238" w:rsidRDefault="00640238" w:rsidP="00C93F33">
      <w:pPr>
        <w:jc w:val="both"/>
        <w:rPr>
          <w:sz w:val="28"/>
          <w:szCs w:val="28"/>
        </w:rPr>
      </w:pPr>
    </w:p>
    <w:p w:rsidR="00767457" w:rsidRDefault="00767457">
      <w:pPr>
        <w:spacing w:after="200" w:line="276" w:lineRule="auto"/>
        <w:rPr>
          <w:sz w:val="28"/>
          <w:szCs w:val="28"/>
        </w:rPr>
      </w:pPr>
      <w:r>
        <w:rPr>
          <w:sz w:val="28"/>
          <w:szCs w:val="28"/>
        </w:rPr>
        <w:br w:type="page"/>
      </w:r>
    </w:p>
    <w:p w:rsidR="00640238" w:rsidRDefault="00640238" w:rsidP="00C93F33">
      <w:pPr>
        <w:jc w:val="both"/>
        <w:rPr>
          <w:sz w:val="28"/>
          <w:szCs w:val="28"/>
        </w:rPr>
      </w:pPr>
    </w:p>
    <w:p w:rsidR="00A3649C" w:rsidRDefault="00B4459B" w:rsidP="00767457">
      <w:pPr>
        <w:pStyle w:val="Ttulo1"/>
      </w:pPr>
      <w:r>
        <w:t>ANEXO 1</w:t>
      </w:r>
    </w:p>
    <w:p w:rsidR="00767457" w:rsidRDefault="00767457" w:rsidP="00C93F33">
      <w:pPr>
        <w:jc w:val="both"/>
        <w:rPr>
          <w:b/>
          <w:sz w:val="28"/>
          <w:szCs w:val="28"/>
        </w:rPr>
      </w:pPr>
    </w:p>
    <w:p w:rsidR="00A3649C" w:rsidRPr="00E43B49" w:rsidRDefault="00AE6D1A" w:rsidP="00C93F33">
      <w:pPr>
        <w:jc w:val="both"/>
        <w:rPr>
          <w:b/>
          <w:sz w:val="28"/>
          <w:szCs w:val="28"/>
        </w:rPr>
      </w:pPr>
      <w:r w:rsidRPr="00E43B49">
        <w:rPr>
          <w:b/>
          <w:sz w:val="28"/>
          <w:szCs w:val="28"/>
        </w:rPr>
        <w:t>RESUMEN EJECUCION PRESUPUESTO DE INGRESOS 2012</w:t>
      </w:r>
    </w:p>
    <w:tbl>
      <w:tblPr>
        <w:tblW w:w="10511" w:type="dxa"/>
        <w:tblInd w:w="-828" w:type="dxa"/>
        <w:tblCellMar>
          <w:left w:w="70" w:type="dxa"/>
          <w:right w:w="70" w:type="dxa"/>
        </w:tblCellMar>
        <w:tblLook w:val="04A0" w:firstRow="1" w:lastRow="0" w:firstColumn="1" w:lastColumn="0" w:noHBand="0" w:noVBand="1"/>
      </w:tblPr>
      <w:tblGrid>
        <w:gridCol w:w="1891"/>
        <w:gridCol w:w="4640"/>
        <w:gridCol w:w="1960"/>
        <w:gridCol w:w="2020"/>
      </w:tblGrid>
      <w:tr w:rsidR="00AE6D1A" w:rsidRPr="00AE6D1A" w:rsidTr="00AE6D1A">
        <w:trPr>
          <w:trHeight w:val="270"/>
        </w:trPr>
        <w:tc>
          <w:tcPr>
            <w:tcW w:w="1891" w:type="dxa"/>
            <w:tcBorders>
              <w:top w:val="nil"/>
              <w:left w:val="single" w:sz="4" w:space="0" w:color="auto"/>
              <w:bottom w:val="nil"/>
              <w:right w:val="single" w:sz="8" w:space="0" w:color="auto"/>
            </w:tcBorders>
            <w:shd w:val="clear" w:color="000000" w:fill="00B0F0"/>
            <w:noWrap/>
            <w:vAlign w:val="bottom"/>
            <w:hideMark/>
          </w:tcPr>
          <w:p w:rsidR="00AE6D1A" w:rsidRPr="00AE6D1A" w:rsidRDefault="00AE6D1A" w:rsidP="00C93F33">
            <w:pPr>
              <w:jc w:val="center"/>
              <w:rPr>
                <w:rFonts w:ascii="Verdana" w:eastAsia="Times New Roman" w:hAnsi="Verdana" w:cs="Arial"/>
                <w:b/>
                <w:bCs/>
                <w:sz w:val="20"/>
                <w:szCs w:val="20"/>
                <w:lang w:eastAsia="es-MX"/>
              </w:rPr>
            </w:pPr>
            <w:r w:rsidRPr="00AE6D1A">
              <w:rPr>
                <w:rFonts w:ascii="Verdana" w:eastAsia="Times New Roman" w:hAnsi="Verdana" w:cs="Arial"/>
                <w:b/>
                <w:bCs/>
                <w:sz w:val="20"/>
                <w:szCs w:val="20"/>
                <w:lang w:eastAsia="es-MX"/>
              </w:rPr>
              <w:t>CODIGO</w:t>
            </w:r>
          </w:p>
        </w:tc>
        <w:tc>
          <w:tcPr>
            <w:tcW w:w="4640" w:type="dxa"/>
            <w:tcBorders>
              <w:top w:val="nil"/>
              <w:left w:val="nil"/>
              <w:bottom w:val="nil"/>
              <w:right w:val="single" w:sz="8" w:space="0" w:color="auto"/>
            </w:tcBorders>
            <w:shd w:val="clear" w:color="000000" w:fill="00B0F0"/>
            <w:noWrap/>
            <w:vAlign w:val="bottom"/>
            <w:hideMark/>
          </w:tcPr>
          <w:p w:rsidR="00AE6D1A" w:rsidRPr="00AE6D1A" w:rsidRDefault="00AE6D1A" w:rsidP="00C93F33">
            <w:pPr>
              <w:jc w:val="both"/>
              <w:rPr>
                <w:rFonts w:ascii="Verdana" w:eastAsia="Times New Roman" w:hAnsi="Verdana" w:cs="Arial"/>
                <w:b/>
                <w:bCs/>
                <w:sz w:val="20"/>
                <w:szCs w:val="20"/>
                <w:lang w:eastAsia="es-MX"/>
              </w:rPr>
            </w:pPr>
            <w:r w:rsidRPr="00AE6D1A">
              <w:rPr>
                <w:rFonts w:ascii="Verdana" w:eastAsia="Times New Roman" w:hAnsi="Verdana" w:cs="Arial"/>
                <w:b/>
                <w:bCs/>
                <w:sz w:val="20"/>
                <w:szCs w:val="20"/>
                <w:lang w:eastAsia="es-MX"/>
              </w:rPr>
              <w:t>CONCEPTO</w:t>
            </w:r>
          </w:p>
        </w:tc>
        <w:tc>
          <w:tcPr>
            <w:tcW w:w="1960" w:type="dxa"/>
            <w:tcBorders>
              <w:top w:val="nil"/>
              <w:left w:val="nil"/>
              <w:bottom w:val="nil"/>
              <w:right w:val="single" w:sz="8" w:space="0" w:color="auto"/>
            </w:tcBorders>
            <w:shd w:val="clear" w:color="000000" w:fill="00B0F0"/>
            <w:noWrap/>
            <w:vAlign w:val="bottom"/>
            <w:hideMark/>
          </w:tcPr>
          <w:p w:rsidR="00AE6D1A" w:rsidRPr="00AE6D1A" w:rsidRDefault="00AE6D1A" w:rsidP="00C93F33">
            <w:pPr>
              <w:jc w:val="center"/>
              <w:rPr>
                <w:rFonts w:ascii="Verdana" w:eastAsia="Times New Roman" w:hAnsi="Verdana" w:cs="Arial"/>
                <w:b/>
                <w:bCs/>
                <w:sz w:val="20"/>
                <w:szCs w:val="20"/>
                <w:lang w:eastAsia="es-MX"/>
              </w:rPr>
            </w:pPr>
            <w:r w:rsidRPr="00AE6D1A">
              <w:rPr>
                <w:rFonts w:ascii="Verdana" w:eastAsia="Times New Roman" w:hAnsi="Verdana" w:cs="Arial"/>
                <w:b/>
                <w:bCs/>
                <w:sz w:val="20"/>
                <w:szCs w:val="20"/>
                <w:lang w:eastAsia="es-MX"/>
              </w:rPr>
              <w:t>INICIAL</w:t>
            </w:r>
          </w:p>
        </w:tc>
        <w:tc>
          <w:tcPr>
            <w:tcW w:w="2020" w:type="dxa"/>
            <w:tcBorders>
              <w:top w:val="nil"/>
              <w:left w:val="nil"/>
              <w:bottom w:val="nil"/>
              <w:right w:val="single" w:sz="4" w:space="0" w:color="auto"/>
            </w:tcBorders>
            <w:shd w:val="clear" w:color="000000" w:fill="00B0F0"/>
            <w:noWrap/>
            <w:vAlign w:val="bottom"/>
            <w:hideMark/>
          </w:tcPr>
          <w:p w:rsidR="00AE6D1A" w:rsidRPr="00AE6D1A" w:rsidRDefault="00AE6D1A" w:rsidP="00C93F33">
            <w:pPr>
              <w:jc w:val="center"/>
              <w:rPr>
                <w:rFonts w:ascii="Verdana" w:eastAsia="Times New Roman" w:hAnsi="Verdana" w:cs="Arial"/>
                <w:b/>
                <w:bCs/>
                <w:sz w:val="20"/>
                <w:szCs w:val="20"/>
                <w:lang w:eastAsia="es-MX"/>
              </w:rPr>
            </w:pPr>
            <w:r w:rsidRPr="00AE6D1A">
              <w:rPr>
                <w:rFonts w:ascii="Verdana" w:eastAsia="Times New Roman" w:hAnsi="Verdana" w:cs="Arial"/>
                <w:b/>
                <w:bCs/>
                <w:sz w:val="20"/>
                <w:szCs w:val="20"/>
                <w:lang w:eastAsia="es-MX"/>
              </w:rPr>
              <w:t>PROYECTADO</w:t>
            </w:r>
          </w:p>
        </w:tc>
      </w:tr>
      <w:tr w:rsidR="00AE6D1A" w:rsidRPr="00AE6D1A" w:rsidTr="00AE6D1A">
        <w:trPr>
          <w:trHeight w:val="270"/>
        </w:trPr>
        <w:tc>
          <w:tcPr>
            <w:tcW w:w="1891" w:type="dxa"/>
            <w:tcBorders>
              <w:top w:val="nil"/>
              <w:left w:val="single" w:sz="4" w:space="0" w:color="auto"/>
              <w:bottom w:val="single" w:sz="4" w:space="0" w:color="auto"/>
              <w:right w:val="single" w:sz="8" w:space="0" w:color="auto"/>
            </w:tcBorders>
            <w:shd w:val="clear" w:color="000000" w:fill="00B0F0"/>
            <w:noWrap/>
            <w:vAlign w:val="bottom"/>
            <w:hideMark/>
          </w:tcPr>
          <w:p w:rsidR="00AE6D1A" w:rsidRPr="00AE6D1A" w:rsidRDefault="00AE6D1A" w:rsidP="00C93F33">
            <w:pPr>
              <w:rPr>
                <w:rFonts w:ascii="Verdana" w:eastAsia="Times New Roman" w:hAnsi="Verdana" w:cs="Arial"/>
                <w:b/>
                <w:bCs/>
                <w:sz w:val="20"/>
                <w:szCs w:val="20"/>
                <w:lang w:eastAsia="es-MX"/>
              </w:rPr>
            </w:pPr>
            <w:r w:rsidRPr="00AE6D1A">
              <w:rPr>
                <w:rFonts w:ascii="Verdana" w:eastAsia="Times New Roman" w:hAnsi="Verdana" w:cs="Arial"/>
                <w:b/>
                <w:bCs/>
                <w:sz w:val="20"/>
                <w:szCs w:val="20"/>
                <w:lang w:eastAsia="es-MX"/>
              </w:rPr>
              <w:t>PRESUPUESTAL</w:t>
            </w:r>
          </w:p>
        </w:tc>
        <w:tc>
          <w:tcPr>
            <w:tcW w:w="4640" w:type="dxa"/>
            <w:tcBorders>
              <w:top w:val="nil"/>
              <w:left w:val="nil"/>
              <w:bottom w:val="single" w:sz="4" w:space="0" w:color="auto"/>
              <w:right w:val="single" w:sz="8" w:space="0" w:color="auto"/>
            </w:tcBorders>
            <w:shd w:val="clear" w:color="000000" w:fill="00B0F0"/>
            <w:noWrap/>
            <w:vAlign w:val="bottom"/>
            <w:hideMark/>
          </w:tcPr>
          <w:p w:rsidR="00AE6D1A" w:rsidRPr="00AE6D1A" w:rsidRDefault="00AE6D1A" w:rsidP="00C93F33">
            <w:pPr>
              <w:jc w:val="both"/>
              <w:rPr>
                <w:rFonts w:ascii="Verdana" w:eastAsia="Times New Roman" w:hAnsi="Verdana" w:cs="Arial"/>
                <w:b/>
                <w:bCs/>
                <w:sz w:val="20"/>
                <w:szCs w:val="20"/>
                <w:lang w:eastAsia="es-MX"/>
              </w:rPr>
            </w:pPr>
            <w:r w:rsidRPr="00AE6D1A">
              <w:rPr>
                <w:rFonts w:ascii="Verdana" w:eastAsia="Times New Roman" w:hAnsi="Verdana" w:cs="Arial"/>
                <w:b/>
                <w:bCs/>
                <w:sz w:val="20"/>
                <w:szCs w:val="20"/>
                <w:lang w:eastAsia="es-MX"/>
              </w:rPr>
              <w:t> </w:t>
            </w:r>
          </w:p>
        </w:tc>
        <w:tc>
          <w:tcPr>
            <w:tcW w:w="1960" w:type="dxa"/>
            <w:tcBorders>
              <w:top w:val="nil"/>
              <w:left w:val="nil"/>
              <w:bottom w:val="single" w:sz="4" w:space="0" w:color="auto"/>
              <w:right w:val="single" w:sz="8" w:space="0" w:color="auto"/>
            </w:tcBorders>
            <w:shd w:val="clear" w:color="000000" w:fill="00B0F0"/>
            <w:noWrap/>
            <w:vAlign w:val="bottom"/>
            <w:hideMark/>
          </w:tcPr>
          <w:p w:rsidR="00AE6D1A" w:rsidRPr="00AE6D1A" w:rsidRDefault="00AE6D1A" w:rsidP="00C93F33">
            <w:pPr>
              <w:jc w:val="center"/>
              <w:rPr>
                <w:rFonts w:ascii="Verdana" w:eastAsia="Times New Roman" w:hAnsi="Verdana" w:cs="Arial"/>
                <w:b/>
                <w:bCs/>
                <w:sz w:val="20"/>
                <w:szCs w:val="20"/>
                <w:lang w:eastAsia="es-MX"/>
              </w:rPr>
            </w:pPr>
            <w:r w:rsidRPr="00AE6D1A">
              <w:rPr>
                <w:rFonts w:ascii="Verdana" w:eastAsia="Times New Roman" w:hAnsi="Verdana" w:cs="Arial"/>
                <w:b/>
                <w:bCs/>
                <w:sz w:val="20"/>
                <w:szCs w:val="20"/>
                <w:lang w:eastAsia="es-MX"/>
              </w:rPr>
              <w:t> </w:t>
            </w:r>
          </w:p>
        </w:tc>
        <w:tc>
          <w:tcPr>
            <w:tcW w:w="2020" w:type="dxa"/>
            <w:tcBorders>
              <w:top w:val="nil"/>
              <w:left w:val="nil"/>
              <w:bottom w:val="single" w:sz="4" w:space="0" w:color="auto"/>
              <w:right w:val="single" w:sz="4" w:space="0" w:color="auto"/>
            </w:tcBorders>
            <w:shd w:val="clear" w:color="000000" w:fill="00B0F0"/>
            <w:noWrap/>
            <w:vAlign w:val="bottom"/>
            <w:hideMark/>
          </w:tcPr>
          <w:p w:rsidR="00AE6D1A" w:rsidRPr="00AE6D1A" w:rsidRDefault="00AE6D1A" w:rsidP="00C93F33">
            <w:pPr>
              <w:jc w:val="center"/>
              <w:rPr>
                <w:rFonts w:ascii="Verdana" w:eastAsia="Times New Roman" w:hAnsi="Verdana" w:cs="Arial"/>
                <w:b/>
                <w:bCs/>
                <w:sz w:val="20"/>
                <w:szCs w:val="20"/>
                <w:lang w:eastAsia="es-MX"/>
              </w:rPr>
            </w:pPr>
            <w:r w:rsidRPr="00AE6D1A">
              <w:rPr>
                <w:rFonts w:ascii="Verdana" w:eastAsia="Times New Roman" w:hAnsi="Verdana" w:cs="Arial"/>
                <w:b/>
                <w:bCs/>
                <w:sz w:val="20"/>
                <w:szCs w:val="20"/>
                <w:lang w:eastAsia="es-MX"/>
              </w:rPr>
              <w:t> </w:t>
            </w:r>
          </w:p>
        </w:tc>
      </w:tr>
      <w:tr w:rsidR="00AE6D1A" w:rsidRPr="00AE6D1A" w:rsidTr="00AE6D1A">
        <w:trPr>
          <w:trHeight w:val="255"/>
        </w:trPr>
        <w:tc>
          <w:tcPr>
            <w:tcW w:w="1891" w:type="dxa"/>
            <w:tcBorders>
              <w:top w:val="nil"/>
              <w:left w:val="single" w:sz="4" w:space="0" w:color="auto"/>
              <w:bottom w:val="single" w:sz="4" w:space="0" w:color="auto"/>
              <w:right w:val="single" w:sz="4" w:space="0" w:color="auto"/>
            </w:tcBorders>
            <w:shd w:val="clear" w:color="000000" w:fill="FFFF00"/>
            <w:noWrap/>
            <w:vAlign w:val="bottom"/>
            <w:hideMark/>
          </w:tcPr>
          <w:p w:rsidR="00AE6D1A" w:rsidRPr="00AE6D1A" w:rsidRDefault="00AE6D1A" w:rsidP="00C93F33">
            <w:pPr>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0                   </w:t>
            </w:r>
          </w:p>
        </w:tc>
        <w:tc>
          <w:tcPr>
            <w:tcW w:w="464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both"/>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CUENTAS DE PRESUPUESTO Y TESORERÍA                                                                                                                     </w:t>
            </w:r>
          </w:p>
        </w:tc>
        <w:tc>
          <w:tcPr>
            <w:tcW w:w="196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center"/>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1,815,506,923 </w:t>
            </w:r>
          </w:p>
        </w:tc>
        <w:tc>
          <w:tcPr>
            <w:tcW w:w="202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right"/>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1,942,887,685 </w:t>
            </w:r>
          </w:p>
        </w:tc>
      </w:tr>
      <w:tr w:rsidR="00AE6D1A" w:rsidRPr="00AE6D1A" w:rsidTr="00AE6D1A">
        <w:trPr>
          <w:trHeight w:val="270"/>
        </w:trPr>
        <w:tc>
          <w:tcPr>
            <w:tcW w:w="1891" w:type="dxa"/>
            <w:tcBorders>
              <w:top w:val="nil"/>
              <w:left w:val="single" w:sz="4" w:space="0" w:color="auto"/>
              <w:bottom w:val="single" w:sz="4" w:space="0" w:color="auto"/>
              <w:right w:val="single" w:sz="4" w:space="0" w:color="auto"/>
            </w:tcBorders>
            <w:shd w:val="clear" w:color="000000" w:fill="FFFF00"/>
            <w:noWrap/>
            <w:vAlign w:val="bottom"/>
            <w:hideMark/>
          </w:tcPr>
          <w:p w:rsidR="00AE6D1A" w:rsidRPr="00AE6D1A" w:rsidRDefault="00AE6D1A" w:rsidP="00C93F33">
            <w:pPr>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02                  </w:t>
            </w:r>
          </w:p>
        </w:tc>
        <w:tc>
          <w:tcPr>
            <w:tcW w:w="464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both"/>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PRESUPUESTO DE INGRESOS Y TESORERÍA                                                                                                                    </w:t>
            </w:r>
          </w:p>
        </w:tc>
        <w:tc>
          <w:tcPr>
            <w:tcW w:w="196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center"/>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1,815,506,923 </w:t>
            </w:r>
          </w:p>
        </w:tc>
        <w:tc>
          <w:tcPr>
            <w:tcW w:w="202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right"/>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1,942,887,685 </w:t>
            </w:r>
          </w:p>
        </w:tc>
      </w:tr>
      <w:tr w:rsidR="00AE6D1A" w:rsidRPr="00AE6D1A" w:rsidTr="00AE6D1A">
        <w:trPr>
          <w:trHeight w:val="270"/>
        </w:trPr>
        <w:tc>
          <w:tcPr>
            <w:tcW w:w="1891" w:type="dxa"/>
            <w:tcBorders>
              <w:top w:val="nil"/>
              <w:left w:val="single" w:sz="4" w:space="0" w:color="auto"/>
              <w:bottom w:val="single" w:sz="4" w:space="0" w:color="auto"/>
              <w:right w:val="single" w:sz="4" w:space="0" w:color="auto"/>
            </w:tcBorders>
            <w:shd w:val="clear" w:color="000000" w:fill="FFFF00"/>
            <w:noWrap/>
            <w:vAlign w:val="bottom"/>
            <w:hideMark/>
          </w:tcPr>
          <w:p w:rsidR="00AE6D1A" w:rsidRPr="00AE6D1A" w:rsidRDefault="00AE6D1A" w:rsidP="00C93F33">
            <w:pPr>
              <w:rPr>
                <w:rFonts w:ascii="Verdana" w:eastAsia="Times New Roman" w:hAnsi="Verdana" w:cs="Arial"/>
                <w:b/>
                <w:bCs/>
                <w:sz w:val="18"/>
                <w:szCs w:val="18"/>
                <w:lang w:eastAsia="es-MX"/>
              </w:rPr>
            </w:pPr>
            <w:r w:rsidRPr="00AE6D1A">
              <w:rPr>
                <w:rFonts w:ascii="Verdana" w:eastAsia="Times New Roman" w:hAnsi="Verdana" w:cs="Arial"/>
                <w:b/>
                <w:bCs/>
                <w:sz w:val="18"/>
                <w:szCs w:val="18"/>
                <w:lang w:eastAsia="es-MX"/>
              </w:rPr>
              <w:t xml:space="preserve">0202                </w:t>
            </w:r>
          </w:p>
        </w:tc>
        <w:tc>
          <w:tcPr>
            <w:tcW w:w="464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both"/>
              <w:rPr>
                <w:rFonts w:ascii="Verdana" w:eastAsia="Times New Roman" w:hAnsi="Verdana" w:cs="Arial"/>
                <w:b/>
                <w:bCs/>
                <w:sz w:val="18"/>
                <w:szCs w:val="18"/>
                <w:lang w:eastAsia="es-MX"/>
              </w:rPr>
            </w:pPr>
            <w:r w:rsidRPr="00AE6D1A">
              <w:rPr>
                <w:rFonts w:ascii="Verdana" w:eastAsia="Times New Roman" w:hAnsi="Verdana" w:cs="Arial"/>
                <w:b/>
                <w:bCs/>
                <w:sz w:val="18"/>
                <w:szCs w:val="18"/>
                <w:lang w:eastAsia="es-MX"/>
              </w:rPr>
              <w:t xml:space="preserve"> INGRESOS TRIBUTARIOS APROBADOS (DB)                                                                                                                    </w:t>
            </w:r>
          </w:p>
        </w:tc>
        <w:tc>
          <w:tcPr>
            <w:tcW w:w="196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center"/>
              <w:rPr>
                <w:rFonts w:ascii="Verdana" w:eastAsia="Times New Roman" w:hAnsi="Verdana" w:cs="Arial"/>
                <w:b/>
                <w:bCs/>
                <w:sz w:val="18"/>
                <w:szCs w:val="18"/>
                <w:lang w:eastAsia="es-MX"/>
              </w:rPr>
            </w:pPr>
            <w:r w:rsidRPr="00AE6D1A">
              <w:rPr>
                <w:rFonts w:ascii="Verdana" w:eastAsia="Times New Roman" w:hAnsi="Verdana" w:cs="Arial"/>
                <w:b/>
                <w:bCs/>
                <w:sz w:val="18"/>
                <w:szCs w:val="18"/>
                <w:lang w:eastAsia="es-MX"/>
              </w:rPr>
              <w:t xml:space="preserve">       231,759,314 </w:t>
            </w:r>
          </w:p>
        </w:tc>
        <w:tc>
          <w:tcPr>
            <w:tcW w:w="202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right"/>
              <w:rPr>
                <w:rFonts w:ascii="Verdana" w:eastAsia="Times New Roman" w:hAnsi="Verdana" w:cs="Arial"/>
                <w:b/>
                <w:bCs/>
                <w:sz w:val="18"/>
                <w:szCs w:val="18"/>
                <w:lang w:eastAsia="es-MX"/>
              </w:rPr>
            </w:pPr>
            <w:r w:rsidRPr="00AE6D1A">
              <w:rPr>
                <w:rFonts w:ascii="Verdana" w:eastAsia="Times New Roman" w:hAnsi="Verdana" w:cs="Arial"/>
                <w:b/>
                <w:bCs/>
                <w:sz w:val="18"/>
                <w:szCs w:val="18"/>
                <w:lang w:eastAsia="es-MX"/>
              </w:rPr>
              <w:t xml:space="preserve">        231,759,314 </w:t>
            </w:r>
          </w:p>
        </w:tc>
      </w:tr>
      <w:tr w:rsidR="00AE6D1A" w:rsidRPr="00AE6D1A" w:rsidTr="00AE6D1A">
        <w:trPr>
          <w:trHeight w:val="255"/>
        </w:trPr>
        <w:tc>
          <w:tcPr>
            <w:tcW w:w="1891" w:type="dxa"/>
            <w:tcBorders>
              <w:top w:val="nil"/>
              <w:left w:val="single" w:sz="4" w:space="0" w:color="auto"/>
              <w:bottom w:val="single" w:sz="4" w:space="0" w:color="auto"/>
              <w:right w:val="single" w:sz="4" w:space="0" w:color="auto"/>
            </w:tcBorders>
            <w:shd w:val="clear" w:color="000000" w:fill="FFFF00"/>
            <w:noWrap/>
            <w:vAlign w:val="bottom"/>
            <w:hideMark/>
          </w:tcPr>
          <w:p w:rsidR="00AE6D1A" w:rsidRPr="00AE6D1A" w:rsidRDefault="00AE6D1A" w:rsidP="00C93F33">
            <w:pPr>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0203                </w:t>
            </w:r>
          </w:p>
        </w:tc>
        <w:tc>
          <w:tcPr>
            <w:tcW w:w="464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both"/>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INGRESOS NO TRIBUTARIOS APROBADOS (DB)                                                                                                                 </w:t>
            </w:r>
          </w:p>
        </w:tc>
        <w:tc>
          <w:tcPr>
            <w:tcW w:w="196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center"/>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137,004,344 </w:t>
            </w:r>
          </w:p>
        </w:tc>
        <w:tc>
          <w:tcPr>
            <w:tcW w:w="202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right"/>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137,004,344 </w:t>
            </w:r>
          </w:p>
        </w:tc>
      </w:tr>
      <w:tr w:rsidR="00AE6D1A" w:rsidRPr="00AE6D1A" w:rsidTr="00AE6D1A">
        <w:trPr>
          <w:trHeight w:val="255"/>
        </w:trPr>
        <w:tc>
          <w:tcPr>
            <w:tcW w:w="1891" w:type="dxa"/>
            <w:tcBorders>
              <w:top w:val="nil"/>
              <w:left w:val="single" w:sz="4" w:space="0" w:color="auto"/>
              <w:bottom w:val="single" w:sz="4" w:space="0" w:color="auto"/>
              <w:right w:val="single" w:sz="4" w:space="0" w:color="auto"/>
            </w:tcBorders>
            <w:shd w:val="clear" w:color="000000" w:fill="FFFF00"/>
            <w:noWrap/>
            <w:vAlign w:val="bottom"/>
            <w:hideMark/>
          </w:tcPr>
          <w:p w:rsidR="00AE6D1A" w:rsidRPr="00AE6D1A" w:rsidRDefault="00AE6D1A" w:rsidP="00C93F33">
            <w:pPr>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0204                </w:t>
            </w:r>
          </w:p>
        </w:tc>
        <w:tc>
          <w:tcPr>
            <w:tcW w:w="464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both"/>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TRANSFERENCIAS Y APORTES APROBADOS (DB)                                                                                                                </w:t>
            </w:r>
          </w:p>
        </w:tc>
        <w:tc>
          <w:tcPr>
            <w:tcW w:w="196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center"/>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1,441,733,265 </w:t>
            </w:r>
          </w:p>
        </w:tc>
        <w:tc>
          <w:tcPr>
            <w:tcW w:w="202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right"/>
              <w:rPr>
                <w:rFonts w:ascii="Verdana" w:eastAsia="Times New Roman" w:hAnsi="Verdana" w:cs="Arial"/>
                <w:sz w:val="18"/>
                <w:szCs w:val="18"/>
                <w:lang w:eastAsia="es-MX"/>
              </w:rPr>
            </w:pPr>
            <w:r w:rsidRPr="00AE6D1A">
              <w:rPr>
                <w:rFonts w:ascii="Verdana" w:eastAsia="Times New Roman" w:hAnsi="Verdana" w:cs="Arial"/>
                <w:sz w:val="18"/>
                <w:szCs w:val="18"/>
                <w:lang w:eastAsia="es-MX"/>
              </w:rPr>
              <w:t xml:space="preserve">        1,569,114,027 </w:t>
            </w:r>
          </w:p>
        </w:tc>
      </w:tr>
      <w:tr w:rsidR="00AE6D1A" w:rsidRPr="00AE6D1A" w:rsidTr="00AE6D1A">
        <w:trPr>
          <w:trHeight w:val="255"/>
        </w:trPr>
        <w:tc>
          <w:tcPr>
            <w:tcW w:w="1891" w:type="dxa"/>
            <w:tcBorders>
              <w:top w:val="nil"/>
              <w:left w:val="single" w:sz="4" w:space="0" w:color="auto"/>
              <w:bottom w:val="single" w:sz="4" w:space="0" w:color="auto"/>
              <w:right w:val="single" w:sz="4" w:space="0" w:color="auto"/>
            </w:tcBorders>
            <w:shd w:val="clear" w:color="000000" w:fill="FFFF00"/>
            <w:noWrap/>
            <w:vAlign w:val="bottom"/>
            <w:hideMark/>
          </w:tcPr>
          <w:p w:rsidR="00AE6D1A" w:rsidRPr="00AE6D1A" w:rsidRDefault="00AE6D1A" w:rsidP="00C93F33">
            <w:pPr>
              <w:rPr>
                <w:rFonts w:ascii="Verdana" w:eastAsia="Times New Roman" w:hAnsi="Verdana" w:cs="Arial"/>
                <w:sz w:val="20"/>
                <w:szCs w:val="20"/>
                <w:lang w:eastAsia="es-MX"/>
              </w:rPr>
            </w:pPr>
            <w:r w:rsidRPr="00AE6D1A">
              <w:rPr>
                <w:rFonts w:ascii="Verdana" w:eastAsia="Times New Roman" w:hAnsi="Verdana" w:cs="Arial"/>
                <w:sz w:val="20"/>
                <w:szCs w:val="20"/>
                <w:lang w:eastAsia="es-MX"/>
              </w:rPr>
              <w:t xml:space="preserve">0207                </w:t>
            </w:r>
          </w:p>
        </w:tc>
        <w:tc>
          <w:tcPr>
            <w:tcW w:w="464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both"/>
              <w:rPr>
                <w:rFonts w:ascii="Verdana" w:eastAsia="Times New Roman" w:hAnsi="Verdana" w:cs="Arial"/>
                <w:sz w:val="20"/>
                <w:szCs w:val="20"/>
                <w:lang w:eastAsia="es-MX"/>
              </w:rPr>
            </w:pPr>
            <w:r w:rsidRPr="00AE6D1A">
              <w:rPr>
                <w:rFonts w:ascii="Verdana" w:eastAsia="Times New Roman" w:hAnsi="Verdana" w:cs="Arial"/>
                <w:sz w:val="20"/>
                <w:szCs w:val="20"/>
                <w:lang w:eastAsia="es-MX"/>
              </w:rPr>
              <w:t xml:space="preserve"> RECURSOS DE CAPITAL APROBADOS (DB)                                                                                                                     </w:t>
            </w:r>
          </w:p>
        </w:tc>
        <w:tc>
          <w:tcPr>
            <w:tcW w:w="196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center"/>
              <w:rPr>
                <w:rFonts w:ascii="Verdana" w:eastAsia="Times New Roman" w:hAnsi="Verdana" w:cs="Arial"/>
                <w:sz w:val="20"/>
                <w:szCs w:val="20"/>
                <w:lang w:eastAsia="es-MX"/>
              </w:rPr>
            </w:pPr>
            <w:r w:rsidRPr="00AE6D1A">
              <w:rPr>
                <w:rFonts w:ascii="Verdana" w:eastAsia="Times New Roman" w:hAnsi="Verdana" w:cs="Arial"/>
                <w:sz w:val="20"/>
                <w:szCs w:val="20"/>
                <w:lang w:eastAsia="es-MX"/>
              </w:rPr>
              <w:t xml:space="preserve">          5,010,000 </w:t>
            </w:r>
          </w:p>
        </w:tc>
        <w:tc>
          <w:tcPr>
            <w:tcW w:w="2020" w:type="dxa"/>
            <w:tcBorders>
              <w:top w:val="nil"/>
              <w:left w:val="nil"/>
              <w:bottom w:val="single" w:sz="4" w:space="0" w:color="auto"/>
              <w:right w:val="single" w:sz="4" w:space="0" w:color="auto"/>
            </w:tcBorders>
            <w:shd w:val="clear" w:color="000000" w:fill="FFFF00"/>
            <w:noWrap/>
            <w:vAlign w:val="bottom"/>
            <w:hideMark/>
          </w:tcPr>
          <w:p w:rsidR="00AE6D1A" w:rsidRPr="00AE6D1A" w:rsidRDefault="00AE6D1A" w:rsidP="00C93F33">
            <w:pPr>
              <w:jc w:val="right"/>
              <w:rPr>
                <w:rFonts w:ascii="Verdana" w:eastAsia="Times New Roman" w:hAnsi="Verdana" w:cs="Arial"/>
                <w:sz w:val="20"/>
                <w:szCs w:val="20"/>
                <w:lang w:eastAsia="es-MX"/>
              </w:rPr>
            </w:pPr>
            <w:r w:rsidRPr="00AE6D1A">
              <w:rPr>
                <w:rFonts w:ascii="Verdana" w:eastAsia="Times New Roman" w:hAnsi="Verdana" w:cs="Arial"/>
                <w:sz w:val="20"/>
                <w:szCs w:val="20"/>
                <w:lang w:eastAsia="es-MX"/>
              </w:rPr>
              <w:t xml:space="preserve">           5,010,000 </w:t>
            </w:r>
          </w:p>
        </w:tc>
      </w:tr>
    </w:tbl>
    <w:p w:rsidR="00B4459B" w:rsidRDefault="00B4459B" w:rsidP="00C93F33">
      <w:pPr>
        <w:jc w:val="both"/>
        <w:rPr>
          <w:b/>
          <w:sz w:val="28"/>
          <w:szCs w:val="28"/>
        </w:rPr>
      </w:pPr>
    </w:p>
    <w:p w:rsidR="00E43B49" w:rsidRDefault="00B4459B" w:rsidP="00767457">
      <w:pPr>
        <w:pStyle w:val="Ttulo1"/>
      </w:pPr>
      <w:r>
        <w:t>ANEXO 2</w:t>
      </w:r>
    </w:p>
    <w:p w:rsidR="00767457" w:rsidRPr="00E43B49" w:rsidRDefault="00767457" w:rsidP="00C93F33">
      <w:pPr>
        <w:jc w:val="both"/>
        <w:rPr>
          <w:b/>
          <w:sz w:val="28"/>
          <w:szCs w:val="28"/>
        </w:rPr>
      </w:pPr>
    </w:p>
    <w:p w:rsidR="00AE6D1A" w:rsidRPr="00E43B49" w:rsidRDefault="00E43B49" w:rsidP="00C93F33">
      <w:pPr>
        <w:jc w:val="both"/>
        <w:rPr>
          <w:b/>
          <w:sz w:val="28"/>
          <w:szCs w:val="28"/>
        </w:rPr>
      </w:pPr>
      <w:r w:rsidRPr="00E43B49">
        <w:rPr>
          <w:b/>
          <w:sz w:val="28"/>
          <w:szCs w:val="28"/>
        </w:rPr>
        <w:t>RESUMEN EJECUCION PRESUPUESTO DE GASTOS 2012</w:t>
      </w:r>
    </w:p>
    <w:tbl>
      <w:tblPr>
        <w:tblpPr w:leftFromText="141" w:rightFromText="141" w:vertAnchor="text" w:horzAnchor="margin" w:tblpXSpec="center" w:tblpY="288"/>
        <w:tblW w:w="10563" w:type="dxa"/>
        <w:tblCellMar>
          <w:left w:w="70" w:type="dxa"/>
          <w:right w:w="70" w:type="dxa"/>
        </w:tblCellMar>
        <w:tblLook w:val="04A0" w:firstRow="1" w:lastRow="0" w:firstColumn="1" w:lastColumn="0" w:noHBand="0" w:noVBand="1"/>
      </w:tblPr>
      <w:tblGrid>
        <w:gridCol w:w="1654"/>
        <w:gridCol w:w="5341"/>
        <w:gridCol w:w="1753"/>
        <w:gridCol w:w="1815"/>
      </w:tblGrid>
      <w:tr w:rsidR="00E43B49" w:rsidRPr="00E43B49" w:rsidTr="00E43B49">
        <w:trPr>
          <w:trHeight w:val="262"/>
        </w:trPr>
        <w:tc>
          <w:tcPr>
            <w:tcW w:w="1654"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E43B49" w:rsidRPr="00E43B49" w:rsidRDefault="00E43B49" w:rsidP="00C93F33">
            <w:pPr>
              <w:jc w:val="center"/>
              <w:rPr>
                <w:rFonts w:ascii="Arial" w:eastAsia="Times New Roman" w:hAnsi="Arial" w:cs="Arial"/>
                <w:b/>
                <w:bCs/>
                <w:sz w:val="16"/>
                <w:szCs w:val="16"/>
                <w:lang w:eastAsia="es-MX"/>
              </w:rPr>
            </w:pPr>
            <w:r w:rsidRPr="00E43B49">
              <w:rPr>
                <w:rFonts w:ascii="Arial" w:eastAsia="Times New Roman" w:hAnsi="Arial" w:cs="Arial"/>
                <w:b/>
                <w:bCs/>
                <w:sz w:val="16"/>
                <w:szCs w:val="16"/>
                <w:lang w:eastAsia="es-MX"/>
              </w:rPr>
              <w:t>RUBRO PRESUPUESTAL</w:t>
            </w:r>
          </w:p>
        </w:tc>
        <w:tc>
          <w:tcPr>
            <w:tcW w:w="5341"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E43B49" w:rsidRPr="00E43B49" w:rsidRDefault="00E43B49" w:rsidP="00C93F33">
            <w:pPr>
              <w:jc w:val="center"/>
              <w:rPr>
                <w:rFonts w:ascii="Arial" w:eastAsia="Times New Roman" w:hAnsi="Arial" w:cs="Arial"/>
                <w:b/>
                <w:bCs/>
                <w:sz w:val="16"/>
                <w:szCs w:val="16"/>
                <w:lang w:eastAsia="es-MX"/>
              </w:rPr>
            </w:pPr>
            <w:r w:rsidRPr="00E43B49">
              <w:rPr>
                <w:rFonts w:ascii="Arial" w:eastAsia="Times New Roman" w:hAnsi="Arial" w:cs="Arial"/>
                <w:b/>
                <w:bCs/>
                <w:sz w:val="16"/>
                <w:szCs w:val="16"/>
                <w:lang w:eastAsia="es-MX"/>
              </w:rPr>
              <w:t>CONCEPTO</w:t>
            </w:r>
          </w:p>
        </w:tc>
        <w:tc>
          <w:tcPr>
            <w:tcW w:w="1753"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E43B49" w:rsidRPr="00E43B49" w:rsidRDefault="00E43B49" w:rsidP="00C93F33">
            <w:pPr>
              <w:jc w:val="center"/>
              <w:rPr>
                <w:rFonts w:ascii="Arial" w:eastAsia="Times New Roman" w:hAnsi="Arial" w:cs="Arial"/>
                <w:b/>
                <w:bCs/>
                <w:sz w:val="16"/>
                <w:szCs w:val="16"/>
                <w:lang w:eastAsia="es-MX"/>
              </w:rPr>
            </w:pPr>
            <w:r w:rsidRPr="00E43B49">
              <w:rPr>
                <w:rFonts w:ascii="Arial" w:eastAsia="Times New Roman" w:hAnsi="Arial" w:cs="Arial"/>
                <w:b/>
                <w:bCs/>
                <w:sz w:val="16"/>
                <w:szCs w:val="16"/>
                <w:lang w:eastAsia="es-MX"/>
              </w:rPr>
              <w:t>PRESUPUESTO INICIAL</w:t>
            </w:r>
          </w:p>
        </w:tc>
        <w:tc>
          <w:tcPr>
            <w:tcW w:w="1815"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E43B49" w:rsidRPr="00E43B49" w:rsidRDefault="00E43B49" w:rsidP="00C93F33">
            <w:pPr>
              <w:jc w:val="center"/>
              <w:rPr>
                <w:rFonts w:ascii="Arial" w:eastAsia="Times New Roman" w:hAnsi="Arial" w:cs="Arial"/>
                <w:b/>
                <w:bCs/>
                <w:sz w:val="16"/>
                <w:szCs w:val="16"/>
                <w:lang w:eastAsia="es-MX"/>
              </w:rPr>
            </w:pPr>
            <w:r w:rsidRPr="00E43B49">
              <w:rPr>
                <w:rFonts w:ascii="Arial" w:eastAsia="Times New Roman" w:hAnsi="Arial" w:cs="Arial"/>
                <w:b/>
                <w:bCs/>
                <w:sz w:val="16"/>
                <w:szCs w:val="16"/>
                <w:lang w:eastAsia="es-MX"/>
              </w:rPr>
              <w:t>PRESUPUESTO DEFINITIVO</w:t>
            </w:r>
          </w:p>
        </w:tc>
      </w:tr>
      <w:tr w:rsidR="00E43B49" w:rsidRPr="00E43B49" w:rsidTr="00E43B49">
        <w:trPr>
          <w:trHeight w:val="262"/>
        </w:trPr>
        <w:tc>
          <w:tcPr>
            <w:tcW w:w="1654" w:type="dxa"/>
            <w:vMerge/>
            <w:tcBorders>
              <w:top w:val="single" w:sz="8" w:space="0" w:color="auto"/>
              <w:left w:val="single" w:sz="8" w:space="0" w:color="auto"/>
              <w:bottom w:val="single" w:sz="8" w:space="0" w:color="000000"/>
              <w:right w:val="single" w:sz="8" w:space="0" w:color="auto"/>
            </w:tcBorders>
            <w:vAlign w:val="center"/>
            <w:hideMark/>
          </w:tcPr>
          <w:p w:rsidR="00E43B49" w:rsidRPr="00E43B49" w:rsidRDefault="00E43B49" w:rsidP="00C93F33">
            <w:pPr>
              <w:rPr>
                <w:rFonts w:ascii="Arial" w:eastAsia="Times New Roman" w:hAnsi="Arial" w:cs="Arial"/>
                <w:b/>
                <w:bCs/>
                <w:sz w:val="16"/>
                <w:szCs w:val="16"/>
                <w:lang w:eastAsia="es-MX"/>
              </w:rPr>
            </w:pPr>
          </w:p>
        </w:tc>
        <w:tc>
          <w:tcPr>
            <w:tcW w:w="5341" w:type="dxa"/>
            <w:vMerge/>
            <w:tcBorders>
              <w:top w:val="single" w:sz="8" w:space="0" w:color="auto"/>
              <w:left w:val="single" w:sz="8" w:space="0" w:color="auto"/>
              <w:bottom w:val="single" w:sz="8" w:space="0" w:color="000000"/>
              <w:right w:val="single" w:sz="8" w:space="0" w:color="auto"/>
            </w:tcBorders>
            <w:vAlign w:val="center"/>
            <w:hideMark/>
          </w:tcPr>
          <w:p w:rsidR="00E43B49" w:rsidRPr="00E43B49" w:rsidRDefault="00E43B49" w:rsidP="00C93F33">
            <w:pPr>
              <w:rPr>
                <w:rFonts w:ascii="Arial" w:eastAsia="Times New Roman" w:hAnsi="Arial" w:cs="Arial"/>
                <w:b/>
                <w:bCs/>
                <w:sz w:val="16"/>
                <w:szCs w:val="16"/>
                <w:lang w:eastAsia="es-MX"/>
              </w:rPr>
            </w:pPr>
          </w:p>
        </w:tc>
        <w:tc>
          <w:tcPr>
            <w:tcW w:w="1753" w:type="dxa"/>
            <w:vMerge/>
            <w:tcBorders>
              <w:top w:val="single" w:sz="8" w:space="0" w:color="auto"/>
              <w:left w:val="single" w:sz="8" w:space="0" w:color="auto"/>
              <w:bottom w:val="single" w:sz="8" w:space="0" w:color="000000"/>
              <w:right w:val="single" w:sz="8" w:space="0" w:color="auto"/>
            </w:tcBorders>
            <w:vAlign w:val="center"/>
            <w:hideMark/>
          </w:tcPr>
          <w:p w:rsidR="00E43B49" w:rsidRPr="00E43B49" w:rsidRDefault="00E43B49" w:rsidP="00C93F33">
            <w:pPr>
              <w:rPr>
                <w:rFonts w:ascii="Arial" w:eastAsia="Times New Roman" w:hAnsi="Arial" w:cs="Arial"/>
                <w:b/>
                <w:bCs/>
                <w:sz w:val="16"/>
                <w:szCs w:val="16"/>
                <w:lang w:eastAsia="es-MX"/>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rsidR="00E43B49" w:rsidRPr="00E43B49" w:rsidRDefault="00E43B49" w:rsidP="00C93F33">
            <w:pPr>
              <w:rPr>
                <w:rFonts w:ascii="Arial" w:eastAsia="Times New Roman" w:hAnsi="Arial" w:cs="Arial"/>
                <w:b/>
                <w:bCs/>
                <w:sz w:val="16"/>
                <w:szCs w:val="16"/>
                <w:lang w:eastAsia="es-MX"/>
              </w:rPr>
            </w:pPr>
          </w:p>
        </w:tc>
      </w:tr>
      <w:tr w:rsidR="00E43B49" w:rsidRPr="00E43B49" w:rsidTr="00E43B49">
        <w:trPr>
          <w:trHeight w:val="510"/>
        </w:trPr>
        <w:tc>
          <w:tcPr>
            <w:tcW w:w="1654" w:type="dxa"/>
            <w:vMerge/>
            <w:tcBorders>
              <w:top w:val="single" w:sz="8" w:space="0" w:color="auto"/>
              <w:left w:val="single" w:sz="8" w:space="0" w:color="auto"/>
              <w:bottom w:val="single" w:sz="4" w:space="0" w:color="auto"/>
              <w:right w:val="single" w:sz="8" w:space="0" w:color="auto"/>
            </w:tcBorders>
            <w:vAlign w:val="center"/>
            <w:hideMark/>
          </w:tcPr>
          <w:p w:rsidR="00E43B49" w:rsidRPr="00E43B49" w:rsidRDefault="00E43B49" w:rsidP="00C93F33">
            <w:pPr>
              <w:rPr>
                <w:rFonts w:ascii="Arial" w:eastAsia="Times New Roman" w:hAnsi="Arial" w:cs="Arial"/>
                <w:b/>
                <w:bCs/>
                <w:sz w:val="16"/>
                <w:szCs w:val="16"/>
                <w:lang w:eastAsia="es-MX"/>
              </w:rPr>
            </w:pPr>
          </w:p>
        </w:tc>
        <w:tc>
          <w:tcPr>
            <w:tcW w:w="5341" w:type="dxa"/>
            <w:vMerge/>
            <w:tcBorders>
              <w:top w:val="single" w:sz="8" w:space="0" w:color="auto"/>
              <w:left w:val="single" w:sz="8" w:space="0" w:color="auto"/>
              <w:bottom w:val="single" w:sz="8" w:space="0" w:color="000000"/>
              <w:right w:val="single" w:sz="8" w:space="0" w:color="auto"/>
            </w:tcBorders>
            <w:vAlign w:val="center"/>
            <w:hideMark/>
          </w:tcPr>
          <w:p w:rsidR="00E43B49" w:rsidRPr="00E43B49" w:rsidRDefault="00E43B49" w:rsidP="00C93F33">
            <w:pPr>
              <w:rPr>
                <w:rFonts w:ascii="Arial" w:eastAsia="Times New Roman" w:hAnsi="Arial" w:cs="Arial"/>
                <w:b/>
                <w:bCs/>
                <w:sz w:val="16"/>
                <w:szCs w:val="16"/>
                <w:lang w:eastAsia="es-MX"/>
              </w:rPr>
            </w:pPr>
          </w:p>
        </w:tc>
        <w:tc>
          <w:tcPr>
            <w:tcW w:w="1753" w:type="dxa"/>
            <w:vMerge/>
            <w:tcBorders>
              <w:top w:val="single" w:sz="8" w:space="0" w:color="auto"/>
              <w:left w:val="single" w:sz="8" w:space="0" w:color="auto"/>
              <w:bottom w:val="single" w:sz="8" w:space="0" w:color="000000"/>
              <w:right w:val="single" w:sz="8" w:space="0" w:color="auto"/>
            </w:tcBorders>
            <w:vAlign w:val="center"/>
            <w:hideMark/>
          </w:tcPr>
          <w:p w:rsidR="00E43B49" w:rsidRPr="00E43B49" w:rsidRDefault="00E43B49" w:rsidP="00C93F33">
            <w:pPr>
              <w:rPr>
                <w:rFonts w:ascii="Arial" w:eastAsia="Times New Roman" w:hAnsi="Arial" w:cs="Arial"/>
                <w:b/>
                <w:bCs/>
                <w:sz w:val="16"/>
                <w:szCs w:val="16"/>
                <w:lang w:eastAsia="es-MX"/>
              </w:rPr>
            </w:pPr>
          </w:p>
        </w:tc>
        <w:tc>
          <w:tcPr>
            <w:tcW w:w="1815" w:type="dxa"/>
            <w:vMerge/>
            <w:tcBorders>
              <w:top w:val="single" w:sz="8" w:space="0" w:color="auto"/>
              <w:left w:val="single" w:sz="8" w:space="0" w:color="auto"/>
              <w:bottom w:val="single" w:sz="8" w:space="0" w:color="000000"/>
              <w:right w:val="single" w:sz="8" w:space="0" w:color="auto"/>
            </w:tcBorders>
            <w:vAlign w:val="center"/>
            <w:hideMark/>
          </w:tcPr>
          <w:p w:rsidR="00E43B49" w:rsidRPr="00E43B49" w:rsidRDefault="00E43B49" w:rsidP="00C93F33">
            <w:pPr>
              <w:rPr>
                <w:rFonts w:ascii="Arial" w:eastAsia="Times New Roman" w:hAnsi="Arial" w:cs="Arial"/>
                <w:b/>
                <w:bCs/>
                <w:sz w:val="16"/>
                <w:szCs w:val="16"/>
                <w:lang w:eastAsia="es-MX"/>
              </w:rPr>
            </w:pP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MS Sans Serif" w:eastAsia="Times New Roman" w:hAnsi="MS Sans Serif" w:cs="Times New Roman"/>
                <w:sz w:val="20"/>
                <w:szCs w:val="20"/>
                <w:lang w:eastAsia="es-MX"/>
              </w:rPr>
            </w:pPr>
            <w:r w:rsidRPr="00E43B49">
              <w:rPr>
                <w:rFonts w:ascii="MS Sans Serif" w:eastAsia="Times New Roman" w:hAnsi="MS Sans Serif" w:cs="Times New Roman"/>
                <w:sz w:val="20"/>
                <w:szCs w:val="20"/>
                <w:lang w:eastAsia="es-MX"/>
              </w:rPr>
              <w:t> </w:t>
            </w:r>
          </w:p>
        </w:tc>
        <w:tc>
          <w:tcPr>
            <w:tcW w:w="5341"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rPr>
                <w:rFonts w:ascii="MS Sans Serif" w:eastAsia="Times New Roman" w:hAnsi="MS Sans Serif" w:cs="Times New Roman"/>
                <w:sz w:val="16"/>
                <w:szCs w:val="16"/>
                <w:lang w:eastAsia="es-MX"/>
              </w:rPr>
            </w:pPr>
            <w:r w:rsidRPr="00E43B49">
              <w:rPr>
                <w:rFonts w:ascii="MS Sans Serif" w:eastAsia="Times New Roman" w:hAnsi="MS Sans Serif" w:cs="Times New Roman"/>
                <w:sz w:val="16"/>
                <w:szCs w:val="16"/>
                <w:lang w:eastAsia="es-MX"/>
              </w:rPr>
              <w:t>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rPr>
                <w:rFonts w:ascii="MS Sans Serif" w:eastAsia="Times New Roman" w:hAnsi="MS Sans Serif" w:cs="Times New Roman"/>
                <w:sz w:val="20"/>
                <w:szCs w:val="20"/>
                <w:lang w:eastAsia="es-MX"/>
              </w:rPr>
            </w:pPr>
            <w:r w:rsidRPr="00E43B49">
              <w:rPr>
                <w:rFonts w:ascii="MS Sans Serif" w:eastAsia="Times New Roman" w:hAnsi="MS Sans Serif" w:cs="Times New Roman"/>
                <w:sz w:val="20"/>
                <w:szCs w:val="20"/>
                <w:lang w:eastAsia="es-MX"/>
              </w:rPr>
              <w:t> </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w:t>
            </w: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20"/>
                <w:szCs w:val="20"/>
                <w:lang w:eastAsia="es-MX"/>
              </w:rPr>
            </w:pPr>
            <w:r w:rsidRPr="00E43B49">
              <w:rPr>
                <w:rFonts w:ascii="Arial" w:eastAsia="Times New Roman" w:hAnsi="Arial" w:cs="Arial"/>
                <w:sz w:val="20"/>
                <w:szCs w:val="20"/>
                <w:lang w:eastAsia="es-MX"/>
              </w:rPr>
              <w:t xml:space="preserve">0                   </w:t>
            </w:r>
          </w:p>
        </w:tc>
        <w:tc>
          <w:tcPr>
            <w:tcW w:w="5341" w:type="dxa"/>
            <w:tcBorders>
              <w:top w:val="nil"/>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xml:space="preserve">CUENTAS DE PRESUPUESTO Y TESORERÍA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1,815,506,923</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1,942,887,685</w:t>
            </w: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20"/>
                <w:szCs w:val="20"/>
                <w:lang w:eastAsia="es-MX"/>
              </w:rPr>
            </w:pPr>
            <w:r w:rsidRPr="00E43B49">
              <w:rPr>
                <w:rFonts w:ascii="Arial" w:eastAsia="Times New Roman" w:hAnsi="Arial" w:cs="Arial"/>
                <w:sz w:val="20"/>
                <w:szCs w:val="20"/>
                <w:lang w:eastAsia="es-MX"/>
              </w:rPr>
              <w:t xml:space="preserve">03                  </w:t>
            </w:r>
          </w:p>
        </w:tc>
        <w:tc>
          <w:tcPr>
            <w:tcW w:w="5341" w:type="dxa"/>
            <w:tcBorders>
              <w:top w:val="nil"/>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xml:space="preserve">PRESUPUESTO DE GASTOS DE FUNCIONAMIENTO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515,909,211</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537,807,578</w:t>
            </w: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20"/>
                <w:szCs w:val="20"/>
                <w:lang w:eastAsia="es-MX"/>
              </w:rPr>
            </w:pPr>
            <w:r w:rsidRPr="00E43B49">
              <w:rPr>
                <w:rFonts w:ascii="Arial" w:eastAsia="Times New Roman" w:hAnsi="Arial" w:cs="Arial"/>
                <w:sz w:val="20"/>
                <w:szCs w:val="20"/>
                <w:lang w:eastAsia="es-MX"/>
              </w:rPr>
              <w:t xml:space="preserve">0320                </w:t>
            </w:r>
          </w:p>
        </w:tc>
        <w:tc>
          <w:tcPr>
            <w:tcW w:w="5341" w:type="dxa"/>
            <w:tcBorders>
              <w:top w:val="nil"/>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xml:space="preserve">GASTOS DE PERSONAL APROBADOS (CR)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308,691,651</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315,590,018</w:t>
            </w: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20"/>
                <w:szCs w:val="20"/>
                <w:lang w:eastAsia="es-MX"/>
              </w:rPr>
            </w:pPr>
            <w:r w:rsidRPr="00E43B49">
              <w:rPr>
                <w:rFonts w:ascii="Arial" w:eastAsia="Times New Roman" w:hAnsi="Arial" w:cs="Arial"/>
                <w:sz w:val="20"/>
                <w:szCs w:val="20"/>
                <w:lang w:eastAsia="es-MX"/>
              </w:rPr>
              <w:t xml:space="preserve">0321                </w:t>
            </w:r>
          </w:p>
        </w:tc>
        <w:tc>
          <w:tcPr>
            <w:tcW w:w="5341" w:type="dxa"/>
            <w:tcBorders>
              <w:top w:val="nil"/>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xml:space="preserve">GASTOS GENERALES APROBADOS (CR)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150,032,290</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165,032,290</w:t>
            </w: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20"/>
                <w:szCs w:val="20"/>
                <w:lang w:eastAsia="es-MX"/>
              </w:rPr>
            </w:pPr>
            <w:r w:rsidRPr="00E43B49">
              <w:rPr>
                <w:rFonts w:ascii="Arial" w:eastAsia="Times New Roman" w:hAnsi="Arial" w:cs="Arial"/>
                <w:sz w:val="20"/>
                <w:szCs w:val="20"/>
                <w:lang w:eastAsia="es-MX"/>
              </w:rPr>
              <w:t xml:space="preserve">0323                </w:t>
            </w:r>
          </w:p>
        </w:tc>
        <w:tc>
          <w:tcPr>
            <w:tcW w:w="5341" w:type="dxa"/>
            <w:tcBorders>
              <w:top w:val="nil"/>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xml:space="preserve">TRANSFERENCIAS CORRIENTES APROBADAS (CR)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57,185,270</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57,185,270</w:t>
            </w: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20"/>
                <w:szCs w:val="20"/>
                <w:lang w:eastAsia="es-MX"/>
              </w:rPr>
            </w:pPr>
            <w:r w:rsidRPr="00E43B49">
              <w:rPr>
                <w:rFonts w:ascii="Arial" w:eastAsia="Times New Roman" w:hAnsi="Arial" w:cs="Arial"/>
                <w:sz w:val="20"/>
                <w:szCs w:val="20"/>
                <w:lang w:eastAsia="es-MX"/>
              </w:rPr>
              <w:t xml:space="preserve">04                  </w:t>
            </w:r>
          </w:p>
        </w:tc>
        <w:tc>
          <w:tcPr>
            <w:tcW w:w="5341" w:type="dxa"/>
            <w:tcBorders>
              <w:top w:val="nil"/>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xml:space="preserve">PRESUPUESTO DEL SERVICIO DE LA DEUDA PÚBLICA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33,563,981</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33,563,981</w:t>
            </w: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20"/>
                <w:szCs w:val="20"/>
                <w:lang w:eastAsia="es-MX"/>
              </w:rPr>
            </w:pPr>
            <w:r w:rsidRPr="00E43B49">
              <w:rPr>
                <w:rFonts w:ascii="Arial" w:eastAsia="Times New Roman" w:hAnsi="Arial" w:cs="Arial"/>
                <w:sz w:val="20"/>
                <w:szCs w:val="20"/>
                <w:lang w:eastAsia="es-MX"/>
              </w:rPr>
              <w:t xml:space="preserve">0425                </w:t>
            </w:r>
          </w:p>
        </w:tc>
        <w:tc>
          <w:tcPr>
            <w:tcW w:w="5341" w:type="dxa"/>
            <w:tcBorders>
              <w:top w:val="nil"/>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xml:space="preserve">DEUDA PÚBLICA INTERNA APROBADA (CR)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33,563,981</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33,563,981</w:t>
            </w: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20"/>
                <w:szCs w:val="20"/>
                <w:lang w:eastAsia="es-MX"/>
              </w:rPr>
            </w:pPr>
            <w:r w:rsidRPr="00E43B49">
              <w:rPr>
                <w:rFonts w:ascii="Arial" w:eastAsia="Times New Roman" w:hAnsi="Arial" w:cs="Arial"/>
                <w:sz w:val="20"/>
                <w:szCs w:val="20"/>
                <w:lang w:eastAsia="es-MX"/>
              </w:rPr>
              <w:t xml:space="preserve">042502              </w:t>
            </w:r>
          </w:p>
        </w:tc>
        <w:tc>
          <w:tcPr>
            <w:tcW w:w="5341" w:type="dxa"/>
            <w:tcBorders>
              <w:top w:val="nil"/>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xml:space="preserve">AMORTIZACIÓN DEUDA PÚBLICA - BANCA COMERCIAL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23,389,312</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23,389,312</w:t>
            </w: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20"/>
                <w:szCs w:val="20"/>
                <w:lang w:eastAsia="es-MX"/>
              </w:rPr>
            </w:pPr>
            <w:r w:rsidRPr="00E43B49">
              <w:rPr>
                <w:rFonts w:ascii="Arial" w:eastAsia="Times New Roman" w:hAnsi="Arial" w:cs="Arial"/>
                <w:sz w:val="20"/>
                <w:szCs w:val="20"/>
                <w:lang w:eastAsia="es-MX"/>
              </w:rPr>
              <w:t xml:space="preserve">042506              </w:t>
            </w:r>
          </w:p>
        </w:tc>
        <w:tc>
          <w:tcPr>
            <w:tcW w:w="5341" w:type="dxa"/>
            <w:tcBorders>
              <w:top w:val="nil"/>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xml:space="preserve">INTERESES, COMISIONES, Y GASTOS - BANCA COMERCIAL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10,174,669</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10,174,669</w:t>
            </w:r>
          </w:p>
        </w:tc>
      </w:tr>
      <w:tr w:rsidR="00E43B49" w:rsidRPr="00E43B49" w:rsidTr="00E43B49">
        <w:trPr>
          <w:trHeight w:val="248"/>
        </w:trPr>
        <w:tc>
          <w:tcPr>
            <w:tcW w:w="16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20"/>
                <w:szCs w:val="20"/>
                <w:lang w:eastAsia="es-MX"/>
              </w:rPr>
            </w:pPr>
            <w:r w:rsidRPr="00E43B49">
              <w:rPr>
                <w:rFonts w:ascii="Arial" w:eastAsia="Times New Roman" w:hAnsi="Arial" w:cs="Arial"/>
                <w:sz w:val="20"/>
                <w:szCs w:val="20"/>
                <w:lang w:eastAsia="es-MX"/>
              </w:rPr>
              <w:t xml:space="preserve">05                  </w:t>
            </w:r>
          </w:p>
        </w:tc>
        <w:tc>
          <w:tcPr>
            <w:tcW w:w="5341" w:type="dxa"/>
            <w:tcBorders>
              <w:top w:val="nil"/>
              <w:left w:val="single" w:sz="4" w:space="0" w:color="auto"/>
              <w:bottom w:val="single" w:sz="4" w:space="0" w:color="auto"/>
              <w:right w:val="single" w:sz="4" w:space="0" w:color="auto"/>
            </w:tcBorders>
            <w:shd w:val="clear" w:color="000000" w:fill="92D050"/>
            <w:noWrap/>
            <w:vAlign w:val="bottom"/>
            <w:hideMark/>
          </w:tcPr>
          <w:p w:rsidR="00E43B49" w:rsidRPr="00E43B49" w:rsidRDefault="00E43B49" w:rsidP="00C93F33">
            <w:pPr>
              <w:rPr>
                <w:rFonts w:ascii="Arial" w:eastAsia="Times New Roman" w:hAnsi="Arial" w:cs="Arial"/>
                <w:sz w:val="16"/>
                <w:szCs w:val="16"/>
                <w:lang w:eastAsia="es-MX"/>
              </w:rPr>
            </w:pPr>
            <w:r w:rsidRPr="00E43B49">
              <w:rPr>
                <w:rFonts w:ascii="Arial" w:eastAsia="Times New Roman" w:hAnsi="Arial" w:cs="Arial"/>
                <w:sz w:val="16"/>
                <w:szCs w:val="16"/>
                <w:lang w:eastAsia="es-MX"/>
              </w:rPr>
              <w:t xml:space="preserve">PRESUPUESTO DE GASTOS DE INVERSIÓN APROBADOS                                                                                                          </w:t>
            </w:r>
          </w:p>
        </w:tc>
        <w:tc>
          <w:tcPr>
            <w:tcW w:w="1753"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1,266,033,731</w:t>
            </w:r>
          </w:p>
        </w:tc>
        <w:tc>
          <w:tcPr>
            <w:tcW w:w="1815" w:type="dxa"/>
            <w:tcBorders>
              <w:top w:val="nil"/>
              <w:left w:val="nil"/>
              <w:bottom w:val="single" w:sz="4" w:space="0" w:color="auto"/>
              <w:right w:val="single" w:sz="4" w:space="0" w:color="auto"/>
            </w:tcBorders>
            <w:shd w:val="clear" w:color="000000" w:fill="92D050"/>
            <w:noWrap/>
            <w:vAlign w:val="bottom"/>
            <w:hideMark/>
          </w:tcPr>
          <w:p w:rsidR="00E43B49" w:rsidRPr="00E43B49" w:rsidRDefault="00E43B49" w:rsidP="00C93F33">
            <w:pPr>
              <w:jc w:val="right"/>
              <w:rPr>
                <w:rFonts w:ascii="Arial" w:eastAsia="Times New Roman" w:hAnsi="Arial" w:cs="Arial"/>
                <w:sz w:val="20"/>
                <w:szCs w:val="20"/>
                <w:lang w:eastAsia="es-MX"/>
              </w:rPr>
            </w:pPr>
            <w:r w:rsidRPr="00E43B49">
              <w:rPr>
                <w:rFonts w:ascii="Arial" w:eastAsia="Times New Roman" w:hAnsi="Arial" w:cs="Arial"/>
                <w:sz w:val="20"/>
                <w:szCs w:val="20"/>
                <w:lang w:eastAsia="es-MX"/>
              </w:rPr>
              <w:t>1,371,516,126</w:t>
            </w:r>
          </w:p>
        </w:tc>
      </w:tr>
    </w:tbl>
    <w:p w:rsidR="00767457" w:rsidRDefault="00767457" w:rsidP="00C93F33">
      <w:pPr>
        <w:jc w:val="both"/>
        <w:rPr>
          <w:sz w:val="28"/>
          <w:szCs w:val="28"/>
        </w:rPr>
      </w:pPr>
    </w:p>
    <w:p w:rsidR="00767457" w:rsidRDefault="00767457">
      <w:pPr>
        <w:spacing w:after="200" w:line="276" w:lineRule="auto"/>
        <w:rPr>
          <w:sz w:val="28"/>
          <w:szCs w:val="28"/>
        </w:rPr>
      </w:pPr>
    </w:p>
    <w:p w:rsidR="00BB400E" w:rsidRDefault="00BB400E" w:rsidP="00C93F33">
      <w:pPr>
        <w:jc w:val="both"/>
        <w:rPr>
          <w:sz w:val="28"/>
          <w:szCs w:val="28"/>
        </w:rPr>
        <w:sectPr w:rsidR="00BB400E" w:rsidSect="00DF456B">
          <w:headerReference w:type="default" r:id="rId10"/>
          <w:footerReference w:type="default" r:id="rId11"/>
          <w:pgSz w:w="12240" w:h="15840" w:code="1"/>
          <w:pgMar w:top="1418" w:right="1701" w:bottom="1418" w:left="1701" w:header="709" w:footer="542" w:gutter="0"/>
          <w:cols w:space="708"/>
          <w:titlePg/>
          <w:docGrid w:linePitch="360"/>
        </w:sectPr>
      </w:pPr>
    </w:p>
    <w:p w:rsidR="00A3649C" w:rsidRDefault="00A3649C" w:rsidP="00C93F33">
      <w:pPr>
        <w:jc w:val="both"/>
        <w:rPr>
          <w:sz w:val="28"/>
          <w:szCs w:val="28"/>
        </w:rPr>
      </w:pPr>
    </w:p>
    <w:p w:rsidR="00A3649C" w:rsidRDefault="00B4459B" w:rsidP="00767457">
      <w:pPr>
        <w:pStyle w:val="Ttulo1"/>
      </w:pPr>
      <w:r>
        <w:t>ANEXO 3</w:t>
      </w:r>
    </w:p>
    <w:p w:rsidR="00767457" w:rsidRPr="00767457" w:rsidRDefault="00767457" w:rsidP="00767457"/>
    <w:p w:rsidR="00A3649C" w:rsidRDefault="00F14734" w:rsidP="00C93F33">
      <w:pPr>
        <w:jc w:val="both"/>
        <w:rPr>
          <w:sz w:val="28"/>
          <w:szCs w:val="28"/>
        </w:rPr>
      </w:pPr>
      <w:r w:rsidRPr="00F14734">
        <w:rPr>
          <w:noProof/>
          <w:lang w:val="es-ES_tradnl" w:eastAsia="es-ES_tradnl"/>
        </w:rPr>
        <w:drawing>
          <wp:inline distT="0" distB="0" distL="0" distR="0" wp14:anchorId="1DC4F7CF" wp14:editId="286390C0">
            <wp:extent cx="5612130" cy="7094596"/>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094596"/>
                    </a:xfrm>
                    <a:prstGeom prst="rect">
                      <a:avLst/>
                    </a:prstGeom>
                    <a:noFill/>
                    <a:ln>
                      <a:noFill/>
                    </a:ln>
                  </pic:spPr>
                </pic:pic>
              </a:graphicData>
            </a:graphic>
          </wp:inline>
        </w:drawing>
      </w:r>
    </w:p>
    <w:p w:rsidR="00A3649C" w:rsidRDefault="00A3649C" w:rsidP="00C93F33">
      <w:pPr>
        <w:jc w:val="both"/>
        <w:rPr>
          <w:sz w:val="28"/>
          <w:szCs w:val="28"/>
        </w:rPr>
      </w:pPr>
    </w:p>
    <w:p w:rsidR="00A3649C" w:rsidRDefault="00A3649C" w:rsidP="00C93F33">
      <w:pPr>
        <w:jc w:val="both"/>
        <w:rPr>
          <w:sz w:val="28"/>
          <w:szCs w:val="28"/>
        </w:rPr>
      </w:pPr>
    </w:p>
    <w:p w:rsidR="00A3649C" w:rsidRPr="007230A3" w:rsidRDefault="00B4459B" w:rsidP="00C93F33">
      <w:pPr>
        <w:jc w:val="both"/>
        <w:rPr>
          <w:sz w:val="28"/>
          <w:szCs w:val="28"/>
        </w:rPr>
      </w:pPr>
      <w:r>
        <w:rPr>
          <w:sz w:val="28"/>
          <w:szCs w:val="28"/>
        </w:rPr>
        <w:t>CONTINUACION ANEXO 3</w:t>
      </w:r>
    </w:p>
    <w:p w:rsidR="00F020EA" w:rsidRPr="007230A3" w:rsidRDefault="00F14734" w:rsidP="00C93F33">
      <w:pPr>
        <w:jc w:val="both"/>
        <w:rPr>
          <w:sz w:val="28"/>
          <w:szCs w:val="28"/>
        </w:rPr>
      </w:pPr>
      <w:r w:rsidRPr="00F14734">
        <w:rPr>
          <w:noProof/>
          <w:lang w:val="es-ES_tradnl" w:eastAsia="es-ES_tradnl"/>
        </w:rPr>
        <w:drawing>
          <wp:inline distT="0" distB="0" distL="0" distR="0" wp14:anchorId="0EB4D358" wp14:editId="4A1C9648">
            <wp:extent cx="5612130" cy="406694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066945"/>
                    </a:xfrm>
                    <a:prstGeom prst="rect">
                      <a:avLst/>
                    </a:prstGeom>
                    <a:noFill/>
                    <a:ln>
                      <a:noFill/>
                    </a:ln>
                  </pic:spPr>
                </pic:pic>
              </a:graphicData>
            </a:graphic>
          </wp:inline>
        </w:drawing>
      </w:r>
    </w:p>
    <w:sectPr w:rsidR="00F020EA" w:rsidRPr="007230A3" w:rsidSect="00BB400E">
      <w:pgSz w:w="12240" w:h="15840" w:code="1"/>
      <w:pgMar w:top="1411" w:right="1699" w:bottom="1411" w:left="1699" w:header="706" w:footer="5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8F" w:rsidRDefault="00BD008F" w:rsidP="00782529">
      <w:r>
        <w:separator/>
      </w:r>
    </w:p>
  </w:endnote>
  <w:endnote w:type="continuationSeparator" w:id="0">
    <w:p w:rsidR="00BD008F" w:rsidRDefault="00BD008F" w:rsidP="0078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PMincho">
    <w:altName w:val="Meiryo"/>
    <w:charset w:val="80"/>
    <w:family w:val="roman"/>
    <w:pitch w:val="variable"/>
    <w:sig w:usb0="00000000"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61"/>
      <w:gridCol w:w="907"/>
    </w:tblGrid>
    <w:tr w:rsidR="00A83C0F">
      <w:tc>
        <w:tcPr>
          <w:tcW w:w="4500" w:type="pct"/>
          <w:tcBorders>
            <w:top w:val="single" w:sz="4" w:space="0" w:color="000000" w:themeColor="text1"/>
          </w:tcBorders>
        </w:tcPr>
        <w:p w:rsidR="00A83C0F" w:rsidRDefault="00A83C0F">
          <w:pPr>
            <w:pStyle w:val="Piedepgina"/>
            <w:jc w:val="right"/>
          </w:pPr>
          <w:r>
            <w:t>Marco Fiscal de Mediano Plazo – California 2012</w:t>
          </w:r>
        </w:p>
      </w:tc>
      <w:tc>
        <w:tcPr>
          <w:tcW w:w="500" w:type="pct"/>
          <w:tcBorders>
            <w:top w:val="single" w:sz="4" w:space="0" w:color="C0504D" w:themeColor="accent2"/>
          </w:tcBorders>
          <w:shd w:val="clear" w:color="auto" w:fill="943634" w:themeFill="accent2" w:themeFillShade="BF"/>
        </w:tcPr>
        <w:p w:rsidR="00A83C0F" w:rsidRDefault="00A83C0F">
          <w:pPr>
            <w:pStyle w:val="Encabezado"/>
            <w:rPr>
              <w:color w:val="FFFFFF" w:themeColor="background1"/>
            </w:rPr>
          </w:pPr>
          <w:r>
            <w:fldChar w:fldCharType="begin"/>
          </w:r>
          <w:r>
            <w:instrText>PAGE   \* MERGEFORMAT</w:instrText>
          </w:r>
          <w:r>
            <w:fldChar w:fldCharType="separate"/>
          </w:r>
          <w:r w:rsidR="008511F4" w:rsidRPr="008511F4">
            <w:rPr>
              <w:noProof/>
              <w:color w:val="FFFFFF" w:themeColor="background1"/>
              <w:lang w:val="es-ES"/>
            </w:rPr>
            <w:t>4</w:t>
          </w:r>
          <w:r>
            <w:rPr>
              <w:color w:val="FFFFFF" w:themeColor="background1"/>
            </w:rPr>
            <w:fldChar w:fldCharType="end"/>
          </w:r>
        </w:p>
      </w:tc>
    </w:tr>
  </w:tbl>
  <w:p w:rsidR="005C484D" w:rsidRDefault="005C484D" w:rsidP="00C93F3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8F" w:rsidRDefault="00BD008F" w:rsidP="00782529">
      <w:r>
        <w:separator/>
      </w:r>
    </w:p>
  </w:footnote>
  <w:footnote w:type="continuationSeparator" w:id="0">
    <w:p w:rsidR="00BD008F" w:rsidRDefault="00BD008F" w:rsidP="00782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4D" w:rsidRDefault="005C484D" w:rsidP="00A83C0F">
    <w:pPr>
      <w:pStyle w:val="Encabezado"/>
      <w:jc w:val="both"/>
      <w:rPr>
        <w:rFonts w:ascii="Times New Roman" w:hAnsi="Times New Roman" w:cs="Times New Roman"/>
        <w:sz w:val="18"/>
        <w:szCs w:val="18"/>
      </w:rPr>
    </w:pPr>
    <w:r w:rsidRPr="00C93F33">
      <w:rPr>
        <w:rFonts w:ascii="Times New Roman" w:hAnsi="Times New Roman" w:cs="Times New Roman"/>
      </w:rPr>
      <w:ptab w:relativeTo="margin" w:alignment="center" w:leader="none"/>
    </w:r>
  </w:p>
  <w:p w:rsidR="00C93F33" w:rsidRDefault="00A83C0F" w:rsidP="00A83C0F">
    <w:pPr>
      <w:pStyle w:val="Encabezado"/>
      <w:jc w:val="right"/>
      <w:rPr>
        <w:rFonts w:ascii="Times New Roman" w:hAnsi="Times New Roman" w:cs="Times New Roman"/>
        <w:sz w:val="18"/>
        <w:szCs w:val="18"/>
      </w:rPr>
    </w:pPr>
    <w:r>
      <w:rPr>
        <w:noProof/>
        <w:lang w:val="es-ES_tradnl" w:eastAsia="es-ES_tradnl"/>
      </w:rPr>
      <w:drawing>
        <wp:inline distT="0" distB="0" distL="0" distR="0" wp14:anchorId="3D233891" wp14:editId="0B3DDBF6">
          <wp:extent cx="746760" cy="533400"/>
          <wp:effectExtent l="0" t="0" r="0" b="0"/>
          <wp:docPr id="2" name="Imagen 2" descr="D:\8 Proyectos\Areas Geograficas\California\Imagen Corporativ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 Proyectos\Areas Geograficas\California\Imagen Corporativ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93" cy="536709"/>
                  </a:xfrm>
                  <a:prstGeom prst="rect">
                    <a:avLst/>
                  </a:prstGeom>
                  <a:noFill/>
                  <a:ln>
                    <a:noFill/>
                  </a:ln>
                </pic:spPr>
              </pic:pic>
            </a:graphicData>
          </a:graphic>
        </wp:inline>
      </w:drawing>
    </w:r>
  </w:p>
  <w:p w:rsidR="00A83C0F" w:rsidRPr="00C93F33" w:rsidRDefault="00A83C0F" w:rsidP="00A83C0F">
    <w:pPr>
      <w:pStyle w:val="Encabezado"/>
      <w:jc w:val="right"/>
      <w:rPr>
        <w:rFonts w:ascii="Times New Roman" w:hAnsi="Times New Roman"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66"/>
    <w:rsid w:val="00020CF4"/>
    <w:rsid w:val="000308AC"/>
    <w:rsid w:val="00031A9E"/>
    <w:rsid w:val="00053E5A"/>
    <w:rsid w:val="00073CCA"/>
    <w:rsid w:val="00080EA8"/>
    <w:rsid w:val="000B6566"/>
    <w:rsid w:val="00141145"/>
    <w:rsid w:val="00146941"/>
    <w:rsid w:val="001E06C1"/>
    <w:rsid w:val="00235AF8"/>
    <w:rsid w:val="002505AD"/>
    <w:rsid w:val="00251F5D"/>
    <w:rsid w:val="002B039C"/>
    <w:rsid w:val="002B5EA3"/>
    <w:rsid w:val="002C5CA5"/>
    <w:rsid w:val="002E510F"/>
    <w:rsid w:val="004F6244"/>
    <w:rsid w:val="005C484D"/>
    <w:rsid w:val="005E0AD8"/>
    <w:rsid w:val="005E1FBE"/>
    <w:rsid w:val="006315D5"/>
    <w:rsid w:val="00640238"/>
    <w:rsid w:val="00652A2A"/>
    <w:rsid w:val="00683949"/>
    <w:rsid w:val="006D6519"/>
    <w:rsid w:val="006E68E0"/>
    <w:rsid w:val="007230A3"/>
    <w:rsid w:val="00745319"/>
    <w:rsid w:val="00767457"/>
    <w:rsid w:val="00782529"/>
    <w:rsid w:val="0079133A"/>
    <w:rsid w:val="007B2471"/>
    <w:rsid w:val="008511F4"/>
    <w:rsid w:val="00854071"/>
    <w:rsid w:val="00866194"/>
    <w:rsid w:val="0096630C"/>
    <w:rsid w:val="009C3E17"/>
    <w:rsid w:val="009D7110"/>
    <w:rsid w:val="00A3649C"/>
    <w:rsid w:val="00A83C0F"/>
    <w:rsid w:val="00AE6D1A"/>
    <w:rsid w:val="00B4459B"/>
    <w:rsid w:val="00B51D07"/>
    <w:rsid w:val="00B96779"/>
    <w:rsid w:val="00BB400E"/>
    <w:rsid w:val="00BD008F"/>
    <w:rsid w:val="00BE17E8"/>
    <w:rsid w:val="00C16604"/>
    <w:rsid w:val="00C23964"/>
    <w:rsid w:val="00C71D76"/>
    <w:rsid w:val="00C93F33"/>
    <w:rsid w:val="00CB1EDD"/>
    <w:rsid w:val="00CD5673"/>
    <w:rsid w:val="00CD6934"/>
    <w:rsid w:val="00DF08BE"/>
    <w:rsid w:val="00DF456B"/>
    <w:rsid w:val="00E02C70"/>
    <w:rsid w:val="00E14114"/>
    <w:rsid w:val="00E23B2C"/>
    <w:rsid w:val="00E43B49"/>
    <w:rsid w:val="00E5301C"/>
    <w:rsid w:val="00EB495A"/>
    <w:rsid w:val="00F020EA"/>
    <w:rsid w:val="00F14734"/>
    <w:rsid w:val="00F610B8"/>
    <w:rsid w:val="00FC05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33"/>
    <w:pPr>
      <w:spacing w:after="0" w:line="240" w:lineRule="auto"/>
    </w:pPr>
  </w:style>
  <w:style w:type="paragraph" w:styleId="Ttulo1">
    <w:name w:val="heading 1"/>
    <w:basedOn w:val="Normal"/>
    <w:next w:val="Normal"/>
    <w:link w:val="Ttulo1Car"/>
    <w:uiPriority w:val="9"/>
    <w:qFormat/>
    <w:rsid w:val="00A8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2529"/>
    <w:pPr>
      <w:tabs>
        <w:tab w:val="center" w:pos="4419"/>
        <w:tab w:val="right" w:pos="8838"/>
      </w:tabs>
    </w:pPr>
  </w:style>
  <w:style w:type="character" w:customStyle="1" w:styleId="EncabezadoCar">
    <w:name w:val="Encabezado Car"/>
    <w:basedOn w:val="Fuentedeprrafopredeter"/>
    <w:link w:val="Encabezado"/>
    <w:uiPriority w:val="99"/>
    <w:rsid w:val="00782529"/>
  </w:style>
  <w:style w:type="paragraph" w:styleId="Piedepgina">
    <w:name w:val="footer"/>
    <w:basedOn w:val="Normal"/>
    <w:link w:val="PiedepginaCar"/>
    <w:uiPriority w:val="99"/>
    <w:unhideWhenUsed/>
    <w:rsid w:val="00782529"/>
    <w:pPr>
      <w:tabs>
        <w:tab w:val="center" w:pos="4419"/>
        <w:tab w:val="right" w:pos="8838"/>
      </w:tabs>
    </w:pPr>
  </w:style>
  <w:style w:type="character" w:customStyle="1" w:styleId="PiedepginaCar">
    <w:name w:val="Pie de página Car"/>
    <w:basedOn w:val="Fuentedeprrafopredeter"/>
    <w:link w:val="Piedepgina"/>
    <w:uiPriority w:val="99"/>
    <w:rsid w:val="00782529"/>
  </w:style>
  <w:style w:type="paragraph" w:styleId="Textodeglobo">
    <w:name w:val="Balloon Text"/>
    <w:basedOn w:val="Normal"/>
    <w:link w:val="TextodegloboCar"/>
    <w:uiPriority w:val="99"/>
    <w:semiHidden/>
    <w:unhideWhenUsed/>
    <w:rsid w:val="00782529"/>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529"/>
    <w:rPr>
      <w:rFonts w:ascii="Tahoma" w:hAnsi="Tahoma" w:cs="Tahoma"/>
      <w:sz w:val="16"/>
      <w:szCs w:val="16"/>
    </w:rPr>
  </w:style>
  <w:style w:type="character" w:styleId="Hipervnculo">
    <w:name w:val="Hyperlink"/>
    <w:uiPriority w:val="99"/>
    <w:rsid w:val="00782529"/>
    <w:rPr>
      <w:color w:val="0000FF"/>
      <w:u w:val="single"/>
    </w:rPr>
  </w:style>
  <w:style w:type="character" w:customStyle="1" w:styleId="Ttulo1Car">
    <w:name w:val="Título 1 Car"/>
    <w:basedOn w:val="Fuentedeprrafopredeter"/>
    <w:link w:val="Ttulo1"/>
    <w:uiPriority w:val="9"/>
    <w:rsid w:val="00A83C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33"/>
    <w:pPr>
      <w:spacing w:after="0" w:line="240" w:lineRule="auto"/>
    </w:pPr>
  </w:style>
  <w:style w:type="paragraph" w:styleId="Ttulo1">
    <w:name w:val="heading 1"/>
    <w:basedOn w:val="Normal"/>
    <w:next w:val="Normal"/>
    <w:link w:val="Ttulo1Car"/>
    <w:uiPriority w:val="9"/>
    <w:qFormat/>
    <w:rsid w:val="00A8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2529"/>
    <w:pPr>
      <w:tabs>
        <w:tab w:val="center" w:pos="4419"/>
        <w:tab w:val="right" w:pos="8838"/>
      </w:tabs>
    </w:pPr>
  </w:style>
  <w:style w:type="character" w:customStyle="1" w:styleId="EncabezadoCar">
    <w:name w:val="Encabezado Car"/>
    <w:basedOn w:val="Fuentedeprrafopredeter"/>
    <w:link w:val="Encabezado"/>
    <w:uiPriority w:val="99"/>
    <w:rsid w:val="00782529"/>
  </w:style>
  <w:style w:type="paragraph" w:styleId="Piedepgina">
    <w:name w:val="footer"/>
    <w:basedOn w:val="Normal"/>
    <w:link w:val="PiedepginaCar"/>
    <w:uiPriority w:val="99"/>
    <w:unhideWhenUsed/>
    <w:rsid w:val="00782529"/>
    <w:pPr>
      <w:tabs>
        <w:tab w:val="center" w:pos="4419"/>
        <w:tab w:val="right" w:pos="8838"/>
      </w:tabs>
    </w:pPr>
  </w:style>
  <w:style w:type="character" w:customStyle="1" w:styleId="PiedepginaCar">
    <w:name w:val="Pie de página Car"/>
    <w:basedOn w:val="Fuentedeprrafopredeter"/>
    <w:link w:val="Piedepgina"/>
    <w:uiPriority w:val="99"/>
    <w:rsid w:val="00782529"/>
  </w:style>
  <w:style w:type="paragraph" w:styleId="Textodeglobo">
    <w:name w:val="Balloon Text"/>
    <w:basedOn w:val="Normal"/>
    <w:link w:val="TextodegloboCar"/>
    <w:uiPriority w:val="99"/>
    <w:semiHidden/>
    <w:unhideWhenUsed/>
    <w:rsid w:val="00782529"/>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529"/>
    <w:rPr>
      <w:rFonts w:ascii="Tahoma" w:hAnsi="Tahoma" w:cs="Tahoma"/>
      <w:sz w:val="16"/>
      <w:szCs w:val="16"/>
    </w:rPr>
  </w:style>
  <w:style w:type="character" w:styleId="Hipervnculo">
    <w:name w:val="Hyperlink"/>
    <w:uiPriority w:val="99"/>
    <w:rsid w:val="00782529"/>
    <w:rPr>
      <w:color w:val="0000FF"/>
      <w:u w:val="single"/>
    </w:rPr>
  </w:style>
  <w:style w:type="character" w:customStyle="1" w:styleId="Ttulo1Car">
    <w:name w:val="Título 1 Car"/>
    <w:basedOn w:val="Fuentedeprrafopredeter"/>
    <w:link w:val="Ttulo1"/>
    <w:uiPriority w:val="9"/>
    <w:rsid w:val="00A83C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851">
      <w:bodyDiv w:val="1"/>
      <w:marLeft w:val="0"/>
      <w:marRight w:val="0"/>
      <w:marTop w:val="0"/>
      <w:marBottom w:val="0"/>
      <w:divBdr>
        <w:top w:val="none" w:sz="0" w:space="0" w:color="auto"/>
        <w:left w:val="none" w:sz="0" w:space="0" w:color="auto"/>
        <w:bottom w:val="none" w:sz="0" w:space="0" w:color="auto"/>
        <w:right w:val="none" w:sz="0" w:space="0" w:color="auto"/>
      </w:divBdr>
    </w:div>
    <w:div w:id="650792268">
      <w:bodyDiv w:val="1"/>
      <w:marLeft w:val="0"/>
      <w:marRight w:val="0"/>
      <w:marTop w:val="0"/>
      <w:marBottom w:val="0"/>
      <w:divBdr>
        <w:top w:val="none" w:sz="0" w:space="0" w:color="auto"/>
        <w:left w:val="none" w:sz="0" w:space="0" w:color="auto"/>
        <w:bottom w:val="none" w:sz="0" w:space="0" w:color="auto"/>
        <w:right w:val="none" w:sz="0" w:space="0" w:color="auto"/>
      </w:divBdr>
    </w:div>
    <w:div w:id="670451442">
      <w:bodyDiv w:val="1"/>
      <w:marLeft w:val="0"/>
      <w:marRight w:val="0"/>
      <w:marTop w:val="0"/>
      <w:marBottom w:val="0"/>
      <w:divBdr>
        <w:top w:val="none" w:sz="0" w:space="0" w:color="auto"/>
        <w:left w:val="none" w:sz="0" w:space="0" w:color="auto"/>
        <w:bottom w:val="none" w:sz="0" w:space="0" w:color="auto"/>
        <w:right w:val="none" w:sz="0" w:space="0" w:color="auto"/>
      </w:divBdr>
    </w:div>
    <w:div w:id="870193938">
      <w:bodyDiv w:val="1"/>
      <w:marLeft w:val="0"/>
      <w:marRight w:val="0"/>
      <w:marTop w:val="0"/>
      <w:marBottom w:val="0"/>
      <w:divBdr>
        <w:top w:val="none" w:sz="0" w:space="0" w:color="auto"/>
        <w:left w:val="none" w:sz="0" w:space="0" w:color="auto"/>
        <w:bottom w:val="none" w:sz="0" w:space="0" w:color="auto"/>
        <w:right w:val="none" w:sz="0" w:space="0" w:color="auto"/>
      </w:divBdr>
    </w:div>
    <w:div w:id="938100813">
      <w:bodyDiv w:val="1"/>
      <w:marLeft w:val="0"/>
      <w:marRight w:val="0"/>
      <w:marTop w:val="0"/>
      <w:marBottom w:val="0"/>
      <w:divBdr>
        <w:top w:val="none" w:sz="0" w:space="0" w:color="auto"/>
        <w:left w:val="none" w:sz="0" w:space="0" w:color="auto"/>
        <w:bottom w:val="none" w:sz="0" w:space="0" w:color="auto"/>
        <w:right w:val="none" w:sz="0" w:space="0" w:color="auto"/>
      </w:divBdr>
    </w:div>
    <w:div w:id="1093431738">
      <w:bodyDiv w:val="1"/>
      <w:marLeft w:val="0"/>
      <w:marRight w:val="0"/>
      <w:marTop w:val="0"/>
      <w:marBottom w:val="0"/>
      <w:divBdr>
        <w:top w:val="none" w:sz="0" w:space="0" w:color="auto"/>
        <w:left w:val="none" w:sz="0" w:space="0" w:color="auto"/>
        <w:bottom w:val="none" w:sz="0" w:space="0" w:color="auto"/>
        <w:right w:val="none" w:sz="0" w:space="0" w:color="auto"/>
      </w:divBdr>
    </w:div>
    <w:div w:id="1100681265">
      <w:bodyDiv w:val="1"/>
      <w:marLeft w:val="0"/>
      <w:marRight w:val="0"/>
      <w:marTop w:val="0"/>
      <w:marBottom w:val="0"/>
      <w:divBdr>
        <w:top w:val="none" w:sz="0" w:space="0" w:color="auto"/>
        <w:left w:val="none" w:sz="0" w:space="0" w:color="auto"/>
        <w:bottom w:val="none" w:sz="0" w:space="0" w:color="auto"/>
        <w:right w:val="none" w:sz="0" w:space="0" w:color="auto"/>
      </w:divBdr>
    </w:div>
    <w:div w:id="1222864622">
      <w:bodyDiv w:val="1"/>
      <w:marLeft w:val="0"/>
      <w:marRight w:val="0"/>
      <w:marTop w:val="0"/>
      <w:marBottom w:val="0"/>
      <w:divBdr>
        <w:top w:val="none" w:sz="0" w:space="0" w:color="auto"/>
        <w:left w:val="none" w:sz="0" w:space="0" w:color="auto"/>
        <w:bottom w:val="none" w:sz="0" w:space="0" w:color="auto"/>
        <w:right w:val="none" w:sz="0" w:space="0" w:color="auto"/>
      </w:divBdr>
    </w:div>
    <w:div w:id="1311980187">
      <w:bodyDiv w:val="1"/>
      <w:marLeft w:val="0"/>
      <w:marRight w:val="0"/>
      <w:marTop w:val="0"/>
      <w:marBottom w:val="0"/>
      <w:divBdr>
        <w:top w:val="none" w:sz="0" w:space="0" w:color="auto"/>
        <w:left w:val="none" w:sz="0" w:space="0" w:color="auto"/>
        <w:bottom w:val="none" w:sz="0" w:space="0" w:color="auto"/>
        <w:right w:val="none" w:sz="0" w:space="0" w:color="auto"/>
      </w:divBdr>
    </w:div>
    <w:div w:id="1338727025">
      <w:bodyDiv w:val="1"/>
      <w:marLeft w:val="0"/>
      <w:marRight w:val="0"/>
      <w:marTop w:val="0"/>
      <w:marBottom w:val="0"/>
      <w:divBdr>
        <w:top w:val="none" w:sz="0" w:space="0" w:color="auto"/>
        <w:left w:val="none" w:sz="0" w:space="0" w:color="auto"/>
        <w:bottom w:val="none" w:sz="0" w:space="0" w:color="auto"/>
        <w:right w:val="none" w:sz="0" w:space="0" w:color="auto"/>
      </w:divBdr>
    </w:div>
    <w:div w:id="1360862549">
      <w:bodyDiv w:val="1"/>
      <w:marLeft w:val="0"/>
      <w:marRight w:val="0"/>
      <w:marTop w:val="0"/>
      <w:marBottom w:val="0"/>
      <w:divBdr>
        <w:top w:val="none" w:sz="0" w:space="0" w:color="auto"/>
        <w:left w:val="none" w:sz="0" w:space="0" w:color="auto"/>
        <w:bottom w:val="none" w:sz="0" w:space="0" w:color="auto"/>
        <w:right w:val="none" w:sz="0" w:space="0" w:color="auto"/>
      </w:divBdr>
    </w:div>
    <w:div w:id="1411730022">
      <w:bodyDiv w:val="1"/>
      <w:marLeft w:val="0"/>
      <w:marRight w:val="0"/>
      <w:marTop w:val="0"/>
      <w:marBottom w:val="0"/>
      <w:divBdr>
        <w:top w:val="none" w:sz="0" w:space="0" w:color="auto"/>
        <w:left w:val="none" w:sz="0" w:space="0" w:color="auto"/>
        <w:bottom w:val="none" w:sz="0" w:space="0" w:color="auto"/>
        <w:right w:val="none" w:sz="0" w:space="0" w:color="auto"/>
      </w:divBdr>
    </w:div>
    <w:div w:id="1533957009">
      <w:bodyDiv w:val="1"/>
      <w:marLeft w:val="0"/>
      <w:marRight w:val="0"/>
      <w:marTop w:val="0"/>
      <w:marBottom w:val="0"/>
      <w:divBdr>
        <w:top w:val="none" w:sz="0" w:space="0" w:color="auto"/>
        <w:left w:val="none" w:sz="0" w:space="0" w:color="auto"/>
        <w:bottom w:val="none" w:sz="0" w:space="0" w:color="auto"/>
        <w:right w:val="none" w:sz="0" w:space="0" w:color="auto"/>
      </w:divBdr>
    </w:div>
    <w:div w:id="1665622698">
      <w:bodyDiv w:val="1"/>
      <w:marLeft w:val="0"/>
      <w:marRight w:val="0"/>
      <w:marTop w:val="0"/>
      <w:marBottom w:val="0"/>
      <w:divBdr>
        <w:top w:val="none" w:sz="0" w:space="0" w:color="auto"/>
        <w:left w:val="none" w:sz="0" w:space="0" w:color="auto"/>
        <w:bottom w:val="none" w:sz="0" w:space="0" w:color="auto"/>
        <w:right w:val="none" w:sz="0" w:space="0" w:color="auto"/>
      </w:divBdr>
    </w:div>
    <w:div w:id="17616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1360-896C-4308-8CA1-2E83C829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2178</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dc:creator>
  <cp:lastModifiedBy>WinuE</cp:lastModifiedBy>
  <cp:revision>2</cp:revision>
  <cp:lastPrinted>2012-04-09T22:41:00Z</cp:lastPrinted>
  <dcterms:created xsi:type="dcterms:W3CDTF">2012-04-09T23:16:00Z</dcterms:created>
  <dcterms:modified xsi:type="dcterms:W3CDTF">2012-04-09T23:16:00Z</dcterms:modified>
</cp:coreProperties>
</file>