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61" w:rsidRPr="002A7F61" w:rsidRDefault="002A7F61" w:rsidP="002A7F61">
      <w:pPr>
        <w:shd w:val="clear" w:color="auto" w:fill="9BCFD9"/>
        <w:spacing w:before="48" w:after="48" w:line="240" w:lineRule="auto"/>
        <w:outlineLvl w:val="1"/>
        <w:rPr>
          <w:rFonts w:ascii="Arial" w:eastAsia="Times New Roman" w:hAnsi="Arial" w:cs="Arial"/>
          <w:b/>
          <w:bCs/>
          <w:color w:val="23535C"/>
          <w:sz w:val="36"/>
          <w:szCs w:val="36"/>
          <w:lang w:eastAsia="es-MX"/>
        </w:rPr>
      </w:pPr>
      <w:r w:rsidRPr="002A7F61">
        <w:rPr>
          <w:rFonts w:ascii="Arial" w:eastAsia="Times New Roman" w:hAnsi="Arial" w:cs="Arial"/>
          <w:b/>
          <w:bCs/>
          <w:color w:val="23535C"/>
          <w:sz w:val="36"/>
          <w:szCs w:val="36"/>
          <w:lang w:eastAsia="es-MX"/>
        </w:rPr>
        <w:t>Programa De Gobierno</w:t>
      </w:r>
    </w:p>
    <w:p w:rsidR="002A7F61" w:rsidRPr="002A7F61" w:rsidRDefault="002A7F61" w:rsidP="002A7F61">
      <w:pPr>
        <w:shd w:val="clear" w:color="auto" w:fill="9BCFD9"/>
        <w:spacing w:before="120" w:after="120" w:line="240" w:lineRule="auto"/>
        <w:jc w:val="both"/>
        <w:rPr>
          <w:rFonts w:ascii="Tahoma" w:eastAsia="Times New Roman" w:hAnsi="Tahoma" w:cs="Tahoma"/>
          <w:color w:val="485D61"/>
          <w:sz w:val="20"/>
          <w:szCs w:val="20"/>
          <w:lang w:eastAsia="es-MX"/>
        </w:rPr>
      </w:pPr>
      <w:r w:rsidRPr="002A7F61">
        <w:rPr>
          <w:rFonts w:ascii="Tahoma" w:eastAsia="Times New Roman" w:hAnsi="Tahoma" w:cs="Tahoma"/>
          <w:color w:val="FF0000"/>
          <w:sz w:val="36"/>
          <w:szCs w:val="36"/>
          <w:lang w:val="es-ES" w:eastAsia="es-MX"/>
        </w:rPr>
        <w:t>PROGRAMA D</w:t>
      </w:r>
      <w:r w:rsidRPr="002A7F61">
        <w:rPr>
          <w:rFonts w:ascii="Tahoma" w:eastAsia="Times New Roman" w:hAnsi="Tahoma" w:cs="Tahoma"/>
          <w:color w:val="000080"/>
          <w:sz w:val="36"/>
          <w:szCs w:val="36"/>
          <w:lang w:val="es-ES" w:eastAsia="es-MX"/>
        </w:rPr>
        <w:t>E GOBIERNO</w:t>
      </w:r>
    </w:p>
    <w:p w:rsidR="002A7F61" w:rsidRPr="002A7F61" w:rsidRDefault="002A7F61" w:rsidP="002A7F61">
      <w:pPr>
        <w:shd w:val="clear" w:color="auto" w:fill="9BCFD9"/>
        <w:spacing w:before="120" w:after="120" w:line="240" w:lineRule="auto"/>
        <w:jc w:val="both"/>
        <w:rPr>
          <w:rFonts w:ascii="Tahoma" w:eastAsia="Times New Roman" w:hAnsi="Tahoma" w:cs="Tahoma"/>
          <w:color w:val="485D61"/>
          <w:sz w:val="20"/>
          <w:szCs w:val="20"/>
          <w:lang w:eastAsia="es-MX"/>
        </w:rPr>
      </w:pPr>
      <w:r w:rsidRPr="002A7F61">
        <w:rPr>
          <w:rFonts w:ascii="Verdana" w:eastAsia="Times New Roman" w:hAnsi="Verdana" w:cs="Tahoma"/>
          <w:color w:val="485D61"/>
          <w:sz w:val="20"/>
          <w:szCs w:val="20"/>
          <w:lang w:eastAsia="es-MX"/>
        </w:rPr>
        <w:t>Solo un objetivo nos debe convocar, de manera unida, y es colectivo: el presente y el futuro de Ginebra.</w:t>
      </w:r>
    </w:p>
    <w:p w:rsidR="002A7F61" w:rsidRPr="002A7F61" w:rsidRDefault="002A7F61" w:rsidP="002A7F61">
      <w:pPr>
        <w:shd w:val="clear" w:color="auto" w:fill="9BCFD9"/>
        <w:spacing w:before="120" w:after="120" w:line="240" w:lineRule="auto"/>
        <w:jc w:val="both"/>
        <w:rPr>
          <w:rFonts w:ascii="Tahoma" w:eastAsia="Times New Roman" w:hAnsi="Tahoma" w:cs="Tahoma"/>
          <w:color w:val="485D61"/>
          <w:sz w:val="20"/>
          <w:szCs w:val="20"/>
          <w:lang w:eastAsia="es-MX"/>
        </w:rPr>
      </w:pPr>
      <w:r w:rsidRPr="002A7F61">
        <w:rPr>
          <w:rFonts w:ascii="Verdana" w:eastAsia="Times New Roman" w:hAnsi="Verdana" w:cs="Tahoma"/>
          <w:color w:val="485D61"/>
          <w:sz w:val="20"/>
          <w:szCs w:val="20"/>
          <w:lang w:eastAsia="es-MX"/>
        </w:rPr>
        <w:t>Ante los diferentes escenarios en que se mueve el mundo de hoy, de apertura y globalización, de fronteras abiertas para producción e  intercambio de bienes y servicios, en un mundo donde se avecinan dificultades en la producción y suministro de alimentos a la población, un mundo donde el calentamiento global pone en riesgo la producción y suministro de agua dulce tanto para los seres humanos como para la sostenibilidad de flora y fauna y por ende se pone en riesgo la cadena alimenticia, los sectores público y privado, la comunidad en general, debemos tomar decisiones y actuar en concordancia con las nuevas realidades. De ahí los acuerdos a los que en los últimos años han venido  llegando los 192 países congregados en la ONU para hacer frente común a los problemas del globo.</w:t>
      </w:r>
    </w:p>
    <w:tbl>
      <w:tblPr>
        <w:tblW w:w="0" w:type="dxa"/>
        <w:tblInd w:w="15" w:type="dxa"/>
        <w:tblCellMar>
          <w:top w:w="90" w:type="dxa"/>
          <w:left w:w="90" w:type="dxa"/>
          <w:bottom w:w="90" w:type="dxa"/>
          <w:right w:w="90" w:type="dxa"/>
        </w:tblCellMar>
        <w:tblLook w:val="04A0"/>
      </w:tblPr>
      <w:tblGrid>
        <w:gridCol w:w="8883"/>
      </w:tblGrid>
      <w:tr w:rsidR="002A7F61" w:rsidRPr="002A7F61" w:rsidTr="002A7F61">
        <w:tc>
          <w:tcPr>
            <w:tcW w:w="15705" w:type="dxa"/>
            <w:tcBorders>
              <w:top w:val="single" w:sz="6" w:space="0" w:color="7B999D"/>
              <w:left w:val="single" w:sz="6" w:space="0" w:color="7B999D"/>
              <w:bottom w:val="single" w:sz="6" w:space="0" w:color="7B999D"/>
              <w:right w:val="single" w:sz="6" w:space="0" w:color="7B999D"/>
            </w:tcBorders>
            <w:tcMar>
              <w:top w:w="30" w:type="dxa"/>
              <w:left w:w="30" w:type="dxa"/>
              <w:bottom w:w="30" w:type="dxa"/>
              <w:right w:w="30" w:type="dxa"/>
            </w:tcMar>
            <w:hideMark/>
          </w:tcPr>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Nuestro país, Colombia,ha establecido su plan de desarrollo 2010 – 2014  PROSPERIDAD PARA TODOS en el cual acoge los objetivos del milenio trazados por la ONUy se traza unas metas para cada uno de ellos, dentro de unas estrategias las cuales denomina las cinco locomotoras.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Ginebra como territorio, aunque en apariencia a escala muy inferior por su superficie y población, no puede estar ajena y aislada de las nuevas realidades nacionales y mundiales, debiendo insertarse en las nuevas dinámicas y perspectivas, buscando posibilidades y oportunidades que le generen al territorio y a su gente, desarrollo y progreso cierto. Crecimiento sostenible y competitividad.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De ahí que se propone una visión mucho más abierta y clara para el desarrollo, que tenga a los seres humanos como su prioridad, que su clase dirigente, de la mano con organizaciones no gubernamentales y el sector privado,trabaje con suma responsabilidad y busque de manera permanente e incansable soluciones a cada uno de los problemas existentes, así su solución sea de largo plazo, pero que no escatime esfuerzos para lograrlo.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Ginebra ha sido y seguirá siendo grande por todas sus bondades. Pero ello depende de nuestro empeño, empoderamiento y compromiso para sacarla adelante. Necesitamos de nuestros mejores hombres y mujeres con visión y actitud positiva frente a los retos existentes.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De ahí que aprovechemos nuestras fortalezas como lo son el recurso hídrico, la localización geográfica, la topografía que no permite inundaciones,  la variedad de climas, su  riqueza ambiental  ysus recursos naturales, sus vientos, las diferentes alturas, el Festival Mono Núñez, la Escuela Canto por la Vida, el Parque de la Música, su geología, su tierra, su historia y su capital más importante, su gente. De todas estas bondades tiene que salir muchas alternativas de oportunidad, desarrollo y bienestar para los 20.000 habitantes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 xml:space="preserve">Debemos entonces trazarnos unos objetivos claros y concretos para irlos desarrollando de manera ordenada y cierta durante los próximos años que permitan a toda nuestra comunidad obtener empleos e ingresos dignos y estables, garantizándoles de paso bienestar y calidad de vida en lo social. Con un Gobierno que construya de manera conjunta con los actores de la sociedad, que se rodee de funcionarios capaces y de compromiso, que rinda cuentas públicas anuales, que actué en concordancia con la Ley </w:t>
            </w:r>
            <w:r w:rsidRPr="002A7F61">
              <w:rPr>
                <w:rFonts w:ascii="Verdana" w:eastAsia="Times New Roman" w:hAnsi="Verdana" w:cs="Tahoma"/>
                <w:sz w:val="20"/>
                <w:szCs w:val="20"/>
                <w:lang w:eastAsia="es-MX"/>
              </w:rPr>
              <w:lastRenderedPageBreak/>
              <w:t>ejerciendo el principio de autoridad pero siempre actuando con equidad y justicia social.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Verdana" w:eastAsia="Times New Roman" w:hAnsi="Verdana" w:cs="Tahoma"/>
                <w:sz w:val="20"/>
                <w:szCs w:val="20"/>
                <w:lang w:eastAsia="es-MX"/>
              </w:rPr>
              <w:t>Recorrer la mayor parte del territorio, hablar con sus habitantes quienes de manera directa expresan sus inconformidades como lo son la parte económica, la falta de vivienda, el mal servicio de salud, la inseguridad, la falta de oportunidad para los jóvenes, no tener acceso a niveles más altos de formación educativa, el mal estado de vías urbanas y rurales, no tener una alcaldía que escuche y trate de resolver  los problemas existentes, entre otros, para luego escuchar sus necesidades y platicar sobre sus esperanzas,  me llevan a proponer unos objetivos claros y realizables, para lo cual se requerirá del apoyo de todos para su realización.</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1.</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REACTIVACION ECONOMICA Y SEGURIDAD ALIMENTARIA, DESARROLLO Y COOPERACION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Conseguir empleo productivo y trabajo digno para todos, incluyendo hombres y mujeres, adultos y jóvenes.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1.1.</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lang w:eastAsia="es-MX"/>
              </w:rPr>
              <w:t>CONDICIONES PARA LA CREACION DE NUEVAS EMPRESAS  EN LA REGION</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Acuerdo municipal aprobando condiciones favorables y seguridad jurídica para que lleguen nuevas empresas limpias al territorio que generen trabajo</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Fomentar y apoyar creación de microempresas y a las existentes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Ver posibilidad zona franca en el Territorio</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1.2.</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lang w:eastAsia="es-MX"/>
              </w:rPr>
              <w:t>FORTALECER EL TURISMO</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Plan municipal acciones complementarias sector turístico como vías sin huecos, señalización adecuada, demarcaciónvías,  planos turísticos, capacitación SENA, cercos podados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Promover el Parapente</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Promover el Ecoturismo</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Promover pesca trucha</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Atraer empresarios que construyan hostales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1.3.</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lang w:eastAsia="es-MX"/>
              </w:rPr>
              <w:t>EXPLOTACION MINERIA LIMPIA</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Explotación minería limpia</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Limpieza responsable cauce ríos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1.4.</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lang w:eastAsia="es-MX"/>
              </w:rPr>
              <w:t>GESTION REGIONAL, NACIONAL E INTERNACIONAL</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Formulación de proyectos y gestión ante cada ministerio y departamento administrativo nacional, gobernación del Valle y organismos de cooperación internacional, que generen además de desarrollo nuevas fuentes de trabajo masivo a través de la ejecución de obras públicas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1.5.</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lang w:eastAsia="es-MX"/>
              </w:rPr>
              <w:t>REACTIVACION AGROPECUARIA SECTOR CAMPESINO CON ENFASIS EN SEGURIDAD</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ALIMENTARIA</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Implementación y acompañamiento Granjas auto sostenibles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Producciónagropecuaria periódica, programada y con mercado asegurado</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Disminuir altos índices de pobreza rural</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Conformación Junta Municipal Campesina para concertar política agropecuaria, gestión de proyectos e inversión</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Acompañamiento asociaciones y organizaciones campesinas</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left="108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2.</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EDUCACION PARA LAS OPORTUNIDADES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Conformar y mantener activa la Junta Municipal de Educadores JUME como un espacio para trazar la política educativa, adquirir compromisos entre los diferentes actores y hacer controles permanentes a su aplicación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Asegurar que niños, niñas y jóvenes completen su ciclo hasta el grado once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Fortalecer la presencia en el territorio de instituciones de educación técnica y tecnológica como el SENA, procurando los espacios físicos y la infraestructura tecnológica para su adecuado desempeño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 gestionará ante diferentes instancias recursos para la construcción de un mega colegio oficial en el territorio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Cada institución educativa oficial y sus sedes deberán recibir anualmente enlucimiento en su planta física y de manera permanente atención y reparación de las unidades sanitarias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Fomentar la educación no formal para que los mayores de 18 años terminen al menos el ciclo de primaria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Masificar el deporte comenzando por las sedes educativas para la formación integral y ocupación adecuada del tiempo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Acceso a la educación pública con gratuidad, mochila escolar y transporte escolar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Dotación uniformes a niños menores recursos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Mejorar y cubrir 100% desayuno escolar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transporte estudiantes universitarios que se desplazan a otras ciudades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Sedes educativas con docentes todo el período escolar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Reorganización del IMDER, dotación a equipos,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escuelas de futbol, ajedrez, baloncesto, ciclismo de la región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construcción pista de patinaje en Parque Recreacional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a madres comunitarias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a guardería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ante el ICBF la construcción de un Centro Múltiple de Hogares Comunitarios en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Sala de internet en casas de la cultura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Educación pertinente para jóvenes y generación de oportunidades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3.</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SALUD PARA LA VIDA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Atención digna y oportuna en salud: citas, atención, diagnostico, formulación, remisión, laboratorio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Mortalidad Infantil: reducir la mortalidad de niños menores de cinco años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Mortalidad Materna: reducir la mortalidad materna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Acceso universal a la salud reproductiva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 de prevención, reducción y tratamiento de VIH/SIDA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Prevención de enfermedades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Seguimiento y control tasas morbilidad para detectar y prevenir enfermedades y sus causas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Programas de prevención y control de hipertensión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Atención 24 horas centro de salud en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Campañas rurales mensuales de salud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Permanencia ambulancia en Costa Rica 24 horas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Que en jornadas médicas en corregimientos los médicos entreguen certificados requeridos por familias en acción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4.</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BUEN GOBIERNO E INSTITUCIONALIDAD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Trabajo con compromiso y actitud cierta y positiva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Plan de desarrollo participativo, concertado con la comunidad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Realización de Consejos Comunitarios en el territorio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Nombramiento de funcionarios de libre nombramiento y remoción por competencia, con perfil adecuado, experiencia específica y compromiso social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Recuperar la majestad de la política local, trascendiendo a lo regional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Calificación y seguimiento calidad trabajo empleados de carrera y provisionales según lo establecido en la ley</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Fomentar, mejorar y garantizar los diálogos con los diferentes actores públicos, privados y comunidad para construir acuerdos y ejecutar los planes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Atención adecuada y digna a la comunidad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Revisar actual estructura administrativa y ver creación oficinas o coordinadores de cultura y turismo, equidad de la mujer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Compromiso de cuidar indicadores que permitan buen comportamiento fiscal y administrativo en aras de obtener reconocimientos económicos de DNP</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Rendición pública anual de cuentas a la comunidad por parte del alcalde municipal y de su equipo de Gobierno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Alcalde establecerá días y horarios para atención a la comunidad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xml:space="preserve">Los días sábados la alcaldía en pleno se desplazará y despachara desde Costa Rica para atender comunidad local y rural. En consecuencia la alcaldía no laborará en una  media jornada de lunes o </w:t>
            </w:r>
            <w:r w:rsidRPr="002A7F61">
              <w:rPr>
                <w:rFonts w:ascii="Tahoma" w:eastAsia="Times New Roman" w:hAnsi="Tahoma" w:cs="Tahoma"/>
                <w:sz w:val="20"/>
                <w:szCs w:val="20"/>
                <w:lang w:eastAsia="es-MX"/>
              </w:rPr>
              <w:lastRenderedPageBreak/>
              <w:t>viernes, según se acuerde en su momento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 publica de reconocimiento y cumplimiento de la normatividad y autos de la corte constitucional respecto a deberes y derechos de la población desplazada ubicada en el municipio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 implementará un código de ética y buen gobierno como conducta del alcalde y los servidores públicos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Seguimiento a la atención comunidad y prestación de servicio a empresas prestadoras como ACUAVALLE, ANDILUM, Gases de Occidente, EPSA, TELECOM y Aseo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Seguimiento prestación servicios EPS y Hospital local.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Recomposición y activación de las Juntas de Acción Comunal en cada vereda, corregimiento y barrio del territorio como órganos primarios de organización administrativa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Terminación construcción casetas de acción comunal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Evitar presencia de animales en las vías públicas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con municipios limítrofes proyectos de interés común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Respeto a diferentes credos y cultos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Reconocimiento y apoyo grupos étnicos y multiétnicos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Reconocimiento y apoyo cabildo indígena. Respeto por su cultura.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Activación del Comité local de Prevención de desastres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Acompañamiento labor empresas de transporte local e intermunicipal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Uso y control terrenos corregimiento sabaletas sector puente elevado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Avanzar pleito jurídico CENIUVA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Construcción capilla corregimiento La Floresta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Inversión ambiental ACUAVALLE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Plaza de mercado Ginebra todos los días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Espacio Público, un bien común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Reforzar mercado campesino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Convocar y mantener el Consejo Municipal de Desarrollo Rural CMDR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Respeto sentido del tránsito vehicular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 contra la drogadicción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5.</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DESARROLLO TERRITORIAL, MEDIO AMBIENTE Y SANEAMIENTO BASICO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El agua, un bien publico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Acompañamiento acueductos rurales en su estructuración y formalización PDA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Actualización del EOT: ordenamiento del territorio urbano y rural, reserva forestal y área productiva, usos del suelo, casco urbano planificado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Articular diferentes escenarios del sector territorial entorno a la administración municipal como lo son EOT, POMCH, Plan de manejo de la cuenca, Plan integral de manejo del recurso hídrico, SIGAC, plan minero, Reserva Forestal, Ordenamiento Territorial L 1454-2011, PGIRS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Apoyar gestión en consecución recursos para ejecución proyectos del POMCH</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Incorporar e implementar principios de desarrollo sostenible en las políticas para evitar la pérdida de recursos de medio ambiente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Haber reducido la perdida de diversidad biológica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Acceso a servicios de saneamiento ambiental en veredas y corregimientos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la construcción de la PTAR de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Reposición y expansión redes alcantarillado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Políticas y Programas de control del aire y el ruido en el territorio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Garantizar acceso al agua potable a la comunidad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formulación de proyecto y obtención de recursos para la construcción del acueducto regional de Valledupar, Flautas, La Selva, Patio Bonito y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Solucionar problema de discontinuidad en la prestación del servicio de agua potable al área urbana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Análisis y Control licencias uso agua río Guabas por parte de autoridad ambiental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Mejorar integralmente la calidad de vida de los habitantes del sector rural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con la CVC estudio y solución a los excesos de agua lluvia que rebosan canales, quebradas y acequias durante aguaceros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Control a la impermeabilización suelo áreas públicas sector urbano para prevenir inundaciones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Reactivar el PGIRS como un inicio a la protección ambiental y al uso del reciclaje como una oportunidad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Definir escombrera municipal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para Acceder a proyectos REDD+ de países de la UE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Buscar Solución problema inundación sector poblado Villa Vanegas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Obras de Protección rìo sabaletas, sector La Cuesta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Programas de reforestación y protección recurso bosque con CVC e I. Educativas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Alcantarilla de cajón callejón Principal vereda El Guabito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Control estatal ocupación predios zona protectora rio Guabas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Acometidas alcantarillado sanitario sector El Rincón, La Floresta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 manejo y disposición de basuras sector rural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Apoyar y acompañar organización acueductos rurales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Orientar parte del SGP –APSB a sector rural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Políticas claras de protección a la flora y la fauna</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6.</w:t>
            </w:r>
            <w:r w:rsidRPr="002A7F61">
              <w:rPr>
                <w:rFonts w:ascii="Times New Roman" w:eastAsia="Times New Roman" w:hAnsi="Times New Roman" w:cs="Times New Roman"/>
                <w:sz w:val="14"/>
                <w:szCs w:val="14"/>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IGUALDAD DE GENERO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Eliminar desigualdades en acceso a la educación y a las oportunidades por diferencias de género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Garantizar la vinculación de mujeres mínimo en un 30% de los cargos públicos de libre nombramiento a proveer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Designar funcionario enlace programas equidad de la mujer presidencia y departamento fin encausar recursos para proyectos locales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a asociaciones y organizaciones locales de mujeres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7.</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VIVIENDA PARA LA DIGNIDAD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construcción de vivienda en área urbana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construcción de vivienda en el corregimiento de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programas de mejoramiento de vivienda en área urbana Ginebra, Costa Rica y La Floresta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programas de mejoramiento de vivienda en sectores rurales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programas de construcción de vivienda en sitio propio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Sacar adelante programa de vivienda programa de reubicados Urbanización Santa Bárbara,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Otorgamiento responsable de licencias de urbanismo a planes de vivienda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Otorgamiento de licencia s de construcción, seguimiento y control a obras de remodelación, ampliación y construcción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Proyecto reubicación familias alto riesgo La Cuesta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after="0" w:line="240" w:lineRule="auto"/>
              <w:ind w:left="708"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8.</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SEGURIDAD CIUDADANA</w:t>
            </w:r>
          </w:p>
          <w:p w:rsidR="002A7F61" w:rsidRPr="002A7F61" w:rsidRDefault="002A7F61" w:rsidP="002A7F61">
            <w:pPr>
              <w:spacing w:after="0" w:line="240" w:lineRule="auto"/>
              <w:ind w:left="70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PolíticaPública de Seguridad Urbana y Rural para una solución integral y permanente</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logístico a la fuerza pública para el desempeño de su deber</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 de alarmas comunitarias</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Plan integral gestión del riesgo</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a Cuerpos de Bomberos Voluntarios y Defensa Civil de Ginebra y Costa Rica</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after="0" w:line="240" w:lineRule="auto"/>
              <w:ind w:left="360" w:firstLine="348"/>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9.</w:t>
            </w:r>
            <w:r w:rsidRPr="002A7F61">
              <w:rPr>
                <w:rFonts w:ascii="Times New Roman" w:eastAsia="Times New Roman" w:hAnsi="Times New Roman" w:cs="Times New Roman"/>
                <w:sz w:val="14"/>
                <w:szCs w:val="14"/>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INFRAESTRUCTURA VIAL, SOCIAL Y DE COMUNICACIONES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reforzamiento y ampliación vía central crucero a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mantenimiento y reforzamiento vìa El Naranjal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Revisión infraestructura y superestructura puentes del territorio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Reparar y mantener maquinaria y equipo de obras públicas para el uso público y mantenimiento periódico de vías rurales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recursos mantenimiento, reparación, pavimentación y obras arte vías terciarias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Convenios apoyo ingenios azucareros y Cartón Colombia para complementar mantenimiento de vías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recursos continuar pavimentos zona urbana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recursos reposición de losas y rehabilitación pavimentos área urbana y suburbana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Construcción sardineles en sitios críticos sector urbano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 construcción andenes sector urbano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recursos terminar pavimentación vìa Costa Rica a Puente Rojo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ampliación, reparación y remodelación casa de la cultura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terminación casa de la cultura de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Gestión empresas de comunicaciones dotar servicio telefonía sector rural alto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Recuperación Centro de Salud de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Mantenimiento, reparación y ampliación  infraestructura municipal como cementerios, parques, edificio alcaldía, áreas públicas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Señalización horizontal y vertical, demarcación vial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Rehabilitación, acondicionamiento, mejoramiento plaza de mercado municipal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Cumplimiento requisitos INVIMA matadero municipal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Gestionaremos la extensión de la red de gas natural hacia el corregimiento de La Floresta y sectores de Costa Rica aún desconectados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electrificación sitios como La Cuesta, Juntas parte alta, Las Hermosas, Cominal, Flautas, Portugal, entre otros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Puente vehicular salida Costa Rica a Patio Bonito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Internet Inalámbrico en parque central de Ginebra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 camineros en vías terciarias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a mingas comunitarias mantenimiento vías rurales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pavimentación algunas vías urbanas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Continuación Instalación lámparas alumbrado público sitios faltantes del territorio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Construcción puente vehicular comunica barrios La Cristalina con Chiminangos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Apertura vía terciaria Flautas a Cominal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Reconstruir puente peatonal Regaderos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Definir y resolver vía de acceso a vereda Campoalegre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la iluminación del estadio municipal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10.</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DESARROLLO SOCIAL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Equidad y justicia al asignar subsidios nacionales del adulto mayor. Facilitar su cobro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Equidad y justicia al asignar subsidios familias en acción. Facilitar su cobro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Revisar aplicación SISBEN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Utilizar instalaciones del Coliseo municipal para pago a pensionados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Gestionaremos para Costa Rica una oficina privada de recaudo de servicios públicos domiciliarios que facilite el acceso de esta población y en especial la campesina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la construcción de un parque recreacional para Costa Rica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Realización de eventos deportivos de manera permanente durante cada año en varias disciplinas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Gestionar adquisición de terrenos en zonas rurales para adecuación áreas deportivas, canchas de futbol Las Hermosas, La Novillera, otros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con INDERVALLE de monitores y dotación distintas disciplinas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Fomento al deporte y participación eventos regionales y nacionales con el apoyo de empresa privada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lastRenderedPageBreak/>
              <w:t>Apoyo a grupos de tercera edad: recreación, sedes, dotación, deporte, capacitación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programas adulto mayor, centros de ancianos, prestar estadio para caminar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 a favor de la población en discapacidad</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 población desplazada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Política niños especiales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Iglesia retome distribución leche y galletas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Programas de gerontología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Coadyuvar a la planeación y construcción por parte del sector privado de un centro de atención del adulto mayor</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Activación del Comité Municipal de Política Social ley 1098 de 2006</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ind w:hanging="360"/>
              <w:jc w:val="both"/>
              <w:rPr>
                <w:rFonts w:ascii="Tahoma" w:eastAsia="Times New Roman" w:hAnsi="Tahoma" w:cs="Tahoma"/>
                <w:sz w:val="20"/>
                <w:szCs w:val="20"/>
                <w:lang w:eastAsia="es-MX"/>
              </w:rPr>
            </w:pPr>
            <w:r w:rsidRPr="002A7F61">
              <w:rPr>
                <w:rFonts w:ascii="Tahoma" w:eastAsia="Times New Roman" w:hAnsi="Tahoma" w:cs="Tahoma"/>
                <w:sz w:val="20"/>
                <w:szCs w:val="20"/>
                <w:shd w:val="clear" w:color="auto" w:fill="00FF00"/>
                <w:lang w:eastAsia="es-MX"/>
              </w:rPr>
              <w:t>11.</w:t>
            </w:r>
            <w:r w:rsidRPr="002A7F61">
              <w:rPr>
                <w:rFonts w:ascii="Times New Roman" w:eastAsia="Times New Roman" w:hAnsi="Times New Roman" w:cs="Times New Roman"/>
                <w:sz w:val="14"/>
                <w:szCs w:val="14"/>
                <w:shd w:val="clear" w:color="auto" w:fill="00FF00"/>
                <w:lang w:eastAsia="es-MX"/>
              </w:rPr>
              <w:t>  </w:t>
            </w:r>
            <w:r w:rsidRPr="002A7F61">
              <w:rPr>
                <w:rFonts w:ascii="Times New Roman" w:eastAsia="Times New Roman" w:hAnsi="Times New Roman" w:cs="Times New Roman"/>
                <w:sz w:val="14"/>
                <w:lang w:eastAsia="es-MX"/>
              </w:rPr>
              <w:t> </w:t>
            </w:r>
            <w:r w:rsidRPr="002A7F61">
              <w:rPr>
                <w:rFonts w:ascii="Tahoma" w:eastAsia="Times New Roman" w:hAnsi="Tahoma" w:cs="Tahoma"/>
                <w:sz w:val="20"/>
                <w:szCs w:val="20"/>
                <w:shd w:val="clear" w:color="auto" w:fill="00FF00"/>
                <w:lang w:eastAsia="es-MX"/>
              </w:rPr>
              <w:t>CULTURA Y TURISMO</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y acompañamiento a FUNMUSICA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Apoyo y acompañamiento a la Fundación Canto por la Vida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terminación Parque de la Música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Gestión ejecución plan integración urbana parque de la música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Empoderamiento Festival Mono Núñez por parte de la comunidad ginebrina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Generar conciencia política, social y ambiental en la población</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Programas de cultura ciudadana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Capacitación en participación ciudadana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Reactivación papayera La Nueva Era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Participación activa y decisoria del Comité Municipal de Cultura</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Es claro el objetivo. Sacar adelante al municipio de Ginebra y su gente. Para ello necesitamos construir de manera conjunta el camino y acompañarnos en él hasta alcanzarlas metas: un municipio con oportunidades, próspero en lo económico, justo y equitativo en lo social, conjugando el desarrollo de manera responsable con lo ambiental. Con el apoyo de las diferentes partidos y movimientos políticos, de los gobiernos nacional y departamental, con el apoyo del sector privado, de las diferentes ONG`S del territorio y de la comunidad en general.</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DIOS permita inteligencia y razón, nos dé la mayor claridad y actitud para asumir los retos a los que nos enfrentaremos.</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p w:rsidR="002A7F61" w:rsidRPr="002A7F61" w:rsidRDefault="002A7F61" w:rsidP="002A7F61">
            <w:pPr>
              <w:spacing w:before="120" w:after="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Ing. CAMILO JOSE SAAVEDRA CONDE</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Alcalde 2012 - 2015 </w:t>
            </w:r>
          </w:p>
          <w:p w:rsidR="002A7F61" w:rsidRPr="002A7F61" w:rsidRDefault="002A7F61" w:rsidP="002A7F61">
            <w:pPr>
              <w:spacing w:before="120" w:after="120" w:line="240" w:lineRule="auto"/>
              <w:jc w:val="both"/>
              <w:rPr>
                <w:rFonts w:ascii="Tahoma" w:eastAsia="Times New Roman" w:hAnsi="Tahoma" w:cs="Tahoma"/>
                <w:sz w:val="20"/>
                <w:szCs w:val="20"/>
                <w:lang w:eastAsia="es-MX"/>
              </w:rPr>
            </w:pPr>
            <w:r w:rsidRPr="002A7F61">
              <w:rPr>
                <w:rFonts w:ascii="Tahoma" w:eastAsia="Times New Roman" w:hAnsi="Tahoma" w:cs="Tahoma"/>
                <w:sz w:val="20"/>
                <w:szCs w:val="20"/>
                <w:lang w:eastAsia="es-MX"/>
              </w:rPr>
              <w:t> </w:t>
            </w:r>
          </w:p>
        </w:tc>
      </w:tr>
    </w:tbl>
    <w:p w:rsidR="002A7F61" w:rsidRDefault="002A7F61"/>
    <w:sectPr w:rsidR="002A7F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7F61"/>
    <w:rsid w:val="002A7F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A7F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7F61"/>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2A7F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A7F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A7F61"/>
  </w:style>
</w:styles>
</file>

<file path=word/webSettings.xml><?xml version="1.0" encoding="utf-8"?>
<w:webSettings xmlns:r="http://schemas.openxmlformats.org/officeDocument/2006/relationships" xmlns:w="http://schemas.openxmlformats.org/wordprocessingml/2006/main">
  <w:divs>
    <w:div w:id="2054427895">
      <w:bodyDiv w:val="1"/>
      <w:marLeft w:val="0"/>
      <w:marRight w:val="0"/>
      <w:marTop w:val="0"/>
      <w:marBottom w:val="0"/>
      <w:divBdr>
        <w:top w:val="none" w:sz="0" w:space="0" w:color="auto"/>
        <w:left w:val="none" w:sz="0" w:space="0" w:color="auto"/>
        <w:bottom w:val="none" w:sz="0" w:space="0" w:color="auto"/>
        <w:right w:val="none" w:sz="0" w:space="0" w:color="auto"/>
      </w:divBdr>
      <w:divsChild>
        <w:div w:id="17400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17089</Characters>
  <Application>Microsoft Office Word</Application>
  <DocSecurity>0</DocSecurity>
  <Lines>142</Lines>
  <Paragraphs>40</Paragraphs>
  <ScaleCrop>false</ScaleCrop>
  <Company>Toshiba</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2012-04-30T23:09:00Z</dcterms:created>
  <dcterms:modified xsi:type="dcterms:W3CDTF">2012-04-30T23:09:00Z</dcterms:modified>
</cp:coreProperties>
</file>